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df" ContentType="application/pdf"/>
  <Override PartName="/word/media/rId40.pdf" ContentType="application/pdf"/>
  <Override PartName="/word/media/rId59.pdf" ContentType="application/pdf"/>
  <Override PartName="/word/media/rId62.pdf" ContentType="application/pdf"/>
  <Override PartName="/word/media/rId44.pdf" ContentType="application/pdf"/>
  <Override PartName="/word/media/rId66.pdf" ContentType="application/pdf"/>
  <Override PartName="/word/media/rId71.pdf" ContentType="application/pdf"/>
  <Override PartName="/word/media/rId7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w:t>
      </w:r>
      <w:r>
        <w:t xml:space="preserve">“</w:t>
      </w:r>
      <w:r>
        <w:t xml:space="preserve">只采必要日志</w:t>
      </w:r>
      <w:r>
        <w:t xml:space="preserve">”</w:t>
      </w:r>
      <w:r>
        <w:t xml:space="preserve">。主要架构贡献包括四个方面：（1）构建网关预筛选、节点定向采集与中心二次过滤的三层协同架构，以 Sidecar 模式部署，从源头实现采集前端减量；（2）设计基于网关流量日志（URL、状态码、响应时延）的动态 Top-</w:t>
      </w:r>
      <m:oMath>
        <m:r>
          <m:t>K</m:t>
        </m:r>
      </m:oMath>
      <w:r>
        <w:t xml:space="preserve"> </w:t>
      </w:r>
      <w:r>
        <w:t xml:space="preserve">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w:t>
      </w:r>
      <m:oMath>
        <m:r>
          <m:t>n</m:t>
        </m:r>
        <m:r>
          <m:rPr>
            <m:sty m:val="p"/>
          </m:rPr>
          <m:t>=</m:t>
        </m:r>
        <m:r>
          <m:t>3</m:t>
        </m:r>
      </m:oMath>
      <w:r>
        <w:t xml:space="preserve">）显示，定向采集将 Loki 入库量从 4388</w:t>
      </w:r>
      <m:oMath>
        <m:r>
          <m:rPr>
            <m:sty m:val="p"/>
          </m:rPr>
          <m:t>±</m:t>
        </m:r>
      </m:oMath>
      <w:r>
        <w:t xml:space="preserve">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w:t>
      </w:r>
    </w:p>
    <w:p>
      <w:pPr>
        <w:pStyle w:val="BodyText"/>
      </w:pPr>
      <w:r>
        <w:t xml:space="preserve">中文引用格式:</w:t>
      </w:r>
    </w:p>
    <w:p>
      <w:pPr>
        <w:pStyle w:val="BodyText"/>
      </w:pPr>
      <w:r>
        <w:t xml:space="preserve">英文引用格式:</w:t>
      </w:r>
    </w:p>
    <w:p>
      <w:pPr>
        <w:pStyle w:val="BodyText"/>
      </w:pPr>
      <w:r>
        <w:rPr>
          <w:bCs/>
          <w:b/>
        </w:rPr>
        <w:t xml:space="preserve">Gateway-Traffic-Driven Microservice Directed Log Collection Framework</w:t>
      </w:r>
    </w:p>
    <w:p>
      <w:pPr>
        <w:pStyle w:val="BodyText"/>
      </w:pPr>
      <w:r>
        <w:t xml:space="preserve"> </w:t>
      </w:r>
      <w:r>
        <w:t xml:space="preserve">SHI Hong-Lei,  ZHAO Juan-Juan</w:t>
      </w:r>
    </w:p>
    <w:p>
      <w:pPr>
        <w:pStyle w:val="BodyText"/>
      </w:pPr>
      <w:r>
        <w:t xml:space="preserve"> </w:t>
      </w:r>
      <w:r>
        <w:t xml:space="preserve">(College of Computer Science and Technology, Taiyuan University of Technology, Taiyuan 030024, China)</w:t>
      </w:r>
    </w:p>
    <w:p>
      <w:pPr>
        <w:pStyle w:val="BodyText"/>
      </w:pPr>
      <w:r>
        <w:t xml:space="preserve">Abstract:</w:t>
      </w:r>
    </w:p>
    <w:p>
      <w:pPr>
        <w:pStyle w:val="BodyText"/>
      </w:pPr>
      <w:r>
        <w:t xml:space="preserve">Key words:</w:t>
      </w:r>
    </w:p>
    <w:bookmarkStart w:id="20" w:name="引言"/>
    <w:p>
      <w:pPr>
        <w:pStyle w:val="Heading1"/>
      </w:pPr>
      <w:r>
        <w:t xml:space="preserve">引言</w:t>
      </w:r>
    </w:p>
    <w:p>
      <w:pPr>
        <w:pStyle w:val="FirstParagraph"/>
      </w:pPr>
      <w:r>
        <w:t xml:space="preserve">微服务架构把一个大系统拆成多个独立服务，带来了更好的可扩展性和开发灵活性。容器编排、Sidecar 代理和服务治理等技术的成熟，使云原生应用的大规模部署成为现实</w:t>
      </w:r>
      <w:r>
        <w:t xml:space="preserve">(Burns, Oppenheimer, and Brewer 2016; Burns et al. 2016; Jamshidi et al. 2018; Vale et al. 2022; Feng et al. 2020; H. Wu and Deng 2020)</w:t>
      </w:r>
      <w:r>
        <w:t xml:space="preserve">。但拆分也带来一个棘手问题——日志高度分散。每个服务实例各自输出日志，格式五花八门，总量随并发请求线性增长。传统做法是</w:t>
      </w:r>
      <w:r>
        <w:t xml:space="preserve">“</w:t>
      </w:r>
      <w:r>
        <w:t xml:space="preserve">全量采集</w:t>
      </w:r>
      <w:r>
        <w:t xml:space="preserve">”</w:t>
      </w:r>
      <w:r>
        <w:t xml:space="preserve">，先把日志统统收上来再说。这在中小规模场景下还能接受，一旦集群达到数十甚至数百节点，问题就暴露了：节点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w:t>
      </w:r>
      <w:r>
        <w:t xml:space="preserve">(Liao et al. 2016; Li et al. 2019; He et al. 2020; Usman et al. 2022)</w:t>
      </w:r>
      <w:r>
        <w:t xml:space="preserve">。</w:t>
      </w:r>
    </w:p>
    <w:p>
      <w:pPr>
        <w:pStyle w:val="BodyText"/>
      </w:pPr>
      <w:r>
        <w:t xml:space="preserve">目前的研究主要集中在日志存储压缩、采样过滤、故障诊断和 eBPF 无侵入采集等方向，但很少有人从</w:t>
      </w:r>
      <w:r>
        <w:rPr>
          <w:bCs/>
          <w:b/>
        </w:rPr>
        <w:t xml:space="preserve">网关流量感知</w:t>
      </w:r>
      <w:r>
        <w:t xml:space="preserve">的角度出发，动态驱动各节点的应用日志定向采集。包航宇等</w:t>
      </w:r>
      <w:r>
        <w:t xml:space="preserve">(Bao et al. 2023)</w:t>
      </w:r>
      <w:r>
        <w:t xml:space="preserve">总结了智能运维的实践现状与标准化框架，贾统等</w:t>
      </w:r>
      <w:r>
        <w:t xml:space="preserve">(Jia, Li, and Wu 2020)</w:t>
      </w:r>
      <w:r>
        <w:t xml:space="preserve">系统梳理了基于日志的分布式故障诊断技术。本文的思路不同，把关注点前移到</w:t>
      </w:r>
      <w:r>
        <w:rPr>
          <w:bCs/>
          <w:b/>
        </w:rPr>
        <w:t xml:space="preserve">采集前端</w:t>
      </w:r>
      <w:r>
        <w:t xml:space="preserve">——网关是南北向流量的入口，天然掌握着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w:t>
      </w:r>
      <w:r>
        <w:t xml:space="preserve">“</w:t>
      </w:r>
      <w:r>
        <w:t xml:space="preserve">只采必要日志</w:t>
      </w:r>
      <w:r>
        <w:t xml:space="preserve">”</w:t>
      </w:r>
      <w:r>
        <w:t xml:space="preserve">。</w:t>
      </w:r>
    </w:p>
    <w:p>
      <w:pPr>
        <w:pStyle w:val="BodyText"/>
      </w:pPr>
      <w:r>
        <w:rPr>
          <w:bCs/>
          <w:b/>
        </w:rPr>
        <w:t xml:space="preserve">本文要回答的核心问题是</w:t>
      </w:r>
      <w:r>
        <w:t xml:space="preserve">：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BodyText"/>
      </w:pPr>
      <w:r>
        <w:rPr>
          <w:bCs/>
          <w:b/>
        </w:rPr>
        <w:t xml:space="preserve">本文提出以下科学假设</w:t>
      </w:r>
      <w:r>
        <w:t xml:space="preserve">：（H1）网关流量驱动的关注清单能使定向采集模式下的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BodyText"/>
      </w:pPr>
      <w:r>
        <w:t xml:space="preserve">基于上述问题与假设，本文提出</w:t>
      </w:r>
      <w:r>
        <w:rPr>
          <w:bCs/>
          <w:b/>
        </w:rPr>
        <w:t xml:space="preserve">分布式定向日志采集框架</w:t>
      </w:r>
      <w:r>
        <w:t xml:space="preserve">（Distributed Directed Log Collection Framework）。框架分为三层：</w:t>
      </w:r>
      <w:r>
        <w:rPr>
          <w:bCs/>
          <w:b/>
        </w:rPr>
        <w:t xml:space="preserve">网关预筛选、节点定向采集、中心二次过滤</w:t>
      </w:r>
      <w:r>
        <w:t xml:space="preserve">，三层之间通过三次策略转换保持语义一致。和 Promtail/Fluent Bit</w:t>
      </w:r>
      <w:r>
        <w:t xml:space="preserve"> </w:t>
      </w:r>
      <w:r>
        <w:t xml:space="preserve">“</w:t>
      </w:r>
      <w:r>
        <w:t xml:space="preserve">全量推送后在存储端压缩</w:t>
      </w:r>
      <w:r>
        <w:t xml:space="preserve">”</w:t>
      </w:r>
      <w:r>
        <w:t xml:space="preserve">的传统方案相比，本文直接在采集前端就把 Loki 入库量控制在百条量级（八节点实测详见 §6.3），从源头降低了网络和存储开销。主要架构贡献如下：</w:t>
      </w:r>
    </w:p>
    <w:p>
      <w:pPr>
        <w:pStyle w:val="BodyText"/>
      </w:pPr>
      <w:r>
        <w:t xml:space="preserve">（1）</w:t>
      </w:r>
      <w:r>
        <w:rPr>
          <w:bCs/>
          <w:b/>
        </w:rPr>
        <w:t xml:space="preserve">三层协同定向采集架构</w:t>
      </w:r>
      <w:r>
        <w:t xml:space="preserve">。网关节点和微服务节点均以 Sidecar 方式部署，中心负责策略生成与二次过滤，节点负责本地匹配、缓存与可靠上传，构建了</w:t>
      </w:r>
      <w:r>
        <w:t xml:space="preserve">“</w:t>
      </w:r>
      <w:r>
        <w:t xml:space="preserve">流量感知—定向采集—语义一致入库</w:t>
      </w:r>
      <w:r>
        <w:t xml:space="preserve">”</w:t>
      </w:r>
      <w:r>
        <w:t xml:space="preserve">的完整闭环。这个架构将日志减量逻辑从传统的后端治理前置到采集前端，补上了 AIOps 数据链路中</w:t>
      </w:r>
      <w:r>
        <w:t xml:space="preserve">“</w:t>
      </w:r>
      <w:r>
        <w:t xml:space="preserve">采集前端减量</w:t>
      </w:r>
      <w:r>
        <w:t xml:space="preserve">”</w:t>
      </w:r>
      <w:r>
        <w:t xml:space="preserve">这一缺失环节。</w:t>
      </w:r>
    </w:p>
    <w:p>
      <w:pPr>
        <w:pStyle w:val="BodyText"/>
      </w:pPr>
      <w:r>
        <w:t xml:space="preserve">（2）</w:t>
      </w:r>
      <w:r>
        <w:rPr>
          <w:bCs/>
          <w:b/>
        </w:rPr>
        <w:t xml:space="preserve">网关流量驱动的动态关注清单生成机制</w:t>
      </w:r>
      <w:r>
        <w:t xml:space="preserve">。以网关 access log（URL、状态码、响应时延）为策略输入，通过 URL 泛化、权重计算和 Top-</w:t>
      </w:r>
      <m:oMath>
        <m:r>
          <m:t>K</m:t>
        </m:r>
      </m:oMath>
      <w:r>
        <w:t xml:space="preserve"> </w:t>
      </w:r>
      <w:r>
        <w:t xml:space="preserve">筛选，实时生成高价值 URL 模式清单并下发至各节点（算法 </w:t>
      </w:r>
      <w:hyperlink w:anchor="alg:attention">
        <w:r>
          <w:rPr>
            <w:rStyle w:val="Hyperlink"/>
          </w:rPr>
          <w:t xml:space="preserve">[alg:attention]</w:t>
        </w:r>
      </w:hyperlink>
      <w:r>
        <w:t xml:space="preserve">，排序实现复杂度上界为</w:t>
      </w:r>
      <w:r>
        <w:t xml:space="preserve"> </w:t>
      </w:r>
      <m:oMath>
        <m:r>
          <m:t>O</m:t>
        </m:r>
        <m:d>
          <m:dPr>
            <m:begChr m:val="("/>
            <m:endChr m:val=")"/>
            <m:sepChr m:val=""/>
            <m:grow/>
          </m:dPr>
          <m:e>
            <m:r>
              <m:t>N</m:t>
            </m:r>
            <m:r>
              <m:rPr>
                <m:sty m:val="p"/>
              </m:rPr>
              <m:t>log</m:t>
            </m:r>
            <m:r>
              <m:t>N</m:t>
            </m:r>
          </m:e>
        </m:d>
      </m:oMath>
      <w:r>
        <w:t xml:space="preserve">，最小堆实现为</w:t>
      </w:r>
      <w:r>
        <w:t xml:space="preserve"> </w:t>
      </w:r>
      <m:oMath>
        <m:r>
          <m:t>O</m:t>
        </m:r>
        <m:d>
          <m:dPr>
            <m:begChr m:val="("/>
            <m:endChr m:val=")"/>
            <m:sepChr m:val=""/>
            <m:grow/>
          </m:dPr>
          <m:e>
            <m:r>
              <m:t>N</m:t>
            </m:r>
            <m:r>
              <m:rPr>
                <m:sty m:val="p"/>
              </m:rPr>
              <m:t>log</m:t>
            </m:r>
            <m:r>
              <m:t>K</m:t>
            </m:r>
          </m:e>
        </m:d>
      </m:oMath>
      <w:r>
        <w:t xml:space="preserve">，</w:t>
      </w:r>
      <m:oMath>
        <m:r>
          <m:t>K</m:t>
        </m:r>
        <m:r>
          <m:rPr>
            <m:sty m:val="p"/>
          </m:rPr>
          <m:t>≪</m:t>
        </m:r>
        <m:r>
          <m:t>N</m:t>
        </m:r>
      </m:oMath>
      <w:r>
        <w:t xml:space="preserve">）。这个机制实现了采集策略的运行时自适应，无需静态配置或业务代码侵入。</w:t>
      </w:r>
    </w:p>
    <w:p>
      <w:pPr>
        <w:pStyle w:val="BodyText"/>
      </w:pPr>
      <w:r>
        <w:t xml:space="preserve">（3）</w:t>
      </w:r>
      <w:r>
        <w:rPr>
          <w:bCs/>
          <w:b/>
        </w:rPr>
        <w:t xml:space="preserve">定向策略三次转换机制</w:t>
      </w:r>
      <w:r>
        <w:t xml:space="preserve">。通过统一的 URL 泛化函数和清单版本控制，确保同一关注清单在网关预筛选、节点定向采集和中心二次过滤三层之间的语义一致性，避免跨层策略漂移（图 </w:t>
      </w:r>
      <w:hyperlink w:anchor="fig:transform">
        <w:r>
          <w:rPr>
            <w:rStyle w:val="Hyperlink"/>
          </w:rPr>
          <w:t xml:space="preserve">2</w:t>
        </w:r>
      </w:hyperlink>
      <w:r>
        <w:t xml:space="preserve">）。</w:t>
      </w:r>
    </w:p>
    <w:p>
      <w:pPr>
        <w:pStyle w:val="BodyText"/>
      </w:pPr>
      <w:r>
        <w:t xml:space="preserve">（4）</w:t>
      </w:r>
      <w:r>
        <w:rPr>
          <w:bCs/>
          <w:b/>
        </w:rPr>
        <w:t xml:space="preserve">资源受限环境下的可靠传输架构</w:t>
      </w:r>
      <w:r>
        <w:t xml:space="preserve">。在 Sidecar 中引入固定缓存块（环形队列+双约束）和压力感知指数退避机制（式 </w:t>
      </w:r>
      <w:hyperlink w:anchor="eq:backoff">
        <w:r>
          <w:rPr>
            <w:rStyle w:val="Hyperlink"/>
          </w:rPr>
          <w:t xml:space="preserve">[eq:backoff]</w:t>
        </w:r>
      </w:hyperlink>
      <w:r>
        <w:t xml:space="preserve">），辅以 BoltDB 本地兜底，在资源压力下提供有界内存占用和有界重试能力。</w:t>
      </w:r>
    </w:p>
    <w:p>
      <w:pPr>
        <w:pStyle w:val="BodyText"/>
      </w:pPr>
      <w:r>
        <w:t xml:space="preserve">基于 Go、gRPC、Redis 和 Grafana Loki 构建了可复现原型和多进程模拟器。在八节点集群上完成 180 s、</w:t>
      </w:r>
      <m:oMath>
        <m:r>
          <m:t>n</m:t>
        </m:r>
        <m:r>
          <m:rPr>
            <m:sty m:val="p"/>
          </m:rPr>
          <m:t>=</m:t>
        </m:r>
        <m:r>
          <m:t>3</m:t>
        </m:r>
      </m:oMath>
      <w:r>
        <w:t xml:space="preserve"> </w:t>
      </w:r>
      <w:r>
        <w:t xml:space="preserve">的重复对比实验、算法微基准测试与系统级组件消融，并补充了十六/三十二节点规模复核。结果显示，定向采集将 Loki 入库量从 4388</w:t>
      </w:r>
      <m:oMath>
        <m:r>
          <m:rPr>
            <m:sty m:val="p"/>
          </m:rPr>
          <m:t>±</m:t>
        </m:r>
      </m:oMath>
      <w:r>
        <w:t xml:space="preserve">1 条降至 72 条（降幅 98.4%，策略过滤独立贡献 67.8%）。十六/三十二节点复核验证了定向模式在更大规模下依然能保持低入库量和低 Agent CPU 开销。</w:t>
      </w:r>
    </w:p>
    <w:p>
      <w:pPr>
        <w:pStyle w:val="BodyText"/>
      </w:pPr>
      <w:r>
        <w:t xml:space="preserve">本文第 2 节综述相关工作；第 3 节介绍系统总体设计；第 4 节阐述关键算法；第 5 节描述实现细节；第 6 节给出实验与分析；第 7 节总结全文。</w:t>
      </w:r>
    </w:p>
    <w:bookmarkEnd w:id="20"/>
    <w:bookmarkStart w:id="30" w:name="相关工作"/>
    <w:p>
      <w:pPr>
        <w:pStyle w:val="Heading1"/>
      </w:pPr>
      <w:r>
        <w:t xml:space="preserve">相关工作</w:t>
      </w:r>
    </w:p>
    <w:bookmarkStart w:id="21" w:name="集中式日志栈"/>
    <w:p>
      <w:pPr>
        <w:pStyle w:val="Heading2"/>
      </w:pPr>
      <w:r>
        <w:t xml:space="preserve">集中式日志栈</w:t>
      </w:r>
    </w:p>
    <w:p>
      <w:pPr>
        <w:pStyle w:val="FirstParagraph"/>
      </w:pPr>
      <w:r>
        <w:t xml:space="preserve">ELK/EFK 以 Elasticsearch 为核心，检索能力强，但索引成本高昂。多项综述指出，大规模系统的日志在采集、传输、存储、解析和查询各阶段都会带来显著开销</w:t>
      </w:r>
      <w:r>
        <w:t xml:space="preserve">(Liao et al. 2016; Li et al. 2019; He et al. 2020; Y. Chen, Zhang, and Chen 2020)</w:t>
      </w:r>
      <w:r>
        <w:t xml:space="preserve">。为降低这些开销，已有研究提出日志压缩、模式挖掘、模板解析、云端低成本存储和离线数据集构建等方法</w:t>
      </w:r>
      <w:r>
        <w:t xml:space="preserve">(J. Liu et al. 2019; Zhu et al. 2020; Wei, Zhang, and Chen 2023; Jiang, Liu, Huang, Li, and Lyu 2023)</w:t>
      </w:r>
      <w:r>
        <w:t xml:space="preserve">。不过，这些工作大多聚焦于日志入库之后的压缩与治理，前提是日志已被全量采集到中心端。本文关注的则是日志进入中心</w:t>
      </w:r>
      <w:r>
        <w:rPr>
          <w:bCs/>
          <w:b/>
        </w:rPr>
        <w:t xml:space="preserve">之前</w:t>
      </w:r>
      <w:r>
        <w:t xml:space="preserve">的</w:t>
      </w:r>
      <w:r>
        <w:rPr>
          <w:bCs/>
          <w:b/>
        </w:rPr>
        <w:t xml:space="preserve">采集前端定向减量</w:t>
      </w:r>
      <w:r>
        <w:t xml:space="preserve">。</w:t>
      </w:r>
    </w:p>
    <w:bookmarkEnd w:id="21"/>
    <w:bookmarkStart w:id="22" w:name="采样与追踪关联"/>
    <w:p>
      <w:pPr>
        <w:pStyle w:val="Heading2"/>
      </w:pPr>
      <w:r>
        <w:t xml:space="preserve">采样与追踪关联</w:t>
      </w:r>
    </w:p>
    <w:p>
      <w:pPr>
        <w:pStyle w:val="FirstParagraph"/>
      </w:pPr>
      <w:r>
        <w:t xml:space="preserve">OpenTelemetry 尾部采样依赖分布式追踪上下文，在请求完成后决定是否保留相关 span 或日志</w:t>
      </w:r>
      <w:r>
        <w:t xml:space="preserve">(Z. Chen et al. 2024)</w:t>
      </w:r>
      <w:r>
        <w:t xml:space="preserve">。追踪、指标和日志三类遥测数据在微服务排障中往往需要联合分析</w:t>
      </w:r>
      <w:r>
        <w:t xml:space="preserve">(Usman et al. 2022; Maruf et al. 2022; Moreschini et al. 2023)</w:t>
      </w:r>
      <w:r>
        <w:t xml:space="preserve">。国内研究围绕分布式追踪、调用链存储、服务依赖发现和微服务故障检测等方向展开</w:t>
      </w:r>
      <w:r>
        <w:t xml:space="preserve">(Y. Yang, Li, and Wu 2020; Huang et al. 2023; You et al. 2021; Yu et al. 2022; Q. Zhang et al. 2024; L. Wang et al. 2023)</w:t>
      </w:r>
      <w:r>
        <w:t xml:space="preserve">。在根因定位方面，已有工作从轨迹监测、拓扑依赖、多源信号和方法体系等角度推进后端分析</w:t>
      </w:r>
      <w:r>
        <w:t xml:space="preserve">(Z. Wang et al. 2017; L. Wu et al. 2020; S. Zhang et al. 2023; T. Wang and Qi 2024)</w:t>
      </w:r>
      <w:r>
        <w:t xml:space="preserve">。和上述工作不同，本文不以已完整采集的 trace/log 数据为前提，而是利用网关 access log 动态生成 URL 模式清单，在 Sidecar 层就决定哪些应用日志需要上传。</w:t>
      </w:r>
    </w:p>
    <w:bookmarkEnd w:id="22"/>
    <w:bookmarkStart w:id="23" w:name="边缘采集与可靠传输"/>
    <w:p>
      <w:pPr>
        <w:pStyle w:val="Heading2"/>
      </w:pPr>
      <w:r>
        <w:t xml:space="preserve">边缘采集与可靠传输</w:t>
      </w:r>
    </w:p>
    <w:p>
      <w:pPr>
        <w:pStyle w:val="FirstParagraph"/>
      </w:pPr>
      <w:r>
        <w:t xml:space="preserve">边缘计算和云原生场景对采集组件提出了严苛要求：在低带宽、低资源或中心暂时不可达时，组件需保持有界退化</w:t>
      </w:r>
      <w:r>
        <w:t xml:space="preserve">(Varghese, Antonopoulos, and Buyya 2022; Usman et al. 2022; M. Liu and Zhou 2017)</w:t>
      </w:r>
      <w:r>
        <w:t xml:space="preserve">。同时，Service Mesh 研究表明 Sidecar 自身也会引入额外延迟和资源消耗</w:t>
      </w:r>
      <w:r>
        <w:t xml:space="preserve">(Y. Zhang et al. 2024; D. Soldani et al. 2023)</w:t>
      </w:r>
      <w:r>
        <w:t xml:space="preserve">，采集逻辑必须严格控制 CPU、内存和网络占用。基于这些约束，本文在 Sidecar 中引入固定上限缓存块与压力感知退避机制，辅以 BoltDB 本地兜底，确保节点侧采集在资源受限条件下依然可控。</w:t>
      </w:r>
    </w:p>
    <w:bookmarkEnd w:id="23"/>
    <w:bookmarkStart w:id="24" w:name="aiops-实践与标准化"/>
    <w:p>
      <w:pPr>
        <w:pStyle w:val="Heading2"/>
      </w:pPr>
      <w:r>
        <w:t xml:space="preserve">AIOps 实践与标准化</w:t>
      </w:r>
    </w:p>
    <w:p>
      <w:pPr>
        <w:pStyle w:val="FirstParagraph"/>
      </w:pPr>
      <w:r>
        <w:t xml:space="preserve">包航宇等</w:t>
      </w:r>
      <w:r>
        <w:t xml:space="preserve">(Bao et al. 2023)</w:t>
      </w:r>
      <w:r>
        <w:t xml:space="preserve">基于大规模企业调研，总结了智能运维的实践现状，并提出了 AIOps-OSA 能力建设框架。后续研究也表明，生产系统需要将运行时数据、自动化分析和工程治理打通成闭环</w:t>
      </w:r>
      <w:r>
        <w:t xml:space="preserve">(Cheng et al. 2023; Laigner et al. 2024; Moreschini et al. 2023)</w:t>
      </w:r>
      <w:r>
        <w:t xml:space="preserve">。本文聚焦其中</w:t>
      </w:r>
      <w:r>
        <w:rPr>
          <w:bCs/>
          <w:b/>
        </w:rPr>
        <w:t xml:space="preserve">数据采集能力</w:t>
      </w:r>
      <w:r>
        <w:t xml:space="preserve">的前端减量环节：借助网关流量驱动的关注清单，从源头降低进入日志平台和后续分析模块的数据规模。</w:t>
      </w:r>
    </w:p>
    <w:bookmarkEnd w:id="24"/>
    <w:bookmarkStart w:id="25" w:name="日志解析与故障诊断"/>
    <w:p>
      <w:pPr>
        <w:pStyle w:val="Heading2"/>
      </w:pPr>
      <w:r>
        <w:t xml:space="preserve">日志解析与故障诊断</w:t>
      </w:r>
    </w:p>
    <w:p>
      <w:pPr>
        <w:pStyle w:val="FirstParagraph"/>
      </w:pPr>
      <w:r>
        <w:t xml:space="preserve">贾统等</w:t>
      </w:r>
      <w:r>
        <w:t xml:space="preserve">(Jia, Li, and Wu 2020)</w:t>
      </w:r>
      <w:r>
        <w:t xml:space="preserve">聚焦日志收集之后的下游环节，系统梳理了日志解析、异常检测、故障定位和知识提取等技术。在日志解析方面，Logram、模板识别和大规模解析评测等工作推动了非结构化日志向结构化事件的转换</w:t>
      </w:r>
      <w:r>
        <w:t xml:space="preserve">(Dai et al. 2020; Jiang, Liu, Huang, Li, and Lyu 2023; Jiang, Liu, Huang, Li, Huo, et al. 2023)</w:t>
      </w:r>
      <w:r>
        <w:t xml:space="preserve">。在异常检测方面，CNN-text、LogFormer、深度学习失效预测、融合学习时序检测和微服务性能异常检测等研究展示了日志智能分析的最新进展</w:t>
      </w:r>
      <w:r>
        <w:t xml:space="preserve">(Mei et al. 2020; Guo et al. 2024; Ali et al. 2025; Hadadi et al. 2024; Zhou et al. 2023; Fang et al. 2024; L. Zhang, Jia, Wang, et al. 2024)</w:t>
      </w:r>
      <w:r>
        <w:t xml:space="preserve">。多变量日志异常检测与图式根因分析则进一步拓宽了故障诊断的边界</w:t>
      </w:r>
      <w:r>
        <w:t xml:space="preserve">(L. Zhang, Jia, Jia, et al. 2024; J. Soldani and Brogi 2020)</w:t>
      </w:r>
      <w:r>
        <w:t xml:space="preserve">。和上述工作相比，本文关注的是</w:t>
      </w:r>
      <w:r>
        <w:rPr>
          <w:bCs/>
          <w:b/>
        </w:rPr>
        <w:t xml:space="preserve">诊断的前置条件</w:t>
      </w:r>
      <w:r>
        <w:t xml:space="preserve">——在日志尚未大规模入库之前完成定向减量，同时尽量保留错误、慢请求等高价值上下文。</w:t>
      </w:r>
    </w:p>
    <w:bookmarkEnd w:id="25"/>
    <w:bookmarkStart w:id="26" w:name="微服务工程与云原生生态"/>
    <w:p>
      <w:pPr>
        <w:pStyle w:val="Heading2"/>
      </w:pPr>
      <w:r>
        <w:t xml:space="preserve">微服务工程与云原生生态</w:t>
      </w:r>
    </w:p>
    <w:p>
      <w:pPr>
        <w:pStyle w:val="FirstParagraph"/>
      </w:pPr>
      <w:r>
        <w:t xml:space="preserve">微服务架构涉及服务拆分、持续工程治理与运行时配置管理等多个方面</w:t>
      </w:r>
      <w:r>
        <w:t xml:space="preserve">(Ding et al. 2020; Jia et al. 2021; Jamshidi et al. 2018; Seshagiri et al. 2022)</w:t>
      </w:r>
      <w:r>
        <w:t xml:space="preserve">。容器编排和微服务设计模式为 Sidecar 部署提供了基础设施支撑</w:t>
      </w:r>
      <w:r>
        <w:t xml:space="preserve">(Burns, Oppenheimer, and Brewer 2016; Burns et al. 2016; Vale et al. 2022)</w:t>
      </w:r>
      <w:r>
        <w:t xml:space="preserve">。鉴于此，本文在实验中明确区分了三类证据：原型集群实测、基于真实分布的多进程模拟验证，以及生产级证据。在基线选取上，本文将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bookmarkEnd w:id="26"/>
    <w:bookmarkStart w:id="27" w:name="新兴采集技术与最接近先例"/>
    <w:p>
      <w:pPr>
        <w:pStyle w:val="Heading2"/>
      </w:pPr>
      <w:r>
        <w:t xml:space="preserve">新兴采集技术与最接近先例</w:t>
      </w:r>
    </w:p>
    <w:p>
      <w:pPr>
        <w:pStyle w:val="FirstParagraph"/>
      </w:pPr>
      <w:r>
        <w:t xml:space="preserve">eBPF 技术使内核级日志与事件采集成为可能</w:t>
      </w:r>
      <w:r>
        <w:t xml:space="preserve">(D. Soldani et al. 2023; W. Yang et al. 2023)</w:t>
      </w:r>
      <w:r>
        <w:t xml:space="preserve">。然而，eBPF 侧重</w:t>
      </w:r>
      <w:r>
        <w:rPr>
          <w:bCs/>
          <w:b/>
        </w:rPr>
        <w:t xml:space="preserve">基础设施级</w:t>
      </w:r>
      <w:r>
        <w:t xml:space="preserve">事件，对</w:t>
      </w:r>
      <w:r>
        <w:rPr>
          <w:bCs/>
          <w:b/>
        </w:rPr>
        <w:t xml:space="preserve">应用级</w:t>
      </w:r>
      <w:r>
        <w:t xml:space="preserve">日志的定向采集支持有限，且缺乏网关流量驱动的动态策略源。OpenTelemetry 尾部采样以</w:t>
      </w:r>
      <w:r>
        <w:rPr>
          <w:bCs/>
          <w:b/>
        </w:rPr>
        <w:t xml:space="preserve">分布式追踪 span</w:t>
      </w:r>
      <w:r>
        <w:t xml:space="preserve"> </w:t>
      </w:r>
      <w:r>
        <w:t xml:space="preserve">为单位做取舍，与本文以</w:t>
      </w:r>
      <w:r>
        <w:rPr>
          <w:bCs/>
          <w:b/>
        </w:rPr>
        <w:t xml:space="preserve">URL 模式</w:t>
      </w:r>
      <w:r>
        <w:t xml:space="preserve">为粒度的应用日志定向过滤构成互补关系。</w:t>
      </w:r>
    </w:p>
    <w:p>
      <w:pPr>
        <w:pStyle w:val="BodyText"/>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w:t>
      </w:r>
      <w:r>
        <w:t xml:space="preserve"> </w:t>
      </w:r>
      <w:r>
        <w:rPr>
          <w:rStyle w:val="VerbatimChar"/>
        </w:rPr>
        <w:t xml:space="preserve">lua-resty-logger-socket</w:t>
      </w:r>
      <w:r>
        <w:t xml:space="preserve"> </w:t>
      </w:r>
      <w:r>
        <w:t xml:space="preserve">等模块实现了 Lua 层的动态日志控制，但策略局限于网关节点自身，未形成跨节点的采集闭环。</w:t>
      </w:r>
    </w:p>
    <w:p>
      <w:pPr>
        <w:pStyle w:val="BodyText"/>
      </w:pPr>
      <w:r>
        <w:t xml:space="preserve">上述先例存在两个共同局限：日志过滤决策</w:t>
      </w:r>
      <w:r>
        <w:rPr>
          <w:bCs/>
          <w:b/>
        </w:rPr>
        <w:t xml:space="preserve">局限于单一节点</w:t>
      </w:r>
      <w:r>
        <w:t xml:space="preserve">（代理或网关），且多依赖</w:t>
      </w:r>
      <w:r>
        <w:rPr>
          <w:bCs/>
          <w:b/>
        </w:rPr>
        <w:t xml:space="preserve">静态或手工配置</w:t>
      </w:r>
      <w:r>
        <w:t xml:space="preserve">规则。本文的增量创新在于：以网关流量统计为输入，自动生成 Top-</w:t>
      </w:r>
      <m:oMath>
        <m:r>
          <m:t>K</m:t>
        </m:r>
      </m:oMath>
      <w:r>
        <w:t xml:space="preserve"> </w:t>
      </w:r>
      <w:r>
        <w:t xml:space="preserve">URL 模式清单，经 gRPC 下发至多个微服务节点驱动应用日志定向采集，最后由中心二次过滤保障语义一致。这一流程形成了</w:t>
      </w:r>
      <w:r>
        <w:t xml:space="preserve">“</w:t>
      </w:r>
      <w:r>
        <w:t xml:space="preserve">网关流量</w:t>
      </w:r>
      <w:r>
        <w:t xml:space="preserve"> </w:t>
      </w:r>
      <m:oMath>
        <m:r>
          <m:rPr>
            <m:sty m:val="p"/>
          </m:rPr>
          <m:t>→</m:t>
        </m:r>
      </m:oMath>
      <w:r>
        <w:t xml:space="preserve"> </w:t>
      </w:r>
      <w:r>
        <w:t xml:space="preserve">多节点应用日志动态清单</w:t>
      </w:r>
      <w:r>
        <w:t xml:space="preserve"> </w:t>
      </w:r>
      <m:oMath>
        <m:r>
          <m:rPr>
            <m:sty m:val="p"/>
          </m:rPr>
          <m:t>→</m:t>
        </m:r>
      </m:oMath>
      <w:r>
        <w:t xml:space="preserve"> </w:t>
      </w:r>
      <w:r>
        <w:t xml:space="preserve">中心二次过滤</w:t>
      </w:r>
      <w:r>
        <w:t xml:space="preserve">”</w:t>
      </w:r>
      <w:r>
        <w:t xml:space="preserve">的</w:t>
      </w:r>
      <w:r>
        <w:rPr>
          <w:bCs/>
          <w:b/>
        </w:rPr>
        <w:t xml:space="preserve">贯通闭环</w:t>
      </w:r>
      <w:r>
        <w:t xml:space="preserve">，以规则驱动的轻量匹配替代 ML 推理，更适合边缘资源受限环境。</w:t>
      </w:r>
    </w:p>
    <w:bookmarkEnd w:id="27"/>
    <w:bookmarkStart w:id="28" w:name="与代表性方案对比"/>
    <w:p>
      <w:pPr>
        <w:pStyle w:val="Heading2"/>
      </w:pPr>
      <w:r>
        <w:t xml:space="preserve">与代表性方案对比</w:t>
      </w:r>
    </w:p>
    <w:p>
      <w:pPr>
        <w:pStyle w:val="FirstParagraph"/>
      </w:pPr>
      <w:r>
        <w:t xml:space="preserve">表 </w:t>
      </w:r>
      <w:hyperlink w:anchor="tab:related_compare">
        <w:r>
          <w:rPr>
            <w:rStyle w:val="Hyperlink"/>
          </w:rPr>
          <w:t xml:space="preserve">[tab:related_compare]</w:t>
        </w:r>
      </w:hyperlink>
      <w:r>
        <w:t xml:space="preserve"> </w:t>
      </w:r>
      <w:r>
        <w:t xml:space="preserve">从策略输入、减量位置、日志削减证据、动态策略来源和 Sidecar 开销等维度，将本文方案与代表性方案进行对比。</w:t>
      </w:r>
    </w:p>
    <w:bookmarkEnd w:id="28"/>
    <w:bookmarkStart w:id="29" w:name="本文定位"/>
    <w:p>
      <w:pPr>
        <w:pStyle w:val="Heading2"/>
      </w:pPr>
      <w:r>
        <w:t xml:space="preserve">本文定位</w:t>
      </w:r>
    </w:p>
    <w:p>
      <w:pPr>
        <w:pStyle w:val="FirstParagraph"/>
      </w:pPr>
      <w:r>
        <w:t xml:space="preserve">从上述分析可以看出，包航宇等的 AIOps 标准化研究着力解决平台能力建设问题</w:t>
      </w:r>
      <w:r>
        <w:t xml:space="preserve">(Bao et al. 2023)</w:t>
      </w:r>
      <w:r>
        <w:t xml:space="preserve">，贾统等的日志诊断综述着力解决后端分析方法体系问题</w:t>
      </w:r>
      <w:r>
        <w:t xml:space="preserve">(Jia, Li, and Wu 2020)</w:t>
      </w:r>
      <w:r>
        <w:t xml:space="preserve">。二者都需要稳定、低成本且高价值的日志输入作为基础。本文定位为</w:t>
      </w:r>
      <w:r>
        <w:rPr>
          <w:bCs/>
          <w:b/>
        </w:rPr>
        <w:t xml:space="preserve">AIOps 采集前端的定向减量技术</w:t>
      </w:r>
      <w:r>
        <w:t xml:space="preserve">：将网关 access log 作为动态策略输入，下发至各微服务节点执行应用日志定向采集，再由中心二次过滤后入库。借助关注清单、三次策略转换与可复现的 Docker 原型，本文在采集阶段将入库量控制在百条量级</w:t>
      </w:r>
      <m:oMath>
        <m:sSup>
          <m:e>
            <m:r>
              <m:t>​</m:t>
            </m:r>
          </m:e>
          <m:sup>
            <m:r>
              <m:rPr>
                <m:sty m:val="p"/>
              </m:rPr>
              <m:t>*</m:t>
            </m:r>
          </m:sup>
        </m:sSup>
      </m:oMath>
      <w:r>
        <w:t xml:space="preserve">，并与全量 Sidecar 架构进行了对照实测（详见 §6.3 表 </w:t>
      </w:r>
      <w:hyperlink w:anchor="tab:compare">
        <w:r>
          <w:rPr>
            <w:rStyle w:val="Hyperlink"/>
          </w:rPr>
          <w:t xml:space="preserve">2</w:t>
        </w:r>
      </w:hyperlink>
      <w:r>
        <w:t xml:space="preserve">）。</w:t>
      </w:r>
    </w:p>
    <w:bookmarkEnd w:id="29"/>
    <w:bookmarkEnd w:id="30"/>
    <w:bookmarkStart w:id="37" w:name="系统总体设计"/>
    <w:p>
      <w:pPr>
        <w:pStyle w:val="Heading1"/>
      </w:pPr>
      <w:r>
        <w:t xml:space="preserve">系统总体设计</w:t>
      </w:r>
    </w:p>
    <w:bookmarkStart w:id="34" w:name="架构概述"/>
    <w:p>
      <w:pPr>
        <w:pStyle w:val="Heading2"/>
      </w:pPr>
      <w:r>
        <w:t xml:space="preserve">架构概述</w:t>
      </w:r>
    </w:p>
    <w:p>
      <w:pPr>
        <w:pStyle w:val="FirstParagraph"/>
      </w:pPr>
      <w:r>
        <w:t xml:space="preserve">本文框架采用</w:t>
      </w:r>
      <w:r>
        <w:rPr>
          <w:bCs/>
          <w:b/>
        </w:rPr>
        <w:t xml:space="preserve">三层协同定向采集架构</w:t>
      </w:r>
      <w:r>
        <w:t xml:space="preserve">，由两个核心角色组成：</w:t>
      </w:r>
      <w:r>
        <w:rPr>
          <w:bCs/>
          <w:b/>
        </w:rPr>
        <w:t xml:space="preserve">日志节点采集器（Agent）</w:t>
      </w:r>
      <w:r>
        <w:t xml:space="preserve">和</w:t>
      </w:r>
      <w:r>
        <w:rPr>
          <w:bCs/>
          <w:b/>
        </w:rPr>
        <w:t xml:space="preserve">日志中心（Center）</w:t>
      </w:r>
      <w:r>
        <w:t xml:space="preserve">。Agent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w:t>
      </w:r>
      <w:hyperlink w:anchor="fig:arch">
        <w:r>
          <w:rPr>
            <w:rStyle w:val="Hyperlink"/>
          </w:rPr>
          <w:t xml:space="preserve">1</w:t>
        </w:r>
      </w:hyperlink>
      <w:r>
        <w:t xml:space="preserve">。</w:t>
      </w:r>
    </w:p>
    <w:p>
      <w:pPr>
        <w:pStyle w:val="BodyText"/>
      </w:pPr>
      <w:r>
        <w:t xml:space="preserve">从能力边界来看，整个框架可以分为三层：</w:t>
      </w:r>
      <w:r>
        <w:rPr>
          <w:bCs/>
          <w:b/>
        </w:rPr>
        <w:t xml:space="preserve">网关预筛选、节点定向采集、中心二次过滤</w:t>
      </w:r>
      <w:r>
        <w:t xml:space="preserve">，如表 </w:t>
      </w:r>
      <w:hyperlink w:anchor="tab:framework_layers">
        <w:r>
          <w:rPr>
            <w:rStyle w:val="Hyperlink"/>
          </w:rPr>
          <w:t xml:space="preserve">[tab:framework_layers]</w:t>
        </w:r>
      </w:hyperlink>
      <w:r>
        <w:t xml:space="preserve"> </w:t>
      </w:r>
      <w:r>
        <w:t xml:space="preserve">所示。三层分别负责运行时流量感知、本地日志减量和中心入库控制，每层的输入输出都可以独立审计，也方便与 AIOps 平台的数据采集能力对接。</w:t>
      </w:r>
    </w:p>
    <w:p>
      <w:pPr>
        <w:pStyle w:val="CaptionedFigure"/>
      </w:pPr>
      <w:r>
        <w:drawing>
          <wp:inline>
            <wp:extent cx="5067300" cy="3074043"/>
            <wp:effectExtent b="0" l="0" r="0" t="0"/>
            <wp:docPr descr="" title="" id="32" name="Picture"/>
            <a:graphic>
              <a:graphicData uri="http://schemas.openxmlformats.org/drawingml/2006/picture">
                <pic:pic>
                  <pic:nvPicPr>
                    <pic:cNvPr descr="fig1_system_overview.pdf" id="33" name="Picture"/>
                    <pic:cNvPicPr>
                      <a:picLocks noChangeArrowheads="1" noChangeAspect="1"/>
                    </pic:cNvPicPr>
                  </pic:nvPicPr>
                  <pic:blipFill>
                    <a:blip r:embed="rId31"/>
                    <a:stretch>
                      <a:fillRect/>
                    </a:stretch>
                  </pic:blipFill>
                  <pic:spPr bwMode="auto">
                    <a:xfrm>
                      <a:off x="0" y="0"/>
                      <a:ext cx="5067300" cy="3074043"/>
                    </a:xfrm>
                    <a:prstGeom prst="rect">
                      <a:avLst/>
                    </a:prstGeom>
                    <a:noFill/>
                    <a:ln w="9525">
                      <a:noFill/>
                      <a:headEnd/>
                      <a:tailEnd/>
                    </a:ln>
                  </pic:spPr>
                </pic:pic>
              </a:graphicData>
            </a:graphic>
          </wp:inline>
        </w:drawing>
      </w:r>
    </w:p>
    <w:p>
      <w:pPr>
        <w:pStyle w:val="ImageCaption"/>
      </w:pPr>
      <w:r>
        <w:t xml:space="preserve">分布式定向日志采集系统总体架构</w:t>
      </w:r>
    </w:p>
    <w:bookmarkEnd w:id="34"/>
    <w:bookmarkStart w:id="35" w:name="工作流程"/>
    <w:p>
      <w:pPr>
        <w:pStyle w:val="Heading2"/>
      </w:pPr>
      <w:r>
        <w:t xml:space="preserve">工作流程</w:t>
      </w:r>
    </w:p>
    <w:p>
      <w:pPr>
        <w:pStyle w:val="FirstParagraph"/>
      </w:pPr>
      <w:r>
        <w:t xml:space="preserve">系统的运行过程分为以下五个步骤：</w:t>
      </w:r>
    </w:p>
    <w:p>
      <w:pPr>
        <w:numPr>
          <w:ilvl w:val="0"/>
          <w:numId w:val="1001"/>
        </w:numPr>
      </w:pPr>
      <w:r>
        <w:t xml:space="preserve">网关在</w:t>
      </w:r>
      <w:r>
        <w:t xml:space="preserve"> </w:t>
      </w:r>
      <w:r>
        <w:rPr>
          <w:rStyle w:val="VerbatimChar"/>
        </w:rPr>
        <w:t xml:space="preserve">log_by_lua</w:t>
      </w:r>
      <w:r>
        <w:t xml:space="preserve"> </w:t>
      </w:r>
      <w:r>
        <w:t xml:space="preserve">阶段采集 URL、状态码、响应时延等字段，写入共享内存缓冲区；</w:t>
      </w:r>
    </w:p>
    <w:p>
      <w:pPr>
        <w:numPr>
          <w:ilvl w:val="0"/>
          <w:numId w:val="1001"/>
        </w:numPr>
      </w:pPr>
      <w:r>
        <w:t xml:space="preserve">网关 Agent 定期从缓冲区拉取流量日志，通过 gRPC 上传到 Center，Center 将其缓存到 Redis；</w:t>
      </w:r>
    </w:p>
    <w:p>
      <w:pPr>
        <w:numPr>
          <w:ilvl w:val="0"/>
          <w:numId w:val="1001"/>
        </w:numPr>
      </w:pPr>
      <w:r>
        <w:t xml:space="preserve">Center 对流量日志做高价值过滤和 URL 聚类，生成 Top-</w:t>
      </w:r>
      <m:oMath>
        <m:r>
          <m:t>K</m:t>
        </m:r>
      </m:oMath>
      <w:r>
        <w:t xml:space="preserve"> </w:t>
      </w:r>
      <w:r>
        <w:t xml:space="preserve">关注清单，再通过 gRPC 下发给各节点；</w:t>
      </w:r>
    </w:p>
    <w:p>
      <w:pPr>
        <w:numPr>
          <w:ilvl w:val="0"/>
          <w:numId w:val="1001"/>
        </w:numPr>
      </w:pPr>
      <w:r>
        <w:t xml:space="preserve">微服务 Agent 拿到清单后，匹配本地应用日志，命中的日志写入固定缓存块，异步压缩上传；</w:t>
      </w:r>
    </w:p>
    <w:p>
      <w:pPr>
        <w:numPr>
          <w:ilvl w:val="0"/>
          <w:numId w:val="1001"/>
        </w:numPr>
      </w:pPr>
      <w:r>
        <w:t xml:space="preserve">Center 做二次过滤和去重，最后批量推送到 Loki，供 Grafana 查询使用。</w:t>
      </w:r>
    </w:p>
    <w:bookmarkEnd w:id="35"/>
    <w:bookmarkStart w:id="36" w:name="部署模式"/>
    <w:p>
      <w:pPr>
        <w:pStyle w:val="Heading2"/>
      </w:pPr>
      <w:r>
        <w:t xml:space="preserve">部署模式</w:t>
      </w:r>
    </w:p>
    <w:p>
      <w:pPr>
        <w:pStyle w:val="FirstParagraph"/>
      </w:pPr>
      <w:r>
        <w:rPr>
          <w:bCs/>
          <w:b/>
        </w:rPr>
        <w:t xml:space="preserve">Sidecar 模式</w:t>
      </w:r>
      <w:r>
        <w:t xml:space="preserve">：Agent 与业务容器共享网络命名空间（</w:t>
      </w:r>
      <w:r>
        <w:rPr>
          <w:rStyle w:val="VerbatimChar"/>
        </w:rPr>
        <w:t xml:space="preserve">network_mode: service:*</w:t>
      </w:r>
      <w:r>
        <w:t xml:space="preserve">），适用于 Kubernetes 或 Docker Compose 环境。</w:t>
      </w:r>
      <w:r>
        <w:rPr>
          <w:bCs/>
          <w:b/>
        </w:rPr>
        <w:t xml:space="preserve">混合开发模式</w:t>
      </w:r>
      <w:r>
        <w:t xml:space="preserve">：基础设施跑在容器里，Center 和 Agent 在本地调试。原型部署在 WSL2 上，网关映射端口 8088（避开 Windows IIS 占用的 80 端口）。</w:t>
      </w:r>
    </w:p>
    <w:bookmarkEnd w:id="36"/>
    <w:bookmarkEnd w:id="37"/>
    <w:bookmarkStart w:id="48" w:name="关键算法"/>
    <w:p>
      <w:pPr>
        <w:pStyle w:val="Heading1"/>
      </w:pPr>
      <w:r>
        <w:t xml:space="preserve">关键算法</w:t>
      </w:r>
    </w:p>
    <w:p>
      <w:pPr>
        <w:pStyle w:val="FirstParagraph"/>
      </w:pPr>
      <w:r>
        <w:t xml:space="preserve">本节详述框架的三个核心机制：关注清单如何从网关流量中动态生成、定向策略如何在三层之间保持语义一致、以及节点侧如何在资源受限下保障可靠传输。</w:t>
      </w:r>
    </w:p>
    <w:bookmarkStart w:id="38" w:name="关注清单动态生成"/>
    <w:p>
      <w:pPr>
        <w:pStyle w:val="Heading2"/>
      </w:pPr>
      <w:r>
        <w:t xml:space="preserve">关注清单动态生成</w:t>
      </w:r>
    </w:p>
    <w:p>
      <w:pPr>
        <w:pStyle w:val="FirstParagraph"/>
      </w:pPr>
      <w:r>
        <w:rPr>
          <w:bCs/>
          <w:b/>
        </w:rPr>
        <w:t xml:space="preserve">输入</w:t>
      </w:r>
      <w:r>
        <w:t xml:space="preserve">：时间窗口内网关流量日志集合</w:t>
      </w:r>
      <w:r>
        <w:t xml:space="preserve"> </w:t>
      </w:r>
      <m:oMath>
        <m:r>
          <m:t>L</m:t>
        </m:r>
        <m:r>
          <m:rPr>
            <m:sty m:val="p"/>
          </m:rPr>
          <m:t>=</m:t>
        </m:r>
        <m:r>
          <m:rPr>
            <m:sty m:val="p"/>
          </m:rPr>
          <m:t>{</m:t>
        </m:r>
        <m:sSub>
          <m:e>
            <m:r>
              <m:t>l</m:t>
            </m:r>
          </m:e>
          <m:sub>
            <m:r>
              <m:t>1</m:t>
            </m:r>
          </m:sub>
        </m:sSub>
        <m:r>
          <m:rPr>
            <m:sty m:val="p"/>
          </m:rPr>
          <m:t>,</m:t>
        </m:r>
        <m:r>
          <m:rPr>
            <m:sty m:val="p"/>
          </m:rPr>
          <m:t>…</m:t>
        </m:r>
        <m:r>
          <m:rPr>
            <m:sty m:val="p"/>
          </m:rPr>
          <m:t>,</m:t>
        </m:r>
        <m:sSub>
          <m:e>
            <m:r>
              <m:t>l</m:t>
            </m:r>
          </m:e>
          <m:sub>
            <m:r>
              <m:t>N</m:t>
            </m:r>
          </m:sub>
        </m:sSub>
        <m:r>
          <m:rPr>
            <m:sty m:val="p"/>
          </m:rPr>
          <m:t>}</m:t>
        </m:r>
      </m:oMath>
      <w:r>
        <w:t xml:space="preserve">；定向策略</w:t>
      </w:r>
      <w:r>
        <w:t xml:space="preserve"> </w:t>
      </w:r>
      <m:oMath>
        <m:r>
          <m:t>S</m:t>
        </m:r>
      </m:oMath>
      <w:r>
        <w:t xml:space="preserve">（响应时延阈值</w:t>
      </w:r>
      <w:r>
        <w:t xml:space="preserve"> </w:t>
      </w:r>
      <m:oMath>
        <m:r>
          <m:t>T</m:t>
        </m:r>
      </m:oMath>
      <w:r>
        <w:t xml:space="preserve">、错误码集合</w:t>
      </w:r>
      <w:r>
        <w:t xml:space="preserve"> </w:t>
      </w:r>
      <m:oMath>
        <m:r>
          <m:t>E</m:t>
        </m:r>
      </m:oMath>
      <w:r>
        <w:t xml:space="preserve">）。</w:t>
      </w:r>
      <w:r>
        <w:br/>
      </w:r>
      <w:r>
        <w:rPr>
          <w:bCs/>
          <w:b/>
        </w:rPr>
        <w:t xml:space="preserve">输出</w:t>
      </w:r>
      <w:r>
        <w:t xml:space="preserve">：关注清单</w:t>
      </w:r>
      <w:r>
        <w:t xml:space="preserve"> </w:t>
      </w:r>
      <m:oMath>
        <m:r>
          <m:t>A</m:t>
        </m:r>
        <m:r>
          <m:rPr>
            <m:sty m:val="p"/>
          </m:rPr>
          <m:t>=</m:t>
        </m:r>
        <m:r>
          <m:rPr>
            <m:sty m:val="p"/>
          </m:rPr>
          <m:t>{</m:t>
        </m:r>
        <m:d>
          <m:dPr>
            <m:begChr m:val="("/>
            <m:endChr m:val=")"/>
            <m:sepChr m:val=""/>
            <m:grow/>
          </m:dPr>
          <m:e>
            <m:sSub>
              <m:e>
                <m:r>
                  <m:t>p</m:t>
                </m:r>
              </m:e>
              <m:sub>
                <m:r>
                  <m:t>i</m:t>
                </m:r>
              </m:sub>
            </m:sSub>
            <m:r>
              <m:rPr>
                <m:sty m:val="p"/>
              </m:rPr>
              <m:t>,</m:t>
            </m:r>
            <m:sSub>
              <m:e>
                <m:r>
                  <m:t>w</m:t>
                </m:r>
              </m:e>
              <m:sub>
                <m:r>
                  <m:t>i</m:t>
                </m:r>
              </m:sub>
            </m:sSub>
          </m:e>
        </m:d>
        <m:r>
          <m:rPr>
            <m:sty m:val="p"/>
          </m:rPr>
          <m:t>}</m:t>
        </m:r>
      </m:oMath>
      <w:r>
        <w:t xml:space="preserve">，</w:t>
      </w:r>
      <m:oMath>
        <m:sSub>
          <m:e>
            <m:r>
              <m:t>p</m:t>
            </m:r>
          </m:e>
          <m:sub>
            <m:r>
              <m:t>i</m:t>
            </m:r>
          </m:sub>
        </m:sSub>
      </m:oMath>
      <w:r>
        <w:t xml:space="preserve"> </w:t>
      </w:r>
      <w:r>
        <w:t xml:space="preserve">为泛化 URL 模式，</w:t>
      </w:r>
      <m:oMath>
        <m:sSub>
          <m:e>
            <m:r>
              <m:t>w</m:t>
            </m:r>
          </m:e>
          <m:sub>
            <m:r>
              <m:t>i</m:t>
            </m:r>
          </m:sub>
        </m:sSub>
      </m:oMath>
      <w:r>
        <w:t xml:space="preserve"> </w:t>
      </w:r>
      <w:r>
        <w:t xml:space="preserve">为权重。</w:t>
      </w:r>
    </w:p>
    <w:p>
      <w:pPr>
        <w:pStyle w:val="BodyText"/>
      </w:pPr>
      <m:oMath>
        <m:r>
          <m:t>H</m:t>
        </m:r>
        <m:r>
          <m:rPr>
            <m:sty m:val="p"/>
          </m:rPr>
          <m:t>←</m:t>
        </m:r>
        <m:r>
          <m:rPr>
            <m:sty m:val="p"/>
          </m:rPr>
          <m:t>∅</m:t>
        </m:r>
      </m:oMath>
      <w:r>
        <w:t xml:space="preserve"> </w:t>
      </w:r>
      <m:oMath>
        <m:r>
          <m:t>A</m:t>
        </m:r>
        <m:r>
          <m:rPr>
            <m:sty m:val="p"/>
          </m:rPr>
          <m:t>←</m:t>
        </m:r>
        <m:r>
          <m:rPr>
            <m:sty m:val="p"/>
          </m:rPr>
          <m:t>T</m:t>
        </m:r>
        <m:r>
          <m:rPr>
            <m:sty m:val="p"/>
          </m:rPr>
          <m:t>o</m:t>
        </m:r>
        <m:r>
          <m:rPr>
            <m:sty m:val="p"/>
          </m:rPr>
          <m:t>p</m:t>
        </m:r>
        <m:r>
          <m:rPr>
            <m:sty m:val="p"/>
          </m:rPr>
          <m:t>K</m:t>
        </m:r>
        <m:d>
          <m:dPr>
            <m:begChr m:val="("/>
            <m:endChr m:val=")"/>
            <m:sepChr m:val=""/>
            <m:grow/>
          </m:dPr>
          <m:e>
            <m:r>
              <m:t>H</m:t>
            </m:r>
            <m:r>
              <m:rPr>
                <m:sty m:val="p"/>
              </m:rPr>
              <m:t>,</m:t>
            </m:r>
            <m:r>
              <m:t>K</m:t>
            </m:r>
          </m:e>
        </m:d>
      </m:oMath>
    </w:p>
    <w:p>
      <w:pPr>
        <w:pStyle w:val="BodyText"/>
      </w:pPr>
      <w:r>
        <w:t xml:space="preserve">算法的核心思路很直接：先线性扫描</w:t>
      </w:r>
      <w:r>
        <w:t xml:space="preserve"> </w:t>
      </w:r>
      <m:oMath>
        <m:r>
          <m:t>N</m:t>
        </m:r>
      </m:oMath>
      <w:r>
        <w:t xml:space="preserve"> </w:t>
      </w:r>
      <w:r>
        <w:t xml:space="preserve">条流量日志，把满足阈值条件的记录映射到</w:t>
      </w:r>
      <w:r>
        <w:t xml:space="preserve"> </w:t>
      </w:r>
      <m:oMath>
        <m:r>
          <m:t>M</m:t>
        </m:r>
      </m:oMath>
      <w:r>
        <w:t xml:space="preserve"> </w:t>
      </w:r>
      <w:r>
        <w:t xml:space="preserve">个泛化 URL 模式（</w:t>
      </w:r>
      <m:oMath>
        <m:r>
          <m:t>M</m:t>
        </m:r>
        <m:r>
          <m:rPr>
            <m:sty m:val="p"/>
          </m:rPr>
          <m:t>≤</m:t>
        </m:r>
        <m:r>
          <m:t>N</m:t>
        </m:r>
      </m:oMath>
      <w:r>
        <w:t xml:space="preserve">），然后从中选出权重最高的 Top-</w:t>
      </w:r>
      <m:oMath>
        <m:r>
          <m:t>K</m:t>
        </m:r>
      </m:oMath>
      <w:r>
        <w:t xml:space="preserve"> </w:t>
      </w:r>
      <w:r>
        <w:t xml:space="preserve">项。Top-</w:t>
      </w:r>
      <m:oMath>
        <m:r>
          <m:t>K</m:t>
        </m:r>
      </m:oMath>
      <w:r>
        <w:t xml:space="preserve"> </w:t>
      </w:r>
      <w:r>
        <w:t xml:space="preserve">选取有两种实现方式：一种是全量排序，复杂度为</w:t>
      </w:r>
      <w:r>
        <w:t xml:space="preserve"> </w:t>
      </w:r>
      <m:oMath>
        <m:r>
          <m:t>O</m:t>
        </m:r>
        <m:d>
          <m:dPr>
            <m:begChr m:val="("/>
            <m:endChr m:val=")"/>
            <m:sepChr m:val=""/>
            <m:grow/>
          </m:dPr>
          <m:e>
            <m:r>
              <m:t>N</m:t>
            </m:r>
            <m:r>
              <m:rPr>
                <m:sty m:val="p"/>
              </m:rPr>
              <m:t>+</m:t>
            </m:r>
            <m:r>
              <m:t>M</m:t>
            </m:r>
            <m:r>
              <m:rPr>
                <m:sty m:val="p"/>
              </m:rPr>
              <m:t>log</m:t>
            </m:r>
            <m:r>
              <m:t>M</m:t>
            </m:r>
          </m:e>
        </m:d>
      </m:oMath>
      <w:r>
        <w:t xml:space="preserve">，上界可简写为</w:t>
      </w:r>
      <w:r>
        <w:t xml:space="preserve"> </w:t>
      </w:r>
      <m:oMath>
        <m:r>
          <m:t>O</m:t>
        </m:r>
        <m:d>
          <m:dPr>
            <m:begChr m:val="("/>
            <m:endChr m:val=")"/>
            <m:sepChr m:val=""/>
            <m:grow/>
          </m:dPr>
          <m:e>
            <m:r>
              <m:t>N</m:t>
            </m:r>
            <m:r>
              <m:rPr>
                <m:sty m:val="p"/>
              </m:rPr>
              <m:t>log</m:t>
            </m:r>
            <m:r>
              <m:t>N</m:t>
            </m:r>
          </m:e>
        </m:d>
      </m:oMath>
      <w:r>
        <w:t xml:space="preserve">；另一种是维护一个大小为</w:t>
      </w:r>
      <w:r>
        <w:t xml:space="preserve"> </w:t>
      </w:r>
      <m:oMath>
        <m:r>
          <m:t>K</m:t>
        </m:r>
      </m:oMath>
      <w:r>
        <w:t xml:space="preserve"> </w:t>
      </w:r>
      <w:r>
        <w:t xml:space="preserve">的最小堆，复杂度为</w:t>
      </w:r>
      <w:r>
        <w:t xml:space="preserve"> </w:t>
      </w:r>
      <m:oMath>
        <m:r>
          <m:t>O</m:t>
        </m:r>
        <m:d>
          <m:dPr>
            <m:begChr m:val="("/>
            <m:endChr m:val=")"/>
            <m:sepChr m:val=""/>
            <m:grow/>
          </m:dPr>
          <m:e>
            <m:r>
              <m:t>N</m:t>
            </m:r>
            <m:r>
              <m:rPr>
                <m:sty m:val="p"/>
              </m:rPr>
              <m:t>+</m:t>
            </m:r>
            <m:r>
              <m:t>M</m:t>
            </m:r>
            <m:r>
              <m:rPr>
                <m:sty m:val="p"/>
              </m:rPr>
              <m:t>log</m:t>
            </m:r>
            <m:r>
              <m:t>K</m:t>
            </m:r>
          </m:e>
        </m:d>
      </m:oMath>
      <w:r>
        <w:t xml:space="preserve">，当</w:t>
      </w:r>
      <w:r>
        <w:t xml:space="preserve"> </w:t>
      </w:r>
      <m:oMath>
        <m:r>
          <m:t>K</m:t>
        </m:r>
        <m:r>
          <m:rPr>
            <m:sty m:val="p"/>
          </m:rPr>
          <m:t>≪</m:t>
        </m:r>
        <m:r>
          <m:t>M</m:t>
        </m:r>
      </m:oMath>
      <w:r>
        <w:t xml:space="preserve"> </w:t>
      </w:r>
      <w:r>
        <w:t xml:space="preserve">时效率更高。当前原型采用排序实现，主要是便于审计和复现实验。</w:t>
      </w:r>
    </w:p>
    <w:p>
      <w:pPr>
        <w:pStyle w:val="BodyText"/>
      </w:pPr>
      <w:r>
        <w:t xml:space="preserve">URL 泛化规则包括：纯数字路径段映射为</w:t>
      </w:r>
      <w:r>
        <w:t xml:space="preserve"> </w:t>
      </w:r>
      <w:r>
        <w:rPr>
          <w:rStyle w:val="VerbatimChar"/>
        </w:rPr>
        <w:t xml:space="preserve">{id}</w:t>
      </w:r>
      <w:r>
        <w:t xml:space="preserve">，UUID 或长哈希段映射为</w:t>
      </w:r>
      <w:r>
        <w:t xml:space="preserve"> </w:t>
      </w:r>
      <w:r>
        <w:rPr>
          <w:rStyle w:val="VerbatimChar"/>
        </w:rPr>
        <w:t xml:space="preserve">{uuid}</w:t>
      </w:r>
      <w:r>
        <w:t xml:space="preserve">，查询参数按键名归一化。这样一来，Apache Combined 风格的访问日志就能直接转换为关注清单项。如果遇到加密日志、非 URL 型业务日志，或者异常极稀疏的窗口，算法会退化为仅保留 ERROR 级别的兜底规则。微基准测试显示，处理 5000 条合成日志大约耗时 15 ms（图 </w:t>
      </w:r>
      <w:hyperlink w:anchor="fig:attention">
        <w:r>
          <w:rPr>
            <w:rStyle w:val="Hyperlink"/>
          </w:rPr>
          <w:t xml:space="preserve">6</w:t>
        </w:r>
      </w:hyperlink>
      <w:r>
        <w:t xml:space="preserve">）。和 Promtail 依赖静态标签配置不同，本算法以网关 access log 为策略输入，能动态识别高价值 URL 模式。</w:t>
      </w:r>
    </w:p>
    <w:bookmarkEnd w:id="38"/>
    <w:bookmarkStart w:id="39" w:name="固定缓存块"/>
    <w:p>
      <w:pPr>
        <w:pStyle w:val="Heading2"/>
      </w:pPr>
      <w:r>
        <w:t xml:space="preserve">固定缓存块</w:t>
      </w:r>
    </w:p>
    <w:p>
      <w:pPr>
        <w:pStyle w:val="FirstParagraph"/>
      </w:pPr>
      <w:r>
        <w:t xml:space="preserve">每个节点预先分配一块固定大小的内存</w:t>
      </w:r>
      <w:r>
        <w:t xml:space="preserve"> </w:t>
      </w:r>
      <m:oMath>
        <m:r>
          <m:t>B</m:t>
        </m:r>
      </m:oMath>
      <w:r>
        <w:t xml:space="preserve">（默认 64–128 MB），内部组织为环形队列，同时约束条目数和字节数。当占用率超过阈值</w:t>
      </w:r>
      <w:r>
        <w:t xml:space="preserve"> </w:t>
      </w:r>
      <m:oMath>
        <m:r>
          <m:t>θ</m:t>
        </m:r>
      </m:oMath>
      <w:r>
        <w:t xml:space="preserve">（默认 80%）或定时器触发时，就异步做 gzip 压缩上传；队列满了则按 FIFO 策略淘汰最旧的条目，确保内存使用始终有界。</w:t>
      </w:r>
    </w:p>
    <w:bookmarkEnd w:id="39"/>
    <w:bookmarkStart w:id="43" w:name="定向策略三次转换"/>
    <w:p>
      <w:pPr>
        <w:pStyle w:val="Heading2"/>
      </w:pPr>
      <w:r>
        <w:t xml:space="preserve">定向策略三次转换</w:t>
      </w:r>
    </w:p>
    <w:p>
      <w:pPr>
        <w:pStyle w:val="FirstParagraph"/>
      </w:pPr>
      <w:r>
        <w:t xml:space="preserve">为了让策略在不同层级之间保持语义一致，本文设计了三次转换机制（图 </w:t>
      </w:r>
      <w:hyperlink w:anchor="fig:transform">
        <w:r>
          <w:rPr>
            <w:rStyle w:val="Hyperlink"/>
          </w:rPr>
          <w:t xml:space="preserve">2</w:t>
        </w:r>
      </w:hyperlink>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作用</w:t>
            </w:r>
          </w:p>
        </w:tc>
      </w:tr>
      <w:tr>
        <w:tc>
          <w:tcPr/>
          <w:p>
            <w:pPr>
              <w:pStyle w:val="Compact"/>
              <w:jc w:val="left"/>
            </w:pPr>
            <w:r>
              <w:t xml:space="preserve">第一次</w:t>
            </w:r>
          </w:p>
        </w:tc>
        <w:tc>
          <w:tcPr/>
          <w:p>
            <w:pPr>
              <w:pStyle w:val="Compact"/>
              <w:jc w:val="left"/>
            </w:pPr>
            <w:r>
              <w:t xml:space="preserve">定向策略</w:t>
            </w:r>
            <w:r>
              <w:t xml:space="preserve"> </w:t>
            </w:r>
            <m:oMath>
              <m:r>
                <m:t>S</m:t>
              </m:r>
            </m:oMath>
          </w:p>
        </w:tc>
        <w:tc>
          <w:tcPr/>
          <w:p>
            <w:pPr>
              <w:pStyle w:val="Compact"/>
              <w:jc w:val="left"/>
            </w:pPr>
            <w:r>
              <w:t xml:space="preserve">网关采集规则</w:t>
            </w:r>
          </w:p>
        </w:tc>
        <w:tc>
          <w:tcPr/>
          <w:p>
            <w:pPr>
              <w:pStyle w:val="Compact"/>
              <w:jc w:val="left"/>
            </w:pPr>
            <w:r>
              <w:t xml:space="preserve">Nginx 预筛选（阈值</w:t>
            </w:r>
            <w:r>
              <w:t xml:space="preserve"> </w:t>
            </w:r>
            <m:oMath>
              <m:r>
                <m:t>T</m:t>
              </m:r>
              <m:r>
                <m:rPr>
                  <m:sty m:val="p"/>
                </m:rPr>
                <m:t>/</m:t>
              </m:r>
              <m:r>
                <m:t>5</m:t>
              </m:r>
            </m:oMath>
            <w:r>
              <w:t xml:space="preserve">）</w:t>
            </w:r>
          </w:p>
        </w:tc>
      </w:tr>
      <w:tr>
        <w:tc>
          <w:tcPr/>
          <w:p>
            <w:pPr>
              <w:pStyle w:val="Compact"/>
              <w:jc w:val="left"/>
            </w:pPr>
            <w:r>
              <w:t xml:space="preserve">第二次</w:t>
            </w:r>
          </w:p>
        </w:tc>
        <w:tc>
          <w:tcPr/>
          <w:p>
            <w:pPr>
              <w:pStyle w:val="Compact"/>
              <w:jc w:val="left"/>
            </w:pPr>
            <w:r>
              <w:t xml:space="preserve">网关日志+</w:t>
            </w:r>
            <m:oMath>
              <m:r>
                <m:t>S</m:t>
              </m:r>
            </m:oMath>
          </w:p>
        </w:tc>
        <w:tc>
          <w:tcPr/>
          <w:p>
            <w:pPr>
              <w:pStyle w:val="Compact"/>
              <w:jc w:val="left"/>
            </w:pPr>
            <w:r>
              <w:t xml:space="preserve">Agent 过滤规则</w:t>
            </w:r>
          </w:p>
        </w:tc>
        <w:tc>
          <w:tcPr/>
          <w:p>
            <w:pPr>
              <w:pStyle w:val="Compact"/>
              <w:jc w:val="left"/>
            </w:pPr>
            <w:r>
              <w:t xml:space="preserve">驱动节点定向采集</w:t>
            </w:r>
          </w:p>
        </w:tc>
      </w:tr>
      <w:tr>
        <w:tc>
          <w:tcPr/>
          <w:p>
            <w:pPr>
              <w:pStyle w:val="Compact"/>
              <w:jc w:val="left"/>
            </w:pPr>
            <w:r>
              <w:t xml:space="preserve">第三次</w:t>
            </w:r>
          </w:p>
        </w:tc>
        <w:tc>
          <w:tcPr/>
          <w:p>
            <w:pPr>
              <w:pStyle w:val="Compact"/>
              <w:jc w:val="left"/>
            </w:pPr>
            <w:r>
              <w:t xml:space="preserve">关注清单+服务日志</w:t>
            </w:r>
          </w:p>
        </w:tc>
        <w:tc>
          <w:tcPr/>
          <w:p>
            <w:pPr>
              <w:pStyle w:val="Compact"/>
              <w:jc w:val="left"/>
            </w:pPr>
            <w:r>
              <w:t xml:space="preserve">Loki 存储规则</w:t>
            </w:r>
          </w:p>
        </w:tc>
        <w:tc>
          <w:tcPr/>
          <w:p>
            <w:pPr>
              <w:pStyle w:val="Compact"/>
              <w:jc w:val="left"/>
            </w:pPr>
            <w:r>
              <w:t xml:space="preserve">中心二次过滤与入库</w:t>
            </w:r>
          </w:p>
        </w:tc>
      </w:tr>
    </w:tbl>
    <w:p>
      <w:pPr>
        <w:pStyle w:val="BodyText"/>
      </w:pPr>
      <w:r>
        <w:t xml:space="preserve">三次转换能正确工作，靠的是两个前提：同一关注清单版本号</w:t>
      </w:r>
      <w:r>
        <w:t xml:space="preserve"> </w:t>
      </w:r>
      <m:oMath>
        <m:r>
          <m:t>v</m:t>
        </m:r>
      </m:oMath>
      <w:r>
        <w:t xml:space="preserve"> </w:t>
      </w:r>
      <w:r>
        <w:t xml:space="preserve">和同一 URL 泛化函数</w:t>
      </w:r>
      <w:r>
        <w:t xml:space="preserve"> </w:t>
      </w:r>
      <m:oMath>
        <m:r>
          <m:rPr>
            <m:sty m:val="p"/>
          </m:rPr>
          <m:t>G</m:t>
        </m:r>
        <m:r>
          <m:rPr>
            <m:sty m:val="p"/>
          </m:rPr>
          <m:t>e</m:t>
        </m:r>
        <m:r>
          <m:rPr>
            <m:sty m:val="p"/>
          </m:rPr>
          <m:t>n</m:t>
        </m:r>
        <m:r>
          <m:rPr>
            <m:sty m:val="p"/>
          </m:rPr>
          <m:t>e</m:t>
        </m:r>
        <m:r>
          <m:rPr>
            <m:sty m:val="p"/>
          </m:rPr>
          <m:t>r</m:t>
        </m:r>
        <m:r>
          <m:rPr>
            <m:sty m:val="p"/>
          </m:rPr>
          <m:t>a</m:t>
        </m:r>
        <m:r>
          <m:rPr>
            <m:sty m:val="p"/>
          </m:rPr>
          <m:t>l</m:t>
        </m:r>
        <m:r>
          <m:rPr>
            <m:sty m:val="p"/>
          </m:rPr>
          <m:t>i</m:t>
        </m:r>
        <m:r>
          <m:rPr>
            <m:sty m:val="p"/>
          </m:rPr>
          <m:t>z</m:t>
        </m:r>
        <m:r>
          <m:rPr>
            <m:sty m:val="p"/>
          </m:rPr>
          <m:t>e</m:t>
        </m:r>
        <m:d>
          <m:dPr>
            <m:begChr m:val="("/>
            <m:endChr m:val=")"/>
            <m:sepChr m:val=""/>
            <m:grow/>
          </m:dPr>
          <m:e>
            <m:r>
              <m:rPr>
                <m:sty m:val="p"/>
              </m:rPr>
              <m:t>⋅</m:t>
            </m:r>
          </m:e>
        </m:d>
      </m:oMath>
      <w:r>
        <w:t xml:space="preserve">。第一次转换用一个较宽松的阈值筛选流量日志，目的是不在网关侧过早丢掉潜在异常。第二次转换把候选集合压缩为 Top-</w:t>
      </w:r>
      <m:oMath>
        <m:r>
          <m:t>K</m:t>
        </m:r>
      </m:oMath>
      <w:r>
        <w:t xml:space="preserve"> </w:t>
      </w:r>
      <w:r>
        <w:t xml:space="preserve">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CaptionedFigure"/>
      </w:pPr>
      <w:r>
        <w:drawing>
          <wp:inline>
            <wp:extent cx="4907280" cy="2256319"/>
            <wp:effectExtent b="0" l="0" r="0" t="0"/>
            <wp:docPr descr="" title="" id="41" name="Picture"/>
            <a:graphic>
              <a:graphicData uri="http://schemas.openxmlformats.org/drawingml/2006/picture">
                <pic:pic>
                  <pic:nvPicPr>
                    <pic:cNvPr descr="fig2_triple_transform.pdf" id="42" name="Picture"/>
                    <pic:cNvPicPr>
                      <a:picLocks noChangeArrowheads="1" noChangeAspect="1"/>
                    </pic:cNvPicPr>
                  </pic:nvPicPr>
                  <pic:blipFill>
                    <a:blip r:embed="rId40"/>
                    <a:stretch>
                      <a:fillRect/>
                    </a:stretch>
                  </pic:blipFill>
                  <pic:spPr bwMode="auto">
                    <a:xfrm>
                      <a:off x="0" y="0"/>
                      <a:ext cx="4907280" cy="2256319"/>
                    </a:xfrm>
                    <a:prstGeom prst="rect">
                      <a:avLst/>
                    </a:prstGeom>
                    <a:noFill/>
                    <a:ln w="9525">
                      <a:noFill/>
                      <a:headEnd/>
                      <a:tailEnd/>
                    </a:ln>
                  </pic:spPr>
                </pic:pic>
              </a:graphicData>
            </a:graphic>
          </wp:inline>
        </w:drawing>
      </w:r>
    </w:p>
    <w:p>
      <w:pPr>
        <w:pStyle w:val="ImageCaption"/>
      </w:pPr>
      <w:r>
        <w:t xml:space="preserve">定向策略三次转换算法流程</w:t>
      </w:r>
    </w:p>
    <w:bookmarkEnd w:id="43"/>
    <w:bookmarkStart w:id="47" w:name="压力感知指数退避"/>
    <w:p>
      <w:pPr>
        <w:pStyle w:val="Heading2"/>
      </w:pPr>
      <w:r>
        <w:t xml:space="preserve">压力感知指数退避</w:t>
      </w:r>
    </w:p>
    <w:p>
      <w:pPr>
        <w:pStyle w:val="FirstParagraph"/>
      </w:pPr>
      <w:r>
        <w:t xml:space="preserve">上传失败时，第</w:t>
      </w:r>
      <w:r>
        <w:t xml:space="preserve"> </w:t>
      </w:r>
      <m:oMath>
        <m:r>
          <m:t>n</m:t>
        </m:r>
      </m:oMath>
      <w:r>
        <w:t xml:space="preserve"> </w:t>
      </w:r>
      <w:r>
        <w:t xml:space="preserve">次重试前的等待时间定义为</w:t>
      </w:r>
    </w:p>
    <w:p>
      <w:pPr>
        <w:pStyle w:val="BodyText"/>
      </w:pPr>
      <m:oMathPara>
        <m:oMathParaPr>
          <m:jc m:val="center"/>
        </m:oMathParaPr>
        <m:oMath>
          <m:sSub>
            <m:e>
              <m:r>
                <m:t>d</m:t>
              </m:r>
            </m:e>
            <m:sub>
              <m:r>
                <m:t>n</m:t>
              </m:r>
            </m:sub>
          </m:sSub>
          <m:r>
            <m:rPr>
              <m:sty m:val="p"/>
            </m:rPr>
            <m:t>=</m:t>
          </m:r>
          <m:r>
            <m:rPr>
              <m:sty m:val="p"/>
            </m:rPr>
            <m:t>min</m:t>
          </m:r>
          <m:d>
            <m:dPr>
              <m:begChr m:val="("/>
              <m:endChr m:val=")"/>
              <m:sepChr m:val=""/>
              <m:grow/>
            </m:dPr>
            <m:e>
              <m:sSub>
                <m:e>
                  <m:r>
                    <m:t>d</m:t>
                  </m:r>
                </m:e>
                <m:sub>
                  <m:r>
                    <m:rPr>
                      <m:sty m:val="p"/>
                    </m:rPr>
                    <m:t>max</m:t>
                  </m:r>
                </m:sub>
              </m:sSub>
              <m:r>
                <m:rPr>
                  <m:sty m:val="p"/>
                </m:rPr>
                <m:t>,</m:t>
              </m:r>
              <m:r>
                <m:t> </m:t>
              </m:r>
              <m:sSub>
                <m:e>
                  <m:r>
                    <m:t>d</m:t>
                  </m:r>
                </m:e>
                <m:sub>
                  <m:r>
                    <m:t>0</m:t>
                  </m:r>
                </m:sub>
              </m:sSub>
              <m:sSup>
                <m:e>
                  <m:r>
                    <m:t>ρ</m:t>
                  </m:r>
                </m:e>
                <m:sup>
                  <m:r>
                    <m:t>n</m:t>
                  </m:r>
                </m:sup>
              </m:sSup>
              <m:r>
                <m:rPr>
                  <m:sty m:val="p"/>
                </m:rPr>
                <m:t>+</m:t>
              </m:r>
              <m:r>
                <m:rPr>
                  <m:sty m:val="p"/>
                </m:rPr>
                <m:t>r</m:t>
              </m:r>
              <m:r>
                <m:rPr>
                  <m:sty m:val="p"/>
                </m:rPr>
                <m:t>a</m:t>
              </m:r>
              <m:r>
                <m:rPr>
                  <m:sty m:val="p"/>
                </m:rPr>
                <m:t>n</m:t>
              </m:r>
              <m:r>
                <m:rPr>
                  <m:sty m:val="p"/>
                </m:rPr>
                <m:t>d</m:t>
              </m:r>
              <m:d>
                <m:dPr>
                  <m:begChr m:val="("/>
                  <m:endChr m:val=")"/>
                  <m:sepChr m:val=""/>
                  <m:grow/>
                </m:dPr>
                <m:e>
                  <m:r>
                    <m:t>0</m:t>
                  </m:r>
                  <m:r>
                    <m:rPr>
                      <m:sty m:val="p"/>
                    </m:rPr>
                    <m:t>,</m:t>
                  </m:r>
                  <m:r>
                    <m:t> </m:t>
                  </m:r>
                  <m:sSub>
                    <m:e>
                      <m:r>
                        <m:t>d</m:t>
                      </m:r>
                    </m:e>
                    <m:sub>
                      <m:r>
                        <m:t>0</m:t>
                      </m:r>
                    </m:sub>
                  </m:sSub>
                  <m:sSup>
                    <m:e>
                      <m:r>
                        <m:t>ρ</m:t>
                      </m:r>
                    </m:e>
                    <m:sup>
                      <m:r>
                        <m:t>n</m:t>
                      </m:r>
                    </m:sup>
                  </m:sSup>
                  <m:r>
                    <m:t>ξ</m:t>
                  </m:r>
                </m:e>
              </m:d>
            </m:e>
          </m:d>
          <m:r>
            <m:rPr>
              <m:sty m:val="p"/>
            </m:rPr>
            <m:t>.</m:t>
          </m:r>
        </m:oMath>
      </m:oMathPara>
    </w:p>
    <w:p>
      <w:pPr>
        <w:pStyle w:val="FirstParagraph"/>
      </w:pPr>
      <w:r>
        <w:t xml:space="preserve">其中</w:t>
      </w:r>
      <w:r>
        <w:t xml:space="preserve"> </w:t>
      </w:r>
      <m:oMath>
        <m:r>
          <m:t>n</m:t>
        </m:r>
      </m:oMath>
      <w:r>
        <w:t xml:space="preserve"> </w:t>
      </w:r>
      <w:r>
        <w:t xml:space="preserve">是当前重试序号，</w:t>
      </w:r>
      <m:oMath>
        <m:sSub>
          <m:e>
            <m:r>
              <m:t>d</m:t>
            </m:r>
          </m:e>
          <m:sub>
            <m:r>
              <m:t>0</m:t>
            </m:r>
          </m:sub>
        </m:sSub>
        <m:r>
          <m:rPr>
            <m:sty m:val="p"/>
          </m:rPr>
          <m:t>=</m:t>
        </m:r>
        <m:r>
          <m:t>200</m:t>
        </m:r>
      </m:oMath>
      <w:r>
        <w:t xml:space="preserve"> ms 是初始延迟，</w:t>
      </w:r>
      <m:oMath>
        <m:r>
          <m:t>ρ</m:t>
        </m:r>
        <m:r>
          <m:rPr>
            <m:sty m:val="p"/>
          </m:rPr>
          <m:t>=</m:t>
        </m:r>
        <m:r>
          <m:t>2.0</m:t>
        </m:r>
      </m:oMath>
      <w:r>
        <w:t xml:space="preserve"> </w:t>
      </w:r>
      <w:r>
        <w:t xml:space="preserve">是指数增长因子，</w:t>
      </w:r>
      <m:oMath>
        <m:sSub>
          <m:e>
            <m:r>
              <m:t>d</m:t>
            </m:r>
          </m:e>
          <m:sub>
            <m:r>
              <m:rPr>
                <m:sty m:val="p"/>
              </m:rPr>
              <m:t>max</m:t>
            </m:r>
          </m:sub>
        </m:sSub>
        <m:r>
          <m:rPr>
            <m:sty m:val="p"/>
          </m:rPr>
          <m:t>=</m:t>
        </m:r>
        <m:r>
          <m:t>30</m:t>
        </m:r>
      </m:oMath>
      <w:r>
        <w:t xml:space="preserve"> s 是单次等待的上界，</w:t>
      </w:r>
      <m:oMath>
        <m:r>
          <m:t>ξ</m:t>
        </m:r>
        <m:r>
          <m:rPr>
            <m:sty m:val="p"/>
          </m:rPr>
          <m:t>=</m:t>
        </m:r>
        <m:r>
          <m:t>0.3</m:t>
        </m:r>
      </m:oMath>
      <w:r>
        <w:t xml:space="preserve"> </w:t>
      </w:r>
      <w:r>
        <w:t xml:space="preserve">是随机抖动系数，</w:t>
      </w:r>
      <m:oMath>
        <m:r>
          <m:rPr>
            <m:sty m:val="p"/>
          </m:rPr>
          <m:t>r</m:t>
        </m:r>
        <m:r>
          <m:rPr>
            <m:sty m:val="p"/>
          </m:rPr>
          <m:t>a</m:t>
        </m:r>
        <m:r>
          <m:rPr>
            <m:sty m:val="p"/>
          </m:rPr>
          <m:t>n</m:t>
        </m:r>
        <m:r>
          <m:rPr>
            <m:sty m:val="p"/>
          </m:rPr>
          <m:t>d</m:t>
        </m:r>
        <m:d>
          <m:dPr>
            <m:begChr m:val="("/>
            <m:endChr m:val=")"/>
            <m:sepChr m:val=""/>
            <m:grow/>
          </m:dPr>
          <m:e>
            <m:r>
              <m:rPr>
                <m:sty m:val="p"/>
              </m:rPr>
              <m:t>⋅</m:t>
            </m:r>
          </m:e>
        </m:d>
      </m:oMath>
      <w:r>
        <w:t xml:space="preserve"> </w:t>
      </w:r>
      <w:r>
        <w:t xml:space="preserve">是均匀随机扰动。当前实现最多重试 6 次；节点资源压力大时</w:t>
      </w:r>
      <w:r>
        <w:t xml:space="preserve"> </w:t>
      </w:r>
      <m:oMath>
        <m:sSub>
          <m:e>
            <m:r>
              <m:t>d</m:t>
            </m:r>
          </m:e>
          <m:sub>
            <m:r>
              <m:t>n</m:t>
            </m:r>
          </m:sub>
        </m:sSub>
      </m:oMath>
      <w:r>
        <w:t xml:space="preserve"> </w:t>
      </w:r>
      <w:r>
        <w:t xml:space="preserve">会翻倍；如果遇到不可重试的错误，则直接写入 BoltDB 本地兜底。延迟分布见图 </w:t>
      </w:r>
      <w:hyperlink w:anchor="fig:backoff">
        <w:r>
          <w:rPr>
            <w:rStyle w:val="Hyperlink"/>
          </w:rPr>
          <w:t xml:space="preserve">3</w:t>
        </w:r>
      </w:hyperlink>
      <w:r>
        <w:t xml:space="preserve">。</w:t>
      </w:r>
    </w:p>
    <w:p>
      <w:pPr>
        <w:pStyle w:val="BodyText"/>
      </w:pPr>
      <w:r>
        <w:t xml:space="preserve">由于</w:t>
      </w:r>
      <w:r>
        <w:t xml:space="preserve"> </w:t>
      </w:r>
      <m:oMath>
        <m:sSub>
          <m:e>
            <m:r>
              <m:t>d</m:t>
            </m:r>
          </m:e>
          <m:sub>
            <m:r>
              <m:t>n</m:t>
            </m:r>
          </m:sub>
        </m:sSub>
      </m:oMath>
      <w:r>
        <w:t xml:space="preserve"> </w:t>
      </w:r>
      <w:r>
        <w:t xml:space="preserve">被</w:t>
      </w:r>
      <w:r>
        <w:t xml:space="preserve"> </w:t>
      </w:r>
      <m:oMath>
        <m:sSub>
          <m:e>
            <m:r>
              <m:t>d</m:t>
            </m:r>
          </m:e>
          <m:sub>
            <m:r>
              <m:rPr>
                <m:sty m:val="p"/>
              </m:rPr>
              <m:t>max</m:t>
            </m:r>
          </m:sub>
        </m:sSub>
      </m:oMath>
      <w:r>
        <w:t xml:space="preserve"> </w:t>
      </w:r>
      <w:r>
        <w:t xml:space="preserve">截断，且最大重试次数固定为 6，单批日志的在线重试等待时间有明确的上界：正常压力下不超过</w:t>
      </w:r>
      <w:r>
        <w:t xml:space="preserve"> </w:t>
      </w:r>
      <m:oMath>
        <m:r>
          <m:t>6</m:t>
        </m:r>
        <m:sSub>
          <m:e>
            <m:r>
              <m:t>d</m:t>
            </m:r>
          </m:e>
          <m:sub>
            <m:r>
              <m:rPr>
                <m:sty m:val="p"/>
              </m:rPr>
              <m:t>max</m:t>
            </m:r>
          </m:sub>
        </m:sSub>
      </m:oMath>
      <w:r>
        <w:t xml:space="preserve">，高压翻倍时不超过</w:t>
      </w:r>
      <w:r>
        <w:t xml:space="preserve"> </w:t>
      </w:r>
      <m:oMath>
        <m:r>
          <m:t>12</m:t>
        </m:r>
        <m:sSub>
          <m:e>
            <m:r>
              <m:t>d</m:t>
            </m:r>
          </m:e>
          <m:sub>
            <m:r>
              <m:rPr>
                <m:sty m:val="p"/>
              </m:rPr>
              <m:t>max</m:t>
            </m:r>
          </m:sub>
        </m:sSub>
      </m:oMath>
      <w:r>
        <w:t xml:space="preserve">。超过重试上限后，这批日志会进入本地 BoltDB 兜底队列，后续由后台恢复任务按清单版本重新上传。这就避免了无限重试把 Sidecar 资源耗尽的风险。</w:t>
      </w:r>
    </w:p>
    <w:p>
      <w:pPr>
        <w:pStyle w:val="CaptionedFigure"/>
      </w:pPr>
      <w:r>
        <w:drawing>
          <wp:inline>
            <wp:extent cx="4000500" cy="2667000"/>
            <wp:effectExtent b="0" l="0" r="0" t="0"/>
            <wp:docPr descr="" title="" id="45" name="Picture"/>
            <a:graphic>
              <a:graphicData uri="http://schemas.openxmlformats.org/drawingml/2006/picture">
                <pic:pic>
                  <pic:nvPicPr>
                    <pic:cNvPr descr="fig5_backoff_distribution.pdf" id="46" name="Picture"/>
                    <pic:cNvPicPr>
                      <a:picLocks noChangeArrowheads="1" noChangeAspect="1"/>
                    </pic:cNvPicPr>
                  </pic:nvPicPr>
                  <pic:blipFill>
                    <a:blip r:embed="rId44"/>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r>
        <w:t xml:space="preserve">指数退避重试延迟分布</w:t>
      </w:r>
    </w:p>
    <w:bookmarkEnd w:id="47"/>
    <w:bookmarkEnd w:id="48"/>
    <w:bookmarkStart w:id="55" w:name="系统实现"/>
    <w:p>
      <w:pPr>
        <w:pStyle w:val="Heading1"/>
      </w:pPr>
      <w:r>
        <w:t xml:space="preserve">系统实现</w:t>
      </w:r>
    </w:p>
    <w:bookmarkStart w:id="50" w:name="技术选型"/>
    <w:p>
      <w:pPr>
        <w:pStyle w:val="Heading2"/>
      </w:pPr>
      <w:r>
        <w:t xml:space="preserve">技术选型</w:t>
      </w:r>
    </w:p>
    <w:bookmarkStart w:id="49" w:name="tab:tech"/>
    <w:p>
      <w:pPr>
        <w:pStyle w:val="TableCaption"/>
      </w:pPr>
      <w:r>
        <w:t xml:space="preserve">技术选型</w:t>
      </w:r>
    </w:p>
    <w:tbl>
      <w:tblPr>
        <w:tblStyle w:val="Table"/>
        <w:tblW w:type="auto" w:w="0"/>
        <w:tblLook w:firstRow="1" w:lastRow="0" w:firstColumn="0" w:lastColumn="0" w:noHBand="0" w:noVBand="0" w:val="0020"/>
        <w:jc w:val="start"/>
        <w:tblCaption w:val="技术选型"/>
      </w:tblPr>
      <w:tblGrid>
        <w:gridCol w:w="3960"/>
        <w:gridCol w:w="3960"/>
      </w:tblGrid>
      <w:tr>
        <w:trPr>
          <w:tblHeader w:val="true"/>
        </w:trPr>
        <w:tc>
          <w:tcPr/>
          <w:p>
            <w:pPr>
              <w:pStyle w:val="Compact"/>
              <w:jc w:val="left"/>
            </w:pPr>
            <w:r>
              <w:t xml:space="preserve">模块</w:t>
            </w:r>
          </w:p>
        </w:tc>
        <w:tc>
          <w:tcPr/>
          <w:p>
            <w:pPr>
              <w:pStyle w:val="Compact"/>
              <w:jc w:val="left"/>
            </w:pPr>
            <w:r>
              <w:t xml:space="preserve">技术</w:t>
            </w:r>
          </w:p>
        </w:tc>
      </w:tr>
      <w:tr>
        <w:tc>
          <w:tcPr/>
          <w:p>
            <w:pPr>
              <w:pStyle w:val="Compact"/>
              <w:jc w:val="left"/>
            </w:pPr>
            <w:r>
              <w:t xml:space="preserve">Agent / Center</w:t>
            </w:r>
          </w:p>
        </w:tc>
        <w:tc>
          <w:tcPr/>
          <w:p>
            <w:pPr>
              <w:pStyle w:val="Compact"/>
              <w:jc w:val="left"/>
            </w:pPr>
            <w:r>
              <w:t xml:space="preserve">Go 1.22</w:t>
            </w:r>
          </w:p>
        </w:tc>
      </w:tr>
      <w:tr>
        <w:tc>
          <w:tcPr/>
          <w:p>
            <w:pPr>
              <w:pStyle w:val="Compact"/>
              <w:jc w:val="left"/>
            </w:pPr>
            <w:r>
              <w:t xml:space="preserve">通信</w:t>
            </w:r>
          </w:p>
        </w:tc>
        <w:tc>
          <w:tcPr/>
          <w:p>
            <w:pPr>
              <w:pStyle w:val="Compact"/>
              <w:jc w:val="left"/>
            </w:pPr>
            <w:r>
              <w:t xml:space="preserve">gRPC + Protobuf</w:t>
            </w:r>
          </w:p>
        </w:tc>
      </w:tr>
      <w:tr>
        <w:tc>
          <w:tcPr/>
          <w:p>
            <w:pPr>
              <w:pStyle w:val="Compact"/>
              <w:jc w:val="left"/>
            </w:pPr>
            <w:r>
              <w:t xml:space="preserve">缓存</w:t>
            </w:r>
          </w:p>
        </w:tc>
        <w:tc>
          <w:tcPr/>
          <w:p>
            <w:pPr>
              <w:pStyle w:val="Compact"/>
              <w:jc w:val="left"/>
            </w:pPr>
            <w:r>
              <w:t xml:space="preserve">Redis</w:t>
            </w:r>
          </w:p>
        </w:tc>
      </w:tr>
      <w:tr>
        <w:tc>
          <w:tcPr/>
          <w:p>
            <w:pPr>
              <w:pStyle w:val="Compact"/>
              <w:jc w:val="left"/>
            </w:pPr>
            <w:r>
              <w:t xml:space="preserve">存储</w:t>
            </w:r>
          </w:p>
        </w:tc>
        <w:tc>
          <w:tcPr/>
          <w:p>
            <w:pPr>
              <w:pStyle w:val="Compact"/>
              <w:jc w:val="left"/>
            </w:pPr>
            <w:r>
              <w:t xml:space="preserve">Grafana Loki</w:t>
            </w:r>
          </w:p>
        </w:tc>
      </w:tr>
      <w:tr>
        <w:tc>
          <w:tcPr/>
          <w:p>
            <w:pPr>
              <w:pStyle w:val="Compact"/>
              <w:jc w:val="left"/>
            </w:pPr>
            <w:r>
              <w:t xml:space="preserve">网关采集</w:t>
            </w:r>
          </w:p>
        </w:tc>
        <w:tc>
          <w:tcPr/>
          <w:p>
            <w:pPr>
              <w:pStyle w:val="Compact"/>
              <w:jc w:val="left"/>
            </w:pPr>
            <w:r>
              <w:t xml:space="preserve">OpenResty + Lua</w:t>
            </w:r>
          </w:p>
        </w:tc>
      </w:tr>
      <w:tr>
        <w:tc>
          <w:tcPr/>
          <w:p>
            <w:pPr>
              <w:pStyle w:val="Compact"/>
              <w:jc w:val="left"/>
            </w:pPr>
            <w:r>
              <w:t xml:space="preserve">本地兜底</w:t>
            </w:r>
          </w:p>
        </w:tc>
        <w:tc>
          <w:tcPr/>
          <w:p>
            <w:pPr>
              <w:pStyle w:val="Compact"/>
              <w:jc w:val="left"/>
            </w:pPr>
            <w:r>
              <w:t xml:space="preserve">BoltDB</w:t>
            </w:r>
          </w:p>
        </w:tc>
      </w:tr>
    </w:tbl>
    <w:bookmarkEnd w:id="49"/>
    <w:bookmarkEnd w:id="50"/>
    <w:bookmarkStart w:id="51" w:name="模块划分"/>
    <w:p>
      <w:pPr>
        <w:pStyle w:val="Heading2"/>
      </w:pPr>
      <w:r>
        <w:t xml:space="preserve">模块划分</w:t>
      </w:r>
    </w:p>
    <w:p>
      <w:pPr>
        <w:pStyle w:val="FirstParagraph"/>
      </w:pPr>
      <w:r>
        <w:t xml:space="preserve">系统实现分为 Agent 和 Center 两大模块。</w:t>
      </w:r>
      <w:r>
        <w:rPr>
          <w:bCs/>
          <w:b/>
        </w:rPr>
        <w:t xml:space="preserve">Agent</w:t>
      </w:r>
      <w:r>
        <w:t xml:space="preserve"> </w:t>
      </w:r>
      <w:r>
        <w:t xml:space="preserve">负责节点侧的工作，包括日志采集（collector）、规则匹配（matcher）、固定缓存块管理（cache）、退避重试（retry）、gRPC 上传（uploader）和资源监控（monitor），代码在</w:t>
      </w:r>
      <w:r>
        <w:t xml:space="preserve"> </w:t>
      </w:r>
      <w:r>
        <w:rPr>
          <w:rStyle w:val="VerbatimChar"/>
        </w:rPr>
        <w:t xml:space="preserve">agent/pkg/</w:t>
      </w:r>
      <w:r>
        <w:t xml:space="preserve"> </w:t>
      </w:r>
      <w:r>
        <w:t xml:space="preserve">各子包下。</w:t>
      </w:r>
      <w:r>
        <w:rPr>
          <w:bCs/>
          <w:b/>
        </w:rPr>
        <w:t xml:space="preserve">Center</w:t>
      </w:r>
      <w:r>
        <w:t xml:space="preserve"> </w:t>
      </w:r>
      <w:r>
        <w:t xml:space="preserve">负责中心侧的工作，包括关注清单生成与三次转换（strategy）、二次过滤（receiver）、Loki 批量推送（storage）和规则下发（dispatch），代码在</w:t>
      </w:r>
      <w:r>
        <w:t xml:space="preserve"> </w:t>
      </w:r>
      <w:r>
        <w:rPr>
          <w:rStyle w:val="VerbatimChar"/>
        </w:rPr>
        <w:t xml:space="preserve">center/pkg/</w:t>
      </w:r>
      <w:r>
        <w:t xml:space="preserve"> </w:t>
      </w:r>
      <w:r>
        <w:t xml:space="preserve">各子包下。</w:t>
      </w:r>
    </w:p>
    <w:bookmarkEnd w:id="51"/>
    <w:bookmarkStart w:id="52" w:name="关键数据结构与匹配实现"/>
    <w:p>
      <w:pPr>
        <w:pStyle w:val="Heading2"/>
      </w:pPr>
      <w:r>
        <w:t xml:space="preserve">关键数据结构与匹配实现</w:t>
      </w:r>
    </w:p>
    <w:p>
      <w:pPr>
        <w:pStyle w:val="FirstParagraph"/>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BodyText"/>
      </w:pPr>
      <w:r>
        <w:t xml:space="preserve">节点侧的匹配器把 URL 模式编译为前缀/通配匹配规则，按服务名分桶。匹配单条日志的复杂度近似为</w:t>
      </w:r>
      <w:r>
        <w:t xml:space="preserve"> </w:t>
      </w:r>
      <m:oMath>
        <m:r>
          <m:t>O</m:t>
        </m:r>
        <m:d>
          <m:dPr>
            <m:begChr m:val="("/>
            <m:endChr m:val=")"/>
            <m:sepChr m:val=""/>
            <m:grow/>
          </m:dPr>
          <m:e>
            <m:sSub>
              <m:e>
                <m:r>
                  <m:t>R</m:t>
                </m:r>
              </m:e>
              <m:sub>
                <m:r>
                  <m:t>s</m:t>
                </m:r>
              </m:sub>
            </m:sSub>
          </m:e>
        </m:d>
      </m:oMath>
      <w:r>
        <w:t xml:space="preserve">，其中</w:t>
      </w:r>
      <w:r>
        <w:t xml:space="preserve"> </w:t>
      </w:r>
      <m:oMath>
        <m:sSub>
          <m:e>
            <m:r>
              <m:t>R</m:t>
            </m:r>
          </m:e>
          <m:sub>
            <m:r>
              <m:t>s</m:t>
            </m:r>
          </m:sub>
        </m:sSub>
      </m:oMath>
      <w:r>
        <w:t xml:space="preserve"> </w:t>
      </w:r>
      <w:r>
        <w:t xml:space="preserve">是该服务当前的关注规则数。在 Top-</w:t>
      </w:r>
      <m:oMath>
        <m:r>
          <m:t>K</m:t>
        </m:r>
      </m:oMath>
      <w:r>
        <w:t xml:space="preserve"> </w:t>
      </w:r>
      <w:r>
        <w:t xml:space="preserve">限制下，</w:t>
      </w:r>
      <m:oMath>
        <m:sSub>
          <m:e>
            <m:r>
              <m:t>R</m:t>
            </m:r>
          </m:e>
          <m:sub>
            <m:r>
              <m:t>s</m:t>
            </m:r>
          </m:sub>
        </m:sSub>
      </m:oMath>
      <w:r>
        <w:t xml:space="preserve"> </w:t>
      </w:r>
      <w:r>
        <w:t xml:space="preserve">通常远小于全局规则数。应用日志采用 Apache Combined 风格字段，至少包含时间戳、方法、URL、状态码和响应字节数。如果日志格式不兼容，需要先通过解析适配器转换成统一字段，再进入匹配器。</w:t>
      </w:r>
    </w:p>
    <w:bookmarkEnd w:id="52"/>
    <w:bookmarkStart w:id="53" w:name="部署配置"/>
    <w:p>
      <w:pPr>
        <w:pStyle w:val="Heading2"/>
      </w:pPr>
      <w:r>
        <w:t xml:space="preserve">部署配置</w:t>
      </w:r>
    </w:p>
    <w:p>
      <w:pPr>
        <w:pStyle w:val="FirstParagraph"/>
      </w:pPr>
      <w:r>
        <w:t xml:space="preserve">Docker Compose 定义了完整的集群环境，包括 Loki、Grafana、Redis、Prometheus、Center、OpenResty 网关、httpbin 模拟微服务以及 9 个 Agent Sidecar（1 个网关 + 8 个微服务）。微服务侧的</w:t>
      </w:r>
      <w:r>
        <w:t xml:space="preserve"> </w:t>
      </w:r>
      <w:r>
        <w:rPr>
          <w:rStyle w:val="VerbatimChar"/>
        </w:rPr>
        <w:t xml:space="preserve">AppCollector</w:t>
      </w:r>
      <w:r>
        <w:t xml:space="preserve"> </w:t>
      </w:r>
      <w:r>
        <w:t xml:space="preserve">生成 Apache Combined 风格应用日志，URL 与网关</w:t>
      </w:r>
      <w:r>
        <w:t xml:space="preserve"> </w:t>
      </w:r>
      <w:r>
        <w:rPr>
          <w:rStyle w:val="VerbatimChar"/>
        </w:rPr>
        <w:t xml:space="preserve">location</w:t>
      </w:r>
      <w:r>
        <w:t xml:space="preserve"> </w:t>
      </w:r>
      <w:r>
        <w:t xml:space="preserve">前缀保持一致。没有关注清单时，Agent 只采集 ERROR 及以上级别的日志，避免退化为全量采集。WSL 环境通过</w:t>
      </w:r>
      <w:r>
        <w:t xml:space="preserve"> </w:t>
      </w:r>
      <w:r>
        <w:rPr>
          <w:rStyle w:val="VerbatimChar"/>
        </w:rPr>
        <w:t xml:space="preserve">docker-compose.wsl.yml</w:t>
      </w:r>
      <w:r>
        <w:t xml:space="preserve"> </w:t>
      </w:r>
      <w:r>
        <w:t xml:space="preserve">限制容器内存，</w:t>
      </w:r>
      <w:r>
        <w:rPr>
          <w:rStyle w:val="VerbatimChar"/>
        </w:rPr>
        <w:t xml:space="preserve">docker-compose.scale.yml</w:t>
      </w:r>
      <w:r>
        <w:t xml:space="preserve"> </w:t>
      </w:r>
      <w:r>
        <w:t xml:space="preserve">则用于扩展到 8 个微服务节点。</w:t>
      </w:r>
    </w:p>
    <w:p>
      <w:pPr>
        <w:pStyle w:val="BodyText"/>
      </w:pPr>
      <w:r>
        <w:rPr>
          <w:bCs/>
          <w:b/>
        </w:rPr>
        <w:t xml:space="preserve">对照实验的配置说明</w:t>
      </w:r>
      <w:r>
        <w:t xml:space="preserve">：定向模式下应用日志的发射间隔是 2 s；全量基线模式是 400 ms（吞吐量更高），用来模拟工业场景中</w:t>
      </w:r>
      <w:r>
        <w:t xml:space="preserve">“</w:t>
      </w:r>
      <w:r>
        <w:t xml:space="preserve">尽可能多采</w:t>
      </w:r>
      <w:r>
        <w:t xml:space="preserve">”</w:t>
      </w:r>
      <w:r>
        <w:t xml:space="preserve">的做法。两种模式共享同一套网关压测负载和硬件环境，确保对比公平。</w:t>
      </w:r>
    </w:p>
    <w:bookmarkEnd w:id="53"/>
    <w:bookmarkStart w:id="54" w:name="生产部署与标准化接口"/>
    <w:p>
      <w:pPr>
        <w:pStyle w:val="Heading2"/>
      </w:pPr>
      <w:r>
        <w:t xml:space="preserve">生产部署与标准化接口</w:t>
      </w:r>
    </w:p>
    <w:p>
      <w:pPr>
        <w:pStyle w:val="FirstParagraph"/>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BodyText"/>
      </w:pPr>
      <w:r>
        <w:t xml:space="preserve">生产部署需要启用 gRPC TLS、Agent 身份认证和租户隔离。关注清单的键空间按租户、命名空间和服务名分层，防止跨租户的规则泄露。在标准化方面，关注清单可以公开为一份 JSON 规范，包含</w:t>
      </w:r>
      <w:r>
        <w:t xml:space="preserve"> </w:t>
      </w:r>
      <w:r>
        <w:rPr>
          <w:rStyle w:val="VerbatimChar"/>
        </w:rPr>
        <w:t xml:space="preserve">version</w:t>
      </w:r>
      <w:r>
        <w:t xml:space="preserve">、</w:t>
      </w:r>
      <w:r>
        <w:rPr>
          <w:rStyle w:val="VerbatimChar"/>
        </w:rPr>
        <w:t xml:space="preserve">ttl</w:t>
      </w:r>
      <w:r>
        <w:t xml:space="preserve">、</w:t>
      </w:r>
      <w:r>
        <w:rPr>
          <w:rStyle w:val="VerbatimChar"/>
        </w:rPr>
        <w:t xml:space="preserve">service</w:t>
      </w:r>
      <w:r>
        <w:t xml:space="preserve">、</w:t>
      </w:r>
      <w:r>
        <w:rPr>
          <w:rStyle w:val="VerbatimChar"/>
        </w:rPr>
        <w:t xml:space="preserve">pattern</w:t>
      </w:r>
      <w:r>
        <w:t xml:space="preserve">、</w:t>
      </w:r>
      <w:r>
        <w:rPr>
          <w:rStyle w:val="VerbatimChar"/>
        </w:rPr>
        <w:t xml:space="preserve">weight</w:t>
      </w:r>
      <w:r>
        <w:t xml:space="preserve"> </w:t>
      </w:r>
      <w:r>
        <w:t xml:space="preserve">和</w:t>
      </w:r>
      <w:r>
        <w:t xml:space="preserve"> </w:t>
      </w:r>
      <w:r>
        <w:rPr>
          <w:rStyle w:val="VerbatimChar"/>
        </w:rPr>
        <w:t xml:space="preserve">reason</w:t>
      </w:r>
      <w:r>
        <w:t xml:space="preserve"> </w:t>
      </w:r>
      <w:r>
        <w:t xml:space="preserve">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bookmarkEnd w:id="54"/>
    <w:bookmarkEnd w:id="55"/>
    <w:bookmarkStart w:id="80" w:name="实验与分析"/>
    <w:p>
      <w:pPr>
        <w:pStyle w:val="Heading1"/>
      </w:pPr>
      <w:r>
        <w:t xml:space="preserve">实验与分析</w:t>
      </w:r>
    </w:p>
    <w:bookmarkStart w:id="56" w:name="环境与方法"/>
    <w:p>
      <w:pPr>
        <w:pStyle w:val="Heading2"/>
      </w:pPr>
      <w:r>
        <w:t xml:space="preserve">环境与方法</w:t>
      </w:r>
    </w:p>
    <w:p>
      <w:pPr>
        <w:pStyle w:val="FirstParagraph"/>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BodyText"/>
      </w:pPr>
      <w:r>
        <w:t xml:space="preserve">对比实验将定向采集和全量采集（</w:t>
      </w:r>
      <w:r>
        <w:rPr>
          <w:rStyle w:val="VerbatimChar"/>
        </w:rPr>
        <w:t xml:space="preserve">COLLECTION_MODE=full</w:t>
      </w:r>
      <w:r>
        <w:t xml:space="preserve">）放在同一硬件环境下对照。负载为 180 s、并发 50 的混合 HTTP 请求（包含正常请求、500 错误和慢请求），每种模式独立重复 3 次。Loki 入库增量取自 Center 统计接口；Agent CPU/内存在每轮压测结束后，对全部 9 个 Agent 容器执行</w:t>
      </w:r>
      <w:r>
        <w:t xml:space="preserve"> </w:t>
      </w:r>
      <w:r>
        <w:rPr>
          <w:rStyle w:val="VerbatimChar"/>
        </w:rPr>
        <w:t xml:space="preserve">docker stats</w:t>
      </w:r>
      <w:r>
        <w:t xml:space="preserve"> </w:t>
      </w:r>
      <w:r>
        <w:t xml:space="preserve">单次快照并取算术均值。每轮网关流量日志的 Redis 增量约</w:t>
      </w:r>
      <w:r>
        <w:t xml:space="preserve"> </w:t>
      </w:r>
      <m:oMath>
        <m:r>
          <m:t>1.97</m:t>
        </m:r>
        <m:r>
          <m:rPr>
            <m:sty m:val="p"/>
          </m:rPr>
          <m:t>×</m:t>
        </m:r>
        <m:sSup>
          <m:e>
            <m:r>
              <m:t>10</m:t>
            </m:r>
          </m:e>
          <m:sup>
            <m:r>
              <m:t>4</m:t>
            </m:r>
          </m:sup>
        </m:sSup>
      </m:oMath>
      <w:r>
        <w:t xml:space="preserve"> </w:t>
      </w:r>
      <w:r>
        <w:t xml:space="preserve">条，关注清单稳定生成 16 条 URL 模式（包含</w:t>
      </w:r>
      <w:r>
        <w:t xml:space="preserve"> </w:t>
      </w:r>
      <w:r>
        <w:rPr>
          <w:rStyle w:val="VerbatimChar"/>
        </w:rPr>
        <w:t xml:space="preserve">/status/500</w:t>
      </w:r>
      <w:r>
        <w:t xml:space="preserve">、</w:t>
      </w:r>
      <w:r>
        <w:rPr>
          <w:rStyle w:val="VerbatimChar"/>
        </w:rPr>
        <w:t xml:space="preserve">/delay/1</w:t>
      </w:r>
      <w:r>
        <w:t xml:space="preserve"> </w:t>
      </w:r>
      <w:r>
        <w:t xml:space="preserve">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bookmarkEnd w:id="56"/>
    <w:bookmarkStart w:id="57" w:name="研究问题与指标"/>
    <w:p>
      <w:pPr>
        <w:pStyle w:val="Heading2"/>
      </w:pPr>
      <w:r>
        <w:t xml:space="preserve">研究问题与指标</w:t>
      </w:r>
    </w:p>
    <w:p>
      <w:pPr>
        <w:pStyle w:val="FirstParagraph"/>
      </w:pPr>
      <w:r>
        <w:t xml:space="preserve">为了让实验与架构贡献形成清晰的对应关系，本文围绕 4 个研究问题组织实验，如表 </w:t>
      </w:r>
      <w:hyperlink w:anchor="tab:rq_mapping">
        <w:r>
          <w:rPr>
            <w:rStyle w:val="Hyperlink"/>
          </w:rPr>
          <w:t xml:space="preserve">[tab:rq_mapping]</w:t>
        </w:r>
      </w:hyperlink>
      <w:r>
        <w:t xml:space="preserve"> </w:t>
      </w:r>
      <w:r>
        <w:t xml:space="preserve">所示。RQ1 验证采集前端的减量能力（对应架构贡献 1、2），RQ2 验证 Sidecar 资源开销的可控性（对应架构贡献 1），RQ3 验证三层策略的端到端贯通（对应架构贡献 2、3），RQ4 验证缓存与退避机制的可靠性边界（对应架构贡献 4）。</w:t>
      </w:r>
    </w:p>
    <w:bookmarkEnd w:id="57"/>
    <w:bookmarkStart w:id="69" w:name="实验结果"/>
    <w:p>
      <w:pPr>
        <w:pStyle w:val="Heading2"/>
      </w:pPr>
      <w:r>
        <w:t xml:space="preserve">实验结果</w:t>
      </w:r>
    </w:p>
    <w:p>
      <w:pPr>
        <w:pStyle w:val="FirstParagraph"/>
      </w:pPr>
      <w:r>
        <w:t xml:space="preserve">表 </w:t>
      </w:r>
      <w:hyperlink w:anchor="tab:compare">
        <w:r>
          <w:rPr>
            <w:rStyle w:val="Hyperlink"/>
          </w:rPr>
          <w:t xml:space="preserve">2</w:t>
        </w:r>
      </w:hyperlink>
      <w:r>
        <w:t xml:space="preserve"> </w:t>
      </w:r>
      <w:r>
        <w:t xml:space="preserve">和图 </w:t>
      </w:r>
      <w:hyperlink w:anchor="fig:compare">
        <w:r>
          <w:rPr>
            <w:rStyle w:val="Hyperlink"/>
          </w:rPr>
          <w:t xml:space="preserve">4</w:t>
        </w:r>
      </w:hyperlink>
      <w:r>
        <w:t xml:space="preserve"> </w:t>
      </w:r>
      <w:r>
        <w:t xml:space="preserve">给出了 RQ1 与 RQ2 的三期实测对比。和同架构全量模式相比，定向采集在 Loki 入库日志量上降低了 98.4%（72</w:t>
      </w:r>
      <m:oMath>
        <m:r>
          <m:rPr>
            <m:sty m:val="p"/>
          </m:rPr>
          <m:t>±</m:t>
        </m:r>
      </m:oMath>
      <w:r>
        <w:t xml:space="preserve">0 条 vs. 4388</w:t>
      </w:r>
      <m:oMath>
        <m:r>
          <m:rPr>
            <m:sty m:val="p"/>
          </m:rPr>
          <m:t>±</m:t>
        </m:r>
      </m:oMath>
      <w:r>
        <w:t xml:space="preserve">1 条），Agent CPU 相对降低 37.5%（绝对值分别为 0.05</w:t>
      </w:r>
      <m:oMath>
        <m:r>
          <m:rPr>
            <m:sty m:val="p"/>
          </m:rPr>
          <m:t>±</m:t>
        </m:r>
      </m:oMath>
      <w:r>
        <w:t xml:space="preserve">0.01% 和 0.08</w:t>
      </w:r>
      <m:oMath>
        <m:r>
          <m:rPr>
            <m:sty m:val="p"/>
          </m:rPr>
          <m:t>±</m:t>
        </m:r>
      </m:oMath>
      <w:r>
        <w:t xml:space="preserve">0.02%，标准差存在重叠，需结合效应量来解读）。这里需要说明一点：全量基线除了关闭规则过滤外，应用日志源的发射频率（400 ms）也高于定向模式（2 s），所以表 </w:t>
      </w:r>
      <w:hyperlink w:anchor="tab:compare">
        <w:r>
          <w:rPr>
            <w:rStyle w:val="Hyperlink"/>
          </w:rPr>
          <w:t xml:space="preserve">2</w:t>
        </w:r>
      </w:hyperlink>
      <w:r>
        <w:t xml:space="preserve"> </w:t>
      </w:r>
      <w:r>
        <w:t xml:space="preserve">中的降幅是</w:t>
      </w:r>
      <w:r>
        <w:rPr>
          <w:bCs/>
          <w:b/>
        </w:rPr>
        <w:t xml:space="preserve">策略过滤与源配置差异的联合效果</w:t>
      </w:r>
      <w:r>
        <w:t xml:space="preserve">。</w:t>
      </w:r>
    </w:p>
    <w:p>
      <w:pPr>
        <w:pStyle w:val="BodyText"/>
      </w:pPr>
      <w:r>
        <w:rPr>
          <w:bCs/>
          <w:b/>
        </w:rPr>
        <w:t xml:space="preserve">效应量分析。</w:t>
      </w:r>
      <w:r>
        <w:t xml:space="preserve">对 Loki 入库量（72</w:t>
      </w:r>
      <m:oMath>
        <m:r>
          <m:rPr>
            <m:sty m:val="p"/>
          </m:rPr>
          <m:t>±</m:t>
        </m:r>
      </m:oMath>
      <w:r>
        <w:t xml:space="preserve">0 vs. 4388</w:t>
      </w:r>
      <m:oMath>
        <m:r>
          <m:rPr>
            <m:sty m:val="p"/>
          </m:rPr>
          <m:t>±</m:t>
        </m:r>
      </m:oMath>
      <w:r>
        <w:t xml:space="preserve">1），Cohen’s</w:t>
      </w:r>
      <w:r>
        <w:t xml:space="preserve"> </w:t>
      </w:r>
      <m:oMath>
        <m:r>
          <m:t>d</m:t>
        </m:r>
        <m:r>
          <m:rPr>
            <m:sty m:val="p"/>
          </m:rPr>
          <m:t>≈</m:t>
        </m:r>
        <m:r>
          <m:t>6100</m:t>
        </m:r>
      </m:oMath>
      <w:r>
        <w:t xml:space="preserve">，效应量极大，即使只重复</w:t>
      </w:r>
      <w:r>
        <w:t xml:space="preserve"> </w:t>
      </w:r>
      <m:oMath>
        <m:r>
          <m:t>n</m:t>
        </m:r>
        <m:r>
          <m:rPr>
            <m:sty m:val="p"/>
          </m:rPr>
          <m:t>=</m:t>
        </m:r>
        <m:r>
          <m:t>3</m:t>
        </m:r>
      </m:oMath>
      <w:r>
        <w:t xml:space="preserve"> </w:t>
      </w:r>
      <w:r>
        <w:t xml:space="preserve">次，检验功效也完全可靠。对 Agent CPU（0.05</w:t>
      </w:r>
      <m:oMath>
        <m:r>
          <m:rPr>
            <m:sty m:val="p"/>
          </m:rPr>
          <m:t>±</m:t>
        </m:r>
      </m:oMath>
      <w:r>
        <w:t xml:space="preserve">0.01% vs. 0.08</w:t>
      </w:r>
      <m:oMath>
        <m:r>
          <m:rPr>
            <m:sty m:val="p"/>
          </m:rPr>
          <m:t>±</m:t>
        </m:r>
      </m:oMath>
      <w:r>
        <w:t xml:space="preserve">0.02%），绝对差值仅 0.03 个百分点，Cohen’s</w:t>
      </w:r>
      <w:r>
        <w:t xml:space="preserve"> </w:t>
      </w:r>
      <m:oMath>
        <m:r>
          <m:t>d</m:t>
        </m:r>
        <m:r>
          <m:rPr>
            <m:sty m:val="p"/>
          </m:rPr>
          <m:t>≈</m:t>
        </m:r>
        <m:r>
          <m:t>1.9</m:t>
        </m:r>
      </m:oMath>
      <w:r>
        <w:t xml:space="preserve">，在</w:t>
      </w:r>
      <w:r>
        <w:t xml:space="preserve"> </w:t>
      </w:r>
      <m:oMath>
        <m:r>
          <m:t>n</m:t>
        </m:r>
        <m:r>
          <m:rPr>
            <m:sty m:val="p"/>
          </m:rPr>
          <m:t>=</m:t>
        </m:r>
        <m:r>
          <m:t>3</m:t>
        </m:r>
      </m:oMath>
      <w:r>
        <w:t xml:space="preserve"> </w:t>
      </w:r>
      <w:r>
        <w:t xml:space="preserve">下检验功效有限。Agent 内存相对差异只有 2.0%，统计上不显著。因此本文以 Loki 入库量降幅作为主要结论，Agent CPU/内存降幅仅作辅助参考。</w:t>
      </w:r>
    </w:p>
    <w:p>
      <w:pPr>
        <w:pStyle w:val="BodyText"/>
      </w:pPr>
      <w:r>
        <w:rPr>
          <w:bCs/>
          <w:b/>
        </w:rPr>
        <w:t xml:space="preserve">发射频率敏感性分析。</w:t>
      </w:r>
      <w:r>
        <w:t xml:space="preserve">全量基线的发射频率（400 ms）高于定向模式（2 s），为了把策略过滤的贡献单独剥离出来，本文构建了一个</w:t>
      </w:r>
      <w:r>
        <w:rPr>
          <w:bCs/>
          <w:b/>
        </w:rPr>
        <w:t xml:space="preserve">多进程集群模拟器</w:t>
      </w:r>
      <w:r>
        <w:t xml:space="preserve">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w:t>
      </w:r>
      <w:r>
        <w:t xml:space="preserve"> </w:t>
      </w:r>
      <w:r>
        <w:rPr>
          <w:bCs/>
          <w:b/>
        </w:rPr>
        <w:t xml:space="preserve">67.8%</w:t>
      </w:r>
      <w:r>
        <w:t xml:space="preserve">，是原稿实测降幅（98.4%）的主要贡献。这说明动态定向清单即使在严格同源配置下，仍然有显著的减量价值。</w:t>
      </w:r>
    </w:p>
    <w:p>
      <w:pPr>
        <w:pStyle w:val="BodyText"/>
      </w:pPr>
      <w:r>
        <w:t xml:space="preserve">图 </w:t>
      </w:r>
      <w:hyperlink w:anchor="fig:ablation">
        <w:r>
          <w:rPr>
            <w:rStyle w:val="Hyperlink"/>
          </w:rPr>
          <w:t xml:space="preserve">5</w:t>
        </w:r>
      </w:hyperlink>
      <w:r>
        <w:t xml:space="preserve"> </w:t>
      </w:r>
      <w:r>
        <w:t xml:space="preserve">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bookmarkStart w:id="58" w:name="tab:compare"/>
    <w:p>
      <w:pPr>
        <w:pStyle w:val="TableCaption"/>
      </w:pPr>
      <w:r>
        <w:t xml:space="preserve">定向采集与全量采集资源对比（八节点，180 s，</w:t>
      </w:r>
      <m:oMath>
        <m:r>
          <m:t>n</m:t>
        </m:r>
        <m:r>
          <m:rPr>
            <m:sty m:val="p"/>
          </m:rPr>
          <m:t>=</m:t>
        </m:r>
        <m:r>
          <m:t>3</m:t>
        </m:r>
      </m:oMath>
      <w:r>
        <w:t xml:space="preserve"> </w:t>
      </w:r>
      <w:r>
        <w:t xml:space="preserve">实测）</w:t>
      </w:r>
    </w:p>
    <w:tbl>
      <w:tblPr>
        <w:tblStyle w:val="Table"/>
        <w:tblW w:type="auto" w:w="0"/>
        <w:tblLook w:firstRow="1" w:lastRow="0" w:firstColumn="0" w:lastColumn="0" w:noHBand="0" w:noVBand="0" w:val="0020"/>
        <w:jc w:val="start"/>
        <w:tblCaption w:val="定向采集与全量采集资源对比（八节点，180 s，n{=}3 实测）"/>
      </w:tblPr>
      <w:tblGrid>
        <w:gridCol w:w="1980"/>
        <w:gridCol w:w="1980"/>
        <w:gridCol w:w="1980"/>
        <w:gridCol w:w="1980"/>
      </w:tblGrid>
      <w:tr>
        <w:trPr>
          <w:tblHeader w:val="true"/>
        </w:trPr>
        <w:tc>
          <w:tcPr/>
          <w:p>
            <w:pPr>
              <w:pStyle w:val="Compact"/>
              <w:jc w:val="left"/>
            </w:pPr>
            <w:r>
              <w:t xml:space="preserve">指标</w:t>
            </w:r>
          </w:p>
        </w:tc>
        <w:tc>
          <w:tcPr/>
          <w:p>
            <w:pPr>
              <w:pStyle w:val="Compact"/>
              <w:jc w:val="center"/>
            </w:pPr>
            <w:r>
              <w:t xml:space="preserve">定向采集</w:t>
            </w:r>
          </w:p>
        </w:tc>
        <w:tc>
          <w:tcPr/>
          <w:p>
            <w:pPr>
              <w:pStyle w:val="Compact"/>
              <w:jc w:val="center"/>
            </w:pPr>
            <w:r>
              <w:t xml:space="preserve">全量采集</w:t>
            </w:r>
          </w:p>
        </w:tc>
        <w:tc>
          <w:tcPr/>
          <w:p>
            <w:pPr>
              <w:pStyle w:val="Compact"/>
              <w:jc w:val="center"/>
            </w:pPr>
            <w:r>
              <w:t xml:space="preserve">降低比例</w:t>
            </w:r>
          </w:p>
        </w:tc>
      </w:tr>
      <w:tr>
        <w:tc>
          <w:tcPr/>
          <w:p>
            <w:pPr>
              <w:pStyle w:val="Compact"/>
              <w:jc w:val="left"/>
            </w:pPr>
            <w:r>
              <w:t xml:space="preserve">Loki 入库 (条)</w:t>
            </w:r>
          </w:p>
        </w:tc>
        <w:tc>
          <w:tcPr/>
          <w:p>
            <w:pPr>
              <w:pStyle w:val="Compact"/>
              <w:jc w:val="center"/>
            </w:pPr>
            <w:r>
              <w:t xml:space="preserve">72</w:t>
            </w:r>
            <m:oMath>
              <m:r>
                <m:rPr>
                  <m:sty m:val="p"/>
                </m:rPr>
                <m:t>±</m:t>
              </m:r>
            </m:oMath>
            <w:r>
              <w:t xml:space="preserve">0</w:t>
            </w:r>
          </w:p>
        </w:tc>
        <w:tc>
          <w:tcPr/>
          <w:p>
            <w:pPr>
              <w:pStyle w:val="Compact"/>
              <w:jc w:val="center"/>
            </w:pPr>
            <w:r>
              <w:t xml:space="preserve">4388</w:t>
            </w:r>
            <m:oMath>
              <m:r>
                <m:rPr>
                  <m:sty m:val="p"/>
                </m:rPr>
                <m:t>±</m:t>
              </m:r>
            </m:oMath>
            <w:r>
              <w:t xml:space="preserve">1</w:t>
            </w:r>
          </w:p>
        </w:tc>
        <w:tc>
          <w:tcPr/>
          <w:p>
            <w:pPr>
              <w:pStyle w:val="Compact"/>
              <w:jc w:val="center"/>
            </w:pPr>
            <w:r>
              <w:t xml:space="preserve">98.4%</w:t>
            </w:r>
          </w:p>
        </w:tc>
      </w:tr>
      <w:tr>
        <w:tc>
          <w:tcPr/>
          <w:p>
            <w:pPr>
              <w:pStyle w:val="Compact"/>
              <w:jc w:val="left"/>
            </w:pPr>
            <w:r>
              <w:t xml:space="preserve">Agent CPU (%)</w:t>
            </w:r>
          </w:p>
        </w:tc>
        <w:tc>
          <w:tcPr/>
          <w:p>
            <w:pPr>
              <w:pStyle w:val="Compact"/>
              <w:jc w:val="center"/>
            </w:pPr>
            <w:r>
              <w:t xml:space="preserve">0.05</w:t>
            </w:r>
            <m:oMath>
              <m:r>
                <m:rPr>
                  <m:sty m:val="p"/>
                </m:rPr>
                <m:t>±</m:t>
              </m:r>
            </m:oMath>
            <w:r>
              <w:t xml:space="preserve">0.01</w:t>
            </w:r>
          </w:p>
        </w:tc>
        <w:tc>
          <w:tcPr/>
          <w:p>
            <w:pPr>
              <w:pStyle w:val="Compact"/>
              <w:jc w:val="center"/>
            </w:pPr>
            <w:r>
              <w:t xml:space="preserve">0.08</w:t>
            </w:r>
            <m:oMath>
              <m:r>
                <m:rPr>
                  <m:sty m:val="p"/>
                </m:rPr>
                <m:t>±</m:t>
              </m:r>
            </m:oMath>
            <w:r>
              <w:t xml:space="preserve">0.02</w:t>
            </w:r>
          </w:p>
        </w:tc>
        <w:tc>
          <w:tcPr/>
          <w:p>
            <w:pPr>
              <w:pStyle w:val="Compact"/>
              <w:jc w:val="center"/>
            </w:pPr>
            <w:r>
              <w:t xml:space="preserve">37.5%</w:t>
            </w:r>
          </w:p>
        </w:tc>
      </w:tr>
      <w:tr>
        <w:tc>
          <w:tcPr/>
          <w:p>
            <w:pPr>
              <w:pStyle w:val="Compact"/>
              <w:jc w:val="left"/>
            </w:pPr>
            <w:r>
              <w:t xml:space="preserve">Agent 内存 (MB)</w:t>
            </w:r>
          </w:p>
        </w:tc>
        <w:tc>
          <w:tcPr/>
          <w:p>
            <w:pPr>
              <w:pStyle w:val="Compact"/>
              <w:jc w:val="center"/>
            </w:pPr>
            <w:r>
              <w:t xml:space="preserve">95.6</w:t>
            </w:r>
            <m:oMath>
              <m:r>
                <m:rPr>
                  <m:sty m:val="p"/>
                </m:rPr>
                <m:t>±</m:t>
              </m:r>
            </m:oMath>
            <w:r>
              <w:t xml:space="preserve">4.2</w:t>
            </w:r>
          </w:p>
        </w:tc>
        <w:tc>
          <w:tcPr/>
          <w:p>
            <w:pPr>
              <w:pStyle w:val="Compact"/>
              <w:jc w:val="center"/>
            </w:pPr>
            <w:r>
              <w:t xml:space="preserve">97.5</w:t>
            </w:r>
            <m:oMath>
              <m:r>
                <m:rPr>
                  <m:sty m:val="p"/>
                </m:rPr>
                <m:t>±</m:t>
              </m:r>
            </m:oMath>
            <w:r>
              <w:t xml:space="preserve">1.7</w:t>
            </w:r>
          </w:p>
        </w:tc>
        <w:tc>
          <w:tcPr/>
          <w:p>
            <w:pPr>
              <w:pStyle w:val="Compact"/>
              <w:jc w:val="center"/>
            </w:pPr>
            <w:r>
              <w:t xml:space="preserve">2.0%</w:t>
            </w:r>
          </w:p>
        </w:tc>
      </w:tr>
      <w:tr>
        <w:tc>
          <w:tcPr/>
          <w:p>
            <w:pPr>
              <w:pStyle w:val="Compact"/>
              <w:jc w:val="left"/>
            </w:pPr>
            <w:r>
              <w:t xml:space="preserve">带宽 (KB/s)</w:t>
            </w:r>
          </w:p>
        </w:tc>
        <w:tc>
          <w:tcPr/>
          <w:p>
            <w:pPr>
              <w:pStyle w:val="Compact"/>
              <w:jc w:val="center"/>
            </w:pPr>
            <w:r>
              <w:t xml:space="preserve">0.20</w:t>
            </w:r>
          </w:p>
        </w:tc>
        <w:tc>
          <w:tcPr/>
          <w:p>
            <w:pPr>
              <w:pStyle w:val="Compact"/>
              <w:jc w:val="center"/>
            </w:pPr>
            <w:r>
              <w:t xml:space="preserve">12.19</w:t>
            </w:r>
          </w:p>
        </w:tc>
        <w:tc>
          <w:tcPr/>
          <w:p>
            <w:pPr>
              <w:pStyle w:val="Compact"/>
              <w:jc w:val="center"/>
            </w:pPr>
            <w:r>
              <w:t xml:space="preserve">98.4%</w:t>
            </w:r>
          </w:p>
        </w:tc>
      </w:tr>
    </w:tbl>
    <w:bookmarkEnd w:id="58"/>
    <w:p>
      <w:pPr>
        <w:pStyle w:val="CaptionedFigure"/>
      </w:pPr>
      <w:r>
        <w:drawing>
          <wp:inline>
            <wp:extent cx="4533900" cy="2879518"/>
            <wp:effectExtent b="0" l="0" r="0" t="0"/>
            <wp:docPr descr="" title="" id="60" name="Picture"/>
            <a:graphic>
              <a:graphicData uri="http://schemas.openxmlformats.org/drawingml/2006/picture">
                <pic:pic>
                  <pic:nvPicPr>
                    <pic:cNvPr descr="fig3_comparison_bars.pdf" id="61" name="Picture"/>
                    <pic:cNvPicPr>
                      <a:picLocks noChangeArrowheads="1" noChangeAspect="1"/>
                    </pic:cNvPicPr>
                  </pic:nvPicPr>
                  <pic:blipFill>
                    <a:blip r:embed="rId59"/>
                    <a:stretch>
                      <a:fillRect/>
                    </a:stretch>
                  </pic:blipFill>
                  <pic:spPr bwMode="auto">
                    <a:xfrm>
                      <a:off x="0" y="0"/>
                      <a:ext cx="4533900" cy="2879518"/>
                    </a:xfrm>
                    <a:prstGeom prst="rect">
                      <a:avLst/>
                    </a:prstGeom>
                    <a:noFill/>
                    <a:ln w="9525">
                      <a:noFill/>
                      <a:headEnd/>
                      <a:tailEnd/>
                    </a:ln>
                  </pic:spPr>
                </pic:pic>
              </a:graphicData>
            </a:graphic>
          </wp:inline>
        </w:drawing>
      </w:r>
    </w:p>
    <w:p>
      <w:pPr>
        <w:pStyle w:val="ImageCaption"/>
      </w:pPr>
      <w:r>
        <w:t xml:space="preserve">定向采集与全量采集资源消耗对比（八节点，180 s，</w:t>
      </w:r>
      <m:oMath>
        <m:r>
          <m:t>n</m:t>
        </m:r>
        <m:r>
          <m:rPr>
            <m:sty m:val="p"/>
          </m:rPr>
          <m:t>=</m:t>
        </m:r>
        <m:r>
          <m:t>3</m:t>
        </m:r>
      </m:oMath>
      <w:r>
        <w:t xml:space="preserve"> </w:t>
      </w:r>
      <w:r>
        <w:t xml:space="preserve">实测）</w:t>
      </w:r>
    </w:p>
    <w:p>
      <w:pPr>
        <w:pStyle w:val="CaptionedFigure"/>
      </w:pPr>
      <w:r>
        <w:drawing>
          <wp:inline>
            <wp:extent cx="5067300" cy="1655357"/>
            <wp:effectExtent b="0" l="0" r="0" t="0"/>
            <wp:docPr descr="" title="" id="63" name="Picture"/>
            <a:graphic>
              <a:graphicData uri="http://schemas.openxmlformats.org/drawingml/2006/picture">
                <pic:pic>
                  <pic:nvPicPr>
                    <pic:cNvPr descr="fig4_ablation_bars.pdf" id="64" name="Picture"/>
                    <pic:cNvPicPr>
                      <a:picLocks noChangeArrowheads="1" noChangeAspect="1"/>
                    </pic:cNvPicPr>
                  </pic:nvPicPr>
                  <pic:blipFill>
                    <a:blip r:embed="rId62"/>
                    <a:stretch>
                      <a:fillRect/>
                    </a:stretch>
                  </pic:blipFill>
                  <pic:spPr bwMode="auto">
                    <a:xfrm>
                      <a:off x="0" y="0"/>
                      <a:ext cx="5067300" cy="1655357"/>
                    </a:xfrm>
                    <a:prstGeom prst="rect">
                      <a:avLst/>
                    </a:prstGeom>
                    <a:noFill/>
                    <a:ln w="9525">
                      <a:noFill/>
                      <a:headEnd/>
                      <a:tailEnd/>
                    </a:ln>
                  </pic:spPr>
                </pic:pic>
              </a:graphicData>
            </a:graphic>
          </wp:inline>
        </w:drawing>
      </w:r>
    </w:p>
    <w:p>
      <w:pPr>
        <w:pStyle w:val="ImageCaption"/>
      </w:pPr>
      <w:r>
        <w:t xml:space="preserve">消融实验结果（</w:t>
      </w:r>
      <w:r>
        <w:rPr>
          <w:bCs/>
          <w:b/>
        </w:rPr>
        <w:t xml:space="preserve">策略仿真</w:t>
      </w:r>
      <w:r>
        <w:t xml:space="preserve">，非集群实测）</w:t>
      </w:r>
    </w:p>
    <w:p>
      <w:pPr>
        <w:pStyle w:val="BodyText"/>
      </w:pPr>
      <w:r>
        <w:t xml:space="preserve">对于 RQ3，端到端链路已在集群中实测打通：Nginx 共享内存</w:t>
      </w:r>
      <w:r>
        <w:t xml:space="preserve"> </w:t>
      </w:r>
      <m:oMath>
        <m:r>
          <m:rPr>
            <m:sty m:val="p"/>
          </m:rPr>
          <m:t>→</m:t>
        </m:r>
      </m:oMath>
      <w:r>
        <w:t xml:space="preserve"> </w:t>
      </w:r>
      <w:r>
        <w:t xml:space="preserve">Agent gRPC</w:t>
      </w:r>
      <w:r>
        <w:t xml:space="preserve"> </w:t>
      </w:r>
      <m:oMath>
        <m:r>
          <m:rPr>
            <m:sty m:val="p"/>
          </m:rPr>
          <m:t>→</m:t>
        </m:r>
      </m:oMath>
      <w:r>
        <w:t xml:space="preserve"> </w:t>
      </w:r>
      <w:r>
        <w:t xml:space="preserve">Redis</w:t>
      </w:r>
      <w:r>
        <w:t xml:space="preserve"> </w:t>
      </w:r>
      <m:oMath>
        <m:r>
          <m:rPr>
            <m:sty m:val="p"/>
          </m:rPr>
          <m:t>→</m:t>
        </m:r>
      </m:oMath>
      <w:r>
        <w:t xml:space="preserve"> </w:t>
      </w:r>
      <w:r>
        <w:t xml:space="preserve">关注清单生成</w:t>
      </w:r>
      <w:r>
        <w:t xml:space="preserve"> </w:t>
      </w:r>
      <m:oMath>
        <m:r>
          <m:rPr>
            <m:sty m:val="p"/>
          </m:rPr>
          <m:t>→</m:t>
        </m:r>
      </m:oMath>
      <w:r>
        <w:t xml:space="preserve"> </w:t>
      </w:r>
      <w:r>
        <w:t xml:space="preserve">Agent 规则拉取。对于 RQ4，关注清单生成在 5000 条日志上耗时约 15 ms（图 </w:t>
      </w:r>
      <w:hyperlink w:anchor="fig:attention">
        <w:r>
          <w:rPr>
            <w:rStyle w:val="Hyperlink"/>
          </w:rPr>
          <w:t xml:space="preserve">6</w:t>
        </w:r>
      </w:hyperlink>
      <w:r>
        <w:t xml:space="preserve">）；指数退避模块通过全部单元测试。上述实验的复现脚本、原始结果 JSON 及单元测试代码均保存在项目仓库</w:t>
      </w:r>
      <w:r>
        <w:rPr>
          <w:rStyle w:val="FootnoteReference"/>
        </w:rPr>
        <w:footnoteReference w:id="65"/>
      </w:r>
      <w:r>
        <w:t xml:space="preserve">中。</w:t>
      </w:r>
    </w:p>
    <w:p>
      <w:pPr>
        <w:pStyle w:val="CaptionedFigure"/>
      </w:pPr>
      <w:r>
        <w:drawing>
          <wp:inline>
            <wp:extent cx="4533900" cy="2834944"/>
            <wp:effectExtent b="0" l="0" r="0" t="0"/>
            <wp:docPr descr="" title="" id="67" name="Picture"/>
            <a:graphic>
              <a:graphicData uri="http://schemas.openxmlformats.org/drawingml/2006/picture">
                <pic:pic>
                  <pic:nvPicPr>
                    <pic:cNvPr descr="fig6_attention_bench.pdf" id="68" name="Picture"/>
                    <pic:cNvPicPr>
                      <a:picLocks noChangeArrowheads="1" noChangeAspect="1"/>
                    </pic:cNvPicPr>
                  </pic:nvPicPr>
                  <pic:blipFill>
                    <a:blip r:embed="rId66"/>
                    <a:stretch>
                      <a:fillRect/>
                    </a:stretch>
                  </pic:blipFill>
                  <pic:spPr bwMode="auto">
                    <a:xfrm>
                      <a:off x="0" y="0"/>
                      <a:ext cx="4533900" cy="2834944"/>
                    </a:xfrm>
                    <a:prstGeom prst="rect">
                      <a:avLst/>
                    </a:prstGeom>
                    <a:noFill/>
                    <a:ln w="9525">
                      <a:noFill/>
                      <a:headEnd/>
                      <a:tailEnd/>
                    </a:ln>
                  </pic:spPr>
                </pic:pic>
              </a:graphicData>
            </a:graphic>
          </wp:inline>
        </w:drawing>
      </w:r>
    </w:p>
    <w:p>
      <w:pPr>
        <w:pStyle w:val="ImageCaption"/>
      </w:pPr>
      <w:r>
        <w:t xml:space="preserve">关注清单生成算法微基准</w:t>
      </w:r>
    </w:p>
    <w:bookmarkEnd w:id="69"/>
    <w:bookmarkStart w:id="70" w:name="可复现性与效度威胁"/>
    <w:p>
      <w:pPr>
        <w:pStyle w:val="Heading2"/>
      </w:pPr>
      <w:r>
        <w:t xml:space="preserve">可复现性与效度威胁</w:t>
      </w:r>
    </w:p>
    <w:p>
      <w:pPr>
        <w:pStyle w:val="FirstParagraph"/>
      </w:pPr>
      <w:r>
        <w:t xml:space="preserve">全部实验脚本、Docker Compose 配置与原始 JSON 结果均保存在项目仓库的</w:t>
      </w:r>
      <w:r>
        <w:t xml:space="preserve"> </w:t>
      </w:r>
      <w:r>
        <w:rPr>
          <w:rStyle w:val="VerbatimChar"/>
        </w:rPr>
        <w:t xml:space="preserve">experiments/</w:t>
      </w:r>
      <w:r>
        <w:t xml:space="preserve"> </w:t>
      </w:r>
      <w:r>
        <w:t xml:space="preserve">目录下，按 phase3（主对比）、phase4（规模复核）和 phase5（多进程模拟）分目录组织。表 </w:t>
      </w:r>
      <w:hyperlink w:anchor="tab:compare">
        <w:r>
          <w:rPr>
            <w:rStyle w:val="Hyperlink"/>
          </w:rPr>
          <w:t xml:space="preserve">2</w:t>
        </w:r>
      </w:hyperlink>
      <w:r>
        <w:t xml:space="preserve"> </w:t>
      </w:r>
      <w:r>
        <w:t xml:space="preserve">和图 </w:t>
      </w:r>
      <w:hyperlink w:anchor="fig:compare">
        <w:r>
          <w:rPr>
            <w:rStyle w:val="Hyperlink"/>
          </w:rPr>
          <w:t xml:space="preserve">4</w:t>
        </w:r>
      </w:hyperlink>
      <w:r>
        <w:t xml:space="preserve"> </w:t>
      </w:r>
      <w:r>
        <w:t xml:space="preserve">由 phase3 数据派生，16/32 节点规模复核由 phase4 数据派生，同频率对照、Promtail 静态过滤复现与系统级组件消融由 phase5 数据派生。当前结果仍存在以下效度威胁。</w:t>
      </w:r>
    </w:p>
    <w:p>
      <w:pPr>
        <w:pStyle w:val="BodyText"/>
      </w:pPr>
      <w:r>
        <w:rPr>
          <w:bCs/>
          <w:b/>
        </w:rPr>
        <w:t xml:space="preserve">规模效度</w:t>
      </w:r>
      <w:r>
        <w:t xml:space="preserve">：八节点主对比和十六/三十二节点规模复核是 WSL/Docker 实测，六十四节点仍为基于实测曲线的外推。云环境下的长稳表现与带宽压力还需要进一步验证。</w:t>
      </w:r>
    </w:p>
    <w:p>
      <w:pPr>
        <w:pStyle w:val="BodyText"/>
      </w:pPr>
      <w:r>
        <w:rPr>
          <w:bCs/>
          <w:b/>
        </w:rPr>
        <w:t xml:space="preserve">基线效度</w:t>
      </w:r>
      <w:r>
        <w:t xml:space="preserve">：本文已给出同架构全量实测基线、Promtail 静态过滤的同负载模拟复现，以及 OpenTelemetry/eBPF 的同负载估算（图 </w:t>
      </w:r>
      <w:hyperlink w:anchor="fig:baseline">
        <w:r>
          <w:rPr>
            <w:rStyle w:val="Hyperlink"/>
          </w:rPr>
          <w:t xml:space="preserve">8</w:t>
        </w:r>
      </w:hyperlink>
      <w:r>
        <w:t xml:space="preserve">）。但 Promtail、OpenTelemetry 和 eBPF 的完整端到端部署对照仍有待补充。</w:t>
      </w:r>
    </w:p>
    <w:p>
      <w:pPr>
        <w:pStyle w:val="BodyText"/>
      </w:pPr>
      <w:r>
        <w:rPr>
          <w:bCs/>
          <w:b/>
        </w:rPr>
        <w:t xml:space="preserve">负载效度</w:t>
      </w:r>
      <w:r>
        <w:t xml:space="preserve">：当前负载由 httpbin 合成，覆盖了正常、错误和慢请求三类场景，但和 DeathStarBench、Alibaba 生产迹等真实微服务流量相比仍有差距。</w:t>
      </w:r>
    </w:p>
    <w:p>
      <w:pPr>
        <w:pStyle w:val="BodyText"/>
      </w:pPr>
      <w:r>
        <w:rPr>
          <w:bCs/>
          <w:b/>
        </w:rPr>
        <w:t xml:space="preserve">统计效度</w:t>
      </w:r>
      <w:r>
        <w:t xml:space="preserve">：三期对比为 180 s、</w:t>
      </w:r>
      <m:oMath>
        <m:r>
          <m:t>n</m:t>
        </m:r>
        <m:r>
          <m:rPr>
            <m:sty m:val="p"/>
          </m:rPr>
          <m:t>=</m:t>
        </m:r>
        <m:r>
          <m:t>3</m:t>
        </m:r>
      </m:oMath>
      <w:r>
        <w:t xml:space="preserve">；四期规模矩阵为 60 s、</w:t>
      </w:r>
      <m:oMath>
        <m:r>
          <m:t>n</m:t>
        </m:r>
        <m:r>
          <m:rPr>
            <m:sty m:val="p"/>
          </m:rPr>
          <m:t>=</m:t>
        </m:r>
        <m:r>
          <m:t>3</m:t>
        </m:r>
      </m:oMath>
      <w:r>
        <w:t xml:space="preserve">；五期多进程模拟同样重复 3 次，但本质上仍是基于实测分布的模拟证据。逐探针命中率受 Agent 批处理影响，不能单独代表稳态漏报率。图 </w:t>
      </w:r>
      <w:hyperlink w:anchor="fig:ablation">
        <w:r>
          <w:rPr>
            <w:rStyle w:val="Hyperlink"/>
          </w:rPr>
          <w:t xml:space="preserve">5</w:t>
        </w:r>
      </w:hyperlink>
      <w:r>
        <w:t xml:space="preserve"> </w:t>
      </w:r>
      <w:r>
        <w:t xml:space="preserve">是策略仿真消融，不能与表 </w:t>
      </w:r>
      <w:hyperlink w:anchor="tab:compare">
        <w:r>
          <w:rPr>
            <w:rStyle w:val="Hyperlink"/>
          </w:rPr>
          <w:t xml:space="preserve">2</w:t>
        </w:r>
      </w:hyperlink>
      <w:r>
        <w:t xml:space="preserve"> </w:t>
      </w:r>
      <w:r>
        <w:t xml:space="preserve">的集群实测直接比较。</w:t>
      </w:r>
    </w:p>
    <w:bookmarkEnd w:id="70"/>
    <w:bookmarkStart w:id="74" w:name="规模扩展与质量指标"/>
    <w:p>
      <w:pPr>
        <w:pStyle w:val="Heading2"/>
      </w:pPr>
      <w:r>
        <w:t xml:space="preserve">规模扩展与质量指标</w:t>
      </w:r>
    </w:p>
    <w:p>
      <w:pPr>
        <w:pStyle w:val="FirstParagraph"/>
      </w:pPr>
      <w:r>
        <w:t xml:space="preserve">四期实验中，本文补充了 16/32 节点定向模式的规模复核（60 s、并发 50、重复 3 次）。为避免历史计数干扰，复核前先执行 Redis 清空和 Center 重启，让</w:t>
      </w:r>
      <w:r>
        <w:t xml:space="preserve"> </w:t>
      </w:r>
      <w:r>
        <w:rPr>
          <w:rStyle w:val="VerbatimChar"/>
        </w:rPr>
        <w:t xml:space="preserve">/api/v1/stats</w:t>
      </w:r>
      <w:r>
        <w:t xml:space="preserve"> </w:t>
      </w:r>
      <w:r>
        <w:t xml:space="preserve">从 0 开始计数。图 </w:t>
      </w:r>
      <w:hyperlink w:anchor="fig:scale">
        <w:r>
          <w:rPr>
            <w:rStyle w:val="Hyperlink"/>
          </w:rPr>
          <w:t xml:space="preserve">7</w:t>
        </w:r>
      </w:hyperlink>
      <w:r>
        <w:t xml:space="preserve"> </w:t>
      </w:r>
      <w:r>
        <w:t xml:space="preserve">显示：16 节点下网关流量日志增量为 6703.33</w:t>
      </w:r>
      <m:oMath>
        <m:r>
          <m:rPr>
            <m:sty m:val="p"/>
          </m:rPr>
          <m:t>±</m:t>
        </m:r>
      </m:oMath>
      <w:r>
        <w:t xml:space="preserve">91.78 条/轮，定向模式 Loki 入库为 48.0</w:t>
      </w:r>
      <m:oMath>
        <m:r>
          <m:rPr>
            <m:sty m:val="p"/>
          </m:rPr>
          <m:t>±</m:t>
        </m:r>
      </m:oMath>
      <w:r>
        <w:t xml:space="preserve">5.2 条/轮，关注清单稳定在 32 项；32 节点下网关流量日志增量为 6692.67</w:t>
      </w:r>
      <m:oMath>
        <m:r>
          <m:rPr>
            <m:sty m:val="p"/>
          </m:rPr>
          <m:t>±</m:t>
        </m:r>
      </m:oMath>
      <w:r>
        <w:t xml:space="preserve">121.88 条/轮，定向模式 Loki 入库稳定在 99.0</w:t>
      </w:r>
      <m:oMath>
        <m:r>
          <m:rPr>
            <m:sty m:val="p"/>
          </m:rPr>
          <m:t>±</m:t>
        </m:r>
      </m:oMath>
      <w:r>
        <w:t xml:space="preserve">0.0 条/轮，关注清单达到当前 Top-</w:t>
      </w:r>
      <m:oMath>
        <m:r>
          <m:t>K</m:t>
        </m:r>
        <m:r>
          <m:rPr>
            <m:sty m:val="p"/>
          </m:rPr>
          <m:t>=</m:t>
        </m:r>
        <m:r>
          <m:t>50</m:t>
        </m:r>
      </m:oMath>
      <w:r>
        <w:t xml:space="preserve"> </w:t>
      </w:r>
      <w:r>
        <w:t xml:space="preserve">上限。32 节点时 Agent 平均 CPU 为 0.06</w:t>
      </w:r>
      <m:oMath>
        <m:r>
          <m:rPr>
            <m:sty m:val="p"/>
          </m:rPr>
          <m:t>±</m:t>
        </m:r>
      </m:oMath>
      <w:r>
        <w:t xml:space="preserve">0.01%，Center CPU 为 0.06</w:t>
      </w:r>
      <m:oMath>
        <m:r>
          <m:rPr>
            <m:sty m:val="p"/>
          </m:rPr>
          <m:t>±</m:t>
        </m:r>
      </m:oMath>
      <w:r>
        <w:t xml:space="preserve">0.07%，没有出现资源失控。64 节点的柱形是基于现有实测趋势的外推值（灰色），</w:t>
      </w:r>
      <w:r>
        <w:rPr>
          <w:bCs/>
          <w:b/>
        </w:rPr>
        <w:t xml:space="preserve">仅供趋势参考，不作为本文的主要结论</w:t>
      </w:r>
      <w:r>
        <w:t xml:space="preserve">。外推假设资源消耗与节点数大致线性增长，但实际的分布式系统可能因为网络竞争、调度抖动等因素产生非线性增长，还需要在云环境长稳压测中验证。</w:t>
      </w:r>
    </w:p>
    <w:p>
      <w:pPr>
        <w:pStyle w:val="CaptionedFigure"/>
      </w:pPr>
      <w:r>
        <w:drawing>
          <wp:inline>
            <wp:extent cx="5067300" cy="1564640"/>
            <wp:effectExtent b="0" l="0" r="0" t="0"/>
            <wp:docPr descr="" title="" id="72" name="Picture"/>
            <a:graphic>
              <a:graphicData uri="http://schemas.openxmlformats.org/drawingml/2006/picture">
                <pic:pic>
                  <pic:nvPicPr>
                    <pic:cNvPr descr="fig7_scale_bars.pdf" id="73" name="Picture"/>
                    <pic:cNvPicPr>
                      <a:picLocks noChangeArrowheads="1" noChangeAspect="1"/>
                    </pic:cNvPicPr>
                  </pic:nvPicPr>
                  <pic:blipFill>
                    <a:blip r:embed="rId71"/>
                    <a:stretch>
                      <a:fillRect/>
                    </a:stretch>
                  </pic:blipFill>
                  <pic:spPr bwMode="auto">
                    <a:xfrm>
                      <a:off x="0" y="0"/>
                      <a:ext cx="5067300" cy="1564640"/>
                    </a:xfrm>
                    <a:prstGeom prst="rect">
                      <a:avLst/>
                    </a:prstGeom>
                    <a:noFill/>
                    <a:ln w="9525">
                      <a:noFill/>
                      <a:headEnd/>
                      <a:tailEnd/>
                    </a:ln>
                  </pic:spPr>
                </pic:pic>
              </a:graphicData>
            </a:graphic>
          </wp:inline>
        </w:drawing>
      </w:r>
    </w:p>
    <w:p>
      <w:pPr>
        <w:pStyle w:val="ImageCaption"/>
      </w:pPr>
      <w:r>
        <w:t xml:space="preserve">多规模扩展实验（绿色/实线：8/16/32 节点集群实测；灰色/虚线：64 节点线性外推，</w:t>
      </w:r>
      <w:r>
        <w:rPr>
          <w:bCs/>
          <w:b/>
        </w:rPr>
        <w:t xml:space="preserve">非实测</w:t>
      </w:r>
      <w:r>
        <w:t xml:space="preserve">）</w:t>
      </w:r>
    </w:p>
    <w:p>
      <w:pPr>
        <w:pStyle w:val="BodyText"/>
      </w:pPr>
      <w:r>
        <w:rPr>
          <w:bCs/>
          <w:b/>
        </w:rPr>
        <w:t xml:space="preserve">漏报定义与度量。</w:t>
      </w:r>
      <w:r>
        <w:t xml:space="preserve">本文区分两类指标。第一类是</w:t>
      </w:r>
      <w:r>
        <w:rPr>
          <w:bCs/>
          <w:b/>
        </w:rPr>
        <w:t xml:space="preserve">规则级漏报</w:t>
      </w:r>
      <w:r>
        <w:t xml:space="preserve">——关注清单是否覆盖了所有满足定向策略条件（响应时延</w:t>
      </w:r>
      <w:r>
        <w:t xml:space="preserve"> </w:t>
      </w:r>
      <m:oMath>
        <m:r>
          <m:rPr>
            <m:sty m:val="p"/>
          </m:rPr>
          <m:t>&gt;</m:t>
        </m:r>
        <m:r>
          <m:t>T</m:t>
        </m:r>
      </m:oMath>
      <w:r>
        <w:t xml:space="preserve"> </w:t>
      </w:r>
      <w:r>
        <w:t xml:space="preserve">或状态码</w:t>
      </w:r>
      <w:r>
        <w:t xml:space="preserve"> </w:t>
      </w:r>
      <m:oMath>
        <m:r>
          <m:rPr>
            <m:sty m:val="p"/>
          </m:rPr>
          <m:t>∈</m:t>
        </m:r>
        <m:r>
          <m:t>E</m:t>
        </m:r>
      </m:oMath>
      <w:r>
        <w:t xml:space="preserve">）的 URL 模式。第二类是</w:t>
      </w:r>
      <w:r>
        <w:rPr>
          <w:bCs/>
          <w:b/>
        </w:rPr>
        <w:t xml:space="preserve">探针即时命中率</w:t>
      </w:r>
      <w:r>
        <w:t xml:space="preserve">——某一时刻向指定服务发送探针请求后，对应的应用日志是否在 Agent 批处理窗口内被立即采集并上传。在稳态混合负载下，关注清单稳定覆盖了</w:t>
      </w:r>
      <w:r>
        <w:t xml:space="preserve"> </w:t>
      </w:r>
      <w:r>
        <w:rPr>
          <w:rStyle w:val="VerbatimChar"/>
        </w:rPr>
        <w:t xml:space="preserve">/status/500</w:t>
      </w:r>
      <w:r>
        <w:t xml:space="preserve">、</w:t>
      </w:r>
      <w:r>
        <w:rPr>
          <w:rStyle w:val="VerbatimChar"/>
        </w:rPr>
        <w:t xml:space="preserve">/delay/1</w:t>
      </w:r>
      <w:r>
        <w:t xml:space="preserve"> </w:t>
      </w:r>
      <w:r>
        <w:t xml:space="preserve">等泛化模式（八节点 16 条、十六节点 32 条），</w:t>
      </w:r>
      <w:r>
        <w:rPr>
          <w:bCs/>
          <w:b/>
        </w:rPr>
        <w:t xml:space="preserve">规则级</w:t>
      </w:r>
      <w:r>
        <w:t xml:space="preserve">漏报率为 0。需要指出：这个结论成立的前提是合成负载与当前清单配置（Top-</w:t>
      </w:r>
      <m:oMath>
        <m:r>
          <m:t>K</m:t>
        </m:r>
        <m:r>
          <m:rPr>
            <m:sty m:val="p"/>
          </m:rPr>
          <m:t>=</m:t>
        </m:r>
        <m:r>
          <m:t>50</m:t>
        </m:r>
      </m:oMath>
      <w:r>
        <w:t xml:space="preserve">、固定 URL 集合）。生产环境中 URL 模式的长尾分布、窗口大小和 Top-</w:t>
      </w:r>
      <m:oMath>
        <m:r>
          <m:t>K</m:t>
        </m:r>
      </m:oMath>
      <w:r>
        <w:t xml:space="preserve"> </w:t>
      </w:r>
      <w:r>
        <w:t xml:space="preserve">参数都可能影响覆盖率。生产迹风格混合负载（60% 正常 / 20% 5xx / 12% 慢请求 / 8% 其他，90 s、十六节点）共发送 3.6</w:t>
      </w:r>
      <m:oMath>
        <m:r>
          <m:rPr>
            <m:sty m:val="p"/>
          </m:rPr>
          <m:t>×</m:t>
        </m:r>
        <m:sSup>
          <m:e>
            <m:r>
              <m:t>10</m:t>
            </m:r>
          </m:e>
          <m:sup>
            <m:r>
              <m:t>4</m:t>
            </m:r>
          </m:sup>
        </m:sSup>
      </m:oMath>
      <w:r>
        <w:t xml:space="preserve"> </w:t>
      </w:r>
      <w:r>
        <w:t xml:space="preserve">次请求，定向入库 77 条，验证了减量能力。逐探针实验的即时命中率受 Agent 2 s 批处理窗口影响，反映的是</w:t>
      </w:r>
      <w:r>
        <w:rPr>
          <w:bCs/>
          <w:b/>
        </w:rPr>
        <w:t xml:space="preserve">批处理延迟对采集时效性的影响</w:t>
      </w:r>
      <w:r>
        <w:t xml:space="preserve">，不等同于规则级漏报。</w:t>
      </w:r>
    </w:p>
    <w:p>
      <w:pPr>
        <w:pStyle w:val="BodyText"/>
      </w:pPr>
      <w:r>
        <w:rPr>
          <w:bCs/>
          <w:b/>
        </w:rPr>
        <w:t xml:space="preserve">端到端延迟与可接受性。</w:t>
      </w:r>
      <w:r>
        <w:t xml:space="preserve">端到端延迟（HTTP</w:t>
      </w:r>
      <w:r>
        <w:t xml:space="preserve"> </w:t>
      </w:r>
      <m:oMath>
        <m:r>
          <m:rPr>
            <m:sty m:val="p"/>
          </m:rPr>
          <m:t>→</m:t>
        </m:r>
      </m:oMath>
      <w:r>
        <w:t xml:space="preserve"> </w:t>
      </w:r>
      <w:r>
        <w:t xml:space="preserve">Center</w:t>
      </w:r>
      <w:r>
        <w:t xml:space="preserve"> </w:t>
      </w:r>
      <w:r>
        <w:rPr>
          <w:rStyle w:val="VerbatimChar"/>
        </w:rPr>
        <w:t xml:space="preserve">received</w:t>
      </w:r>
      <w:r>
        <w:t xml:space="preserve">）实测结果：P50 为 0.83 s，P95 为 12 s（</w:t>
      </w:r>
      <m:oMath>
        <m:r>
          <m:t>n</m:t>
        </m:r>
        <m:r>
          <m:rPr>
            <m:sty m:val="p"/>
          </m:rPr>
          <m:t>=</m:t>
        </m:r>
        <m:r>
          <m:t>30</m:t>
        </m:r>
      </m:oMath>
      <w:r>
        <w:t xml:space="preserve">）。P95 偏高主要是因为 Agent 2 s 批处理窗口和合成慢请求（如</w:t>
      </w:r>
      <w:r>
        <w:t xml:space="preserve"> </w:t>
      </w:r>
      <w:r>
        <w:rPr>
          <w:rStyle w:val="VerbatimChar"/>
        </w:rPr>
        <w:t xml:space="preserve">/delay/1</w:t>
      </w:r>
      <w:r>
        <w:t xml:space="preserve"> </w:t>
      </w:r>
      <w:r>
        <w:t xml:space="preserve">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w:t>
      </w:r>
      <w:r>
        <w:rPr>
          <w:rStyle w:val="VerbatimChar"/>
        </w:rPr>
        <w:t xml:space="preserve">docker stop/start</w:t>
      </w:r>
      <w:r>
        <w:t xml:space="preserve">）的恢复时间约 1.1 s。</w:t>
      </w:r>
    </w:p>
    <w:bookmarkEnd w:id="74"/>
    <w:bookmarkStart w:id="78" w:name="工业基线对照"/>
    <w:p>
      <w:pPr>
        <w:pStyle w:val="Heading2"/>
      </w:pPr>
      <w:r>
        <w:t xml:space="preserve">工业基线对照</w:t>
      </w:r>
    </w:p>
    <w:p>
      <w:pPr>
        <w:pStyle w:val="FirstParagraph"/>
      </w:pPr>
      <w:r>
        <w:t xml:space="preserve">图 </w:t>
      </w:r>
      <w:hyperlink w:anchor="fig:baseline">
        <w:r>
          <w:rPr>
            <w:rStyle w:val="Hyperlink"/>
          </w:rPr>
          <w:t xml:space="preserve">8</w:t>
        </w:r>
      </w:hyperlink>
      <w:r>
        <w:t xml:space="preserve"> </w:t>
      </w:r>
      <w:r>
        <w:t xml:space="preserve">在同负载口径下给出了本文定向采集与三类工业基线的趋势对照。为了补充实证对比，本文在多进程模拟器中复现了 Promtail 的静态标签过滤（保留 status</w:t>
      </w:r>
      <m:oMath>
        <m:r>
          <m:rPr>
            <m:sty m:val="p"/>
          </m:rPr>
          <m:t>≥</m:t>
        </m:r>
      </m:oMath>
      <w:r>
        <w:t xml:space="preserve">400 错误或 /delay/ 慢请求路由）。模拟结果显示，同负载分布下 Promtail 静态过滤入库 276.3 条，本文定向策略入库 233.3 条。之所以能进一步降低，是因为引入了网关流量驱动的动态 Top-</w:t>
      </w:r>
      <m:oMath>
        <m:r>
          <m:t>K</m:t>
        </m:r>
      </m:oMath>
      <w:r>
        <w:t xml:space="preserve"> </w:t>
      </w:r>
      <w:r>
        <w:t xml:space="preserve">机制，截断了长尾异常噪音。需要强调的是，这个结果是</w:t>
      </w:r>
      <w:r>
        <w:rPr>
          <w:bCs/>
          <w:b/>
        </w:rPr>
        <w:t xml:space="preserve">规则级模拟复现</w:t>
      </w:r>
      <w:r>
        <w:t xml:space="preserve">，并不是 Promtail 完整部署下的端到端吞吐、资源与延迟对照。OpenTelemetry 尾部采样估算</w:t>
      </w:r>
      <w:r>
        <w:t xml:space="preserve">(Z. Chen et al. 2024)</w:t>
      </w:r>
      <w:r>
        <w:t xml:space="preserve">和 eBPF 内核探针估算</w:t>
      </w:r>
      <w:r>
        <w:t xml:space="preserve">(D. Soldani et al. 2023)</w:t>
      </w:r>
      <w:r>
        <w:t xml:space="preserve">暂未做实测，图中的柱形应该理解为</w:t>
      </w:r>
      <w:r>
        <w:rPr>
          <w:bCs/>
          <w:b/>
        </w:rPr>
        <w:t xml:space="preserve">趋势参考</w:t>
      </w:r>
      <w:r>
        <w:t xml:space="preserve">。本文</w:t>
      </w:r>
      <w:r>
        <w:rPr>
          <w:bCs/>
          <w:b/>
        </w:rPr>
        <w:t xml:space="preserve">不主张</w:t>
      </w:r>
      <w:r>
        <w:t xml:space="preserve">在所有维度上优于工业方案，核心创新是补齐了以应用日志内容特征为基础的采集前端轻量级减量闭环。</w:t>
      </w:r>
    </w:p>
    <w:p>
      <w:pPr>
        <w:pStyle w:val="CaptionedFigure"/>
      </w:pPr>
      <w:r>
        <w:drawing>
          <wp:inline>
            <wp:extent cx="4533900" cy="2230966"/>
            <wp:effectExtent b="0" l="0" r="0" t="0"/>
            <wp:docPr descr="" title="" id="76" name="Picture"/>
            <a:graphic>
              <a:graphicData uri="http://schemas.openxmlformats.org/drawingml/2006/picture">
                <pic:pic>
                  <pic:nvPicPr>
                    <pic:cNvPr descr="fig8_baseline_bars.pdf" id="77" name="Picture"/>
                    <pic:cNvPicPr>
                      <a:picLocks noChangeArrowheads="1" noChangeAspect="1"/>
                    </pic:cNvPicPr>
                  </pic:nvPicPr>
                  <pic:blipFill>
                    <a:blip r:embed="rId75"/>
                    <a:stretch>
                      <a:fillRect/>
                    </a:stretch>
                  </pic:blipFill>
                  <pic:spPr bwMode="auto">
                    <a:xfrm>
                      <a:off x="0" y="0"/>
                      <a:ext cx="4533900" cy="2230966"/>
                    </a:xfrm>
                    <a:prstGeom prst="rect">
                      <a:avLst/>
                    </a:prstGeom>
                    <a:noFill/>
                    <a:ln w="9525">
                      <a:noFill/>
                      <a:headEnd/>
                      <a:tailEnd/>
                    </a:ln>
                  </pic:spPr>
                </pic:pic>
              </a:graphicData>
            </a:graphic>
          </wp:inline>
        </w:drawing>
      </w:r>
    </w:p>
    <w:p>
      <w:pPr>
        <w:pStyle w:val="ImageCaption"/>
      </w:pPr>
      <w:r>
        <w:t xml:space="preserve">工业基线趋势对比（P3 定向采集为集群实测；Promtail 为同负载多进程规则复现；OTel/eBPF 为同负载估算，柱形样式区分证据等级）</w:t>
      </w:r>
    </w:p>
    <w:bookmarkEnd w:id="78"/>
    <w:bookmarkStart w:id="79" w:name="sec:future"/>
    <w:p>
      <w:pPr>
        <w:pStyle w:val="Heading2"/>
      </w:pPr>
      <w:r>
        <w:t xml:space="preserve">剩余局限与后续工作</w:t>
      </w:r>
    </w:p>
    <w:p>
      <w:pPr>
        <w:pStyle w:val="FirstParagraph"/>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BodyText"/>
      </w:pPr>
      <w:r>
        <w:rPr>
          <w:bCs/>
          <w:b/>
        </w:rPr>
        <w:t xml:space="preserve">近期/中期工作：</w:t>
      </w:r>
      <w:r>
        <w:t xml:space="preserve">（1）在 Kubernetes 环境开展 64 节点云原生实测，替代当前基于 32 节点复核结果的趋势外推，并评估 Top-</w:t>
      </w:r>
      <m:oMath>
        <m:r>
          <m:t>K</m:t>
        </m:r>
      </m:oMath>
      <w:r>
        <w:t xml:space="preserve"> </w:t>
      </w:r>
      <w:r>
        <w:t xml:space="preserve">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BodyText"/>
      </w:pPr>
      <w:r>
        <w:rPr>
          <w:bCs/>
          <w:b/>
        </w:rPr>
        <w:t xml:space="preserve">远期工作：</w:t>
      </w:r>
      <w:r>
        <w:t xml:space="preserve">（4）与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bookmarkEnd w:id="79"/>
    <w:bookmarkEnd w:id="80"/>
    <w:bookmarkStart w:id="186" w:name="结束语"/>
    <w:p>
      <w:pPr>
        <w:pStyle w:val="Heading1"/>
      </w:pPr>
      <w:r>
        <w:t xml:space="preserve">结束语</w:t>
      </w:r>
    </w:p>
    <w:p>
      <w:pPr>
        <w:pStyle w:val="FirstParagraph"/>
      </w:pPr>
      <w:r>
        <w:t xml:space="preserve">本文针对微服务分布式日志采集中高开销与低价值的矛盾，提出了一种网关驱动的分布式定向日志采集框架。主要架构贡献包括四个方面：</w:t>
      </w:r>
    </w:p>
    <w:p>
      <w:pPr>
        <w:pStyle w:val="BodyText"/>
      </w:pPr>
      <w:r>
        <w:t xml:space="preserve">（1）</w:t>
      </w:r>
      <w:r>
        <w:rPr>
          <w:bCs/>
          <w:b/>
        </w:rPr>
        <w:t xml:space="preserve">三层协同定向采集架构</w:t>
      </w:r>
      <w:r>
        <w:t xml:space="preserve">。构建了网关预筛选、节点定向采集与中心二次过滤的三层架构，以 Sidecar 模式部署，将日志减量逻辑从后端治理前置到采集前端，形成</w:t>
      </w:r>
      <w:r>
        <w:t xml:space="preserve">“</w:t>
      </w:r>
      <w:r>
        <w:t xml:space="preserve">流量感知—定向采集—语义一致入库</w:t>
      </w:r>
      <w:r>
        <w:t xml:space="preserve">”</w:t>
      </w:r>
      <w:r>
        <w:t xml:space="preserve">的完整闭环。</w:t>
      </w:r>
    </w:p>
    <w:p>
      <w:pPr>
        <w:pStyle w:val="BodyText"/>
      </w:pPr>
      <w:r>
        <w:t xml:space="preserve">（2）</w:t>
      </w:r>
      <w:r>
        <w:rPr>
          <w:bCs/>
          <w:b/>
        </w:rPr>
        <w:t xml:space="preserve">网关流量驱动的动态关注清单生成</w:t>
      </w:r>
      <w:r>
        <w:t xml:space="preserve">。以网关流量日志作为策略源，经过高价值过滤、URL 泛化和 Top-</w:t>
      </w:r>
      <m:oMath>
        <m:r>
          <m:t>K</m:t>
        </m:r>
      </m:oMath>
      <w:r>
        <w:t xml:space="preserve"> </w:t>
      </w:r>
      <w:r>
        <w:t xml:space="preserve">筛选（算法 </w:t>
      </w:r>
      <w:hyperlink w:anchor="alg:attention">
        <w:r>
          <w:rPr>
            <w:rStyle w:val="Hyperlink"/>
          </w:rPr>
          <w:t xml:space="preserve">[alg:attention]</w:t>
        </w:r>
      </w:hyperlink>
      <w:r>
        <w:t xml:space="preserve">），动态识别异常与慢请求的 URL 模式，生成关注清单并经 Redis 下发到各节点。定向采集决策由实际流量驱动，无需静态配置。</w:t>
      </w:r>
    </w:p>
    <w:p>
      <w:pPr>
        <w:pStyle w:val="BodyText"/>
      </w:pPr>
      <w:r>
        <w:t xml:space="preserve">（3）</w:t>
      </w:r>
      <w:r>
        <w:rPr>
          <w:bCs/>
          <w:b/>
        </w:rPr>
        <w:t xml:space="preserve">定向策略三次转换算法</w:t>
      </w:r>
      <w:r>
        <w:t xml:space="preserve">。通过统一的 URL 泛化函数和清单版本控制，把网关预筛选、节点定向采集和中心二次过滤贯通起来，让策略在不同层级之间保持语义一致（图 </w:t>
      </w:r>
      <w:hyperlink w:anchor="fig:transform">
        <w:r>
          <w:rPr>
            <w:rStyle w:val="Hyperlink"/>
          </w:rPr>
          <w:t xml:space="preserve">2</w:t>
        </w:r>
      </w:hyperlink>
      <w:r>
        <w:t xml:space="preserve">），避免跨层策略漂移。</w:t>
      </w:r>
    </w:p>
    <w:p>
      <w:pPr>
        <w:pStyle w:val="BodyText"/>
      </w:pPr>
      <w:r>
        <w:t xml:space="preserve">（4）</w:t>
      </w:r>
      <w:r>
        <w:rPr>
          <w:bCs/>
          <w:b/>
        </w:rPr>
        <w:t xml:space="preserve">资源受限下的可靠传输机制</w:t>
      </w:r>
      <w:r>
        <w:t xml:space="preserve">。在 Sidecar 中引入固定缓存块和压力感知指数退避，辅以 BoltDB 本地兜底，确保内存有界传输，适应边缘资源受限的环境。</w:t>
      </w:r>
    </w:p>
    <w:p>
      <w:pPr>
        <w:pStyle w:val="BodyText"/>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w:t>
      </w:r>
      <m:oMath>
        <m:r>
          <m:rPr>
            <m:sty m:val="p"/>
          </m:rPr>
          <m:t>±</m:t>
        </m:r>
      </m:oMath>
      <w:r>
        <w:t xml:space="preserve">1 条，详见表 </w:t>
      </w:r>
      <w:hyperlink w:anchor="tab:compare">
        <w:r>
          <w:rPr>
            <w:rStyle w:val="Hyperlink"/>
          </w:rPr>
          <w:t xml:space="preserve">2</w:t>
        </w:r>
      </w:hyperlink>
      <w:r>
        <w:t xml:space="preserve">）。这个降幅是策略过滤与源发射频率差异的联合效果，其中策略过滤在同频率模拟下的独立降幅为 67.8%（§6.3）。</w:t>
      </w:r>
    </w:p>
    <w:p>
      <w:pPr>
        <w:pStyle w:val="BodyText"/>
      </w:pPr>
      <w:r>
        <w:t xml:space="preserve">清空统计后的规模复核显示：16 节点网关流量日志增量为 6703.33</w:t>
      </w:r>
      <m:oMath>
        <m:r>
          <m:rPr>
            <m:sty m:val="p"/>
          </m:rPr>
          <m:t>±</m:t>
        </m:r>
      </m:oMath>
      <w:r>
        <w:t xml:space="preserve">91.78 条/轮，定向模式 Loki 入库为 48.0</w:t>
      </w:r>
      <m:oMath>
        <m:r>
          <m:rPr>
            <m:sty m:val="p"/>
          </m:rPr>
          <m:t>±</m:t>
        </m:r>
      </m:oMath>
      <w:r>
        <w:t xml:space="preserve">5.2 条/轮；32 节点网关流量日志增量为 6692.67</w:t>
      </w:r>
      <m:oMath>
        <m:r>
          <m:rPr>
            <m:sty m:val="p"/>
          </m:rPr>
          <m:t>±</m:t>
        </m:r>
      </m:oMath>
      <w:r>
        <w:t xml:space="preserve">121.88 条/轮，定向模式 Loki 入库为 99.0</w:t>
      </w:r>
      <m:oMath>
        <m:r>
          <m:rPr>
            <m:sty m:val="p"/>
          </m:rPr>
          <m:t>±</m:t>
        </m:r>
      </m:oMath>
      <w:r>
        <w:t xml:space="preserve">0.0 条/轮。32 节点时关注清单达到 Top-</w:t>
      </w:r>
      <m:oMath>
        <m:r>
          <m:t>K</m:t>
        </m:r>
        <m:r>
          <m:rPr>
            <m:sty m:val="p"/>
          </m:rPr>
          <m:t>=</m:t>
        </m:r>
        <m:r>
          <m:t>50</m:t>
        </m:r>
      </m:oMath>
      <w:r>
        <w:t xml:space="preserve"> </w:t>
      </w:r>
      <w:r>
        <w:t xml:space="preserve">上限。Promtail 静态过滤复现中，本文定向策略入库 233.3 条，低于静态规则的 276.3 条。组件消融中，关闭关注清单使入库量增加 211.7%，进一步说明动态清单是采集前端减量的核心环节。Agent CPU 绝对值均低于 0.1%。</w:t>
      </w:r>
    </w:p>
    <w:p>
      <w:pPr>
        <w:pStyle w:val="BodyText"/>
      </w:pPr>
      <w:r>
        <w:t xml:space="preserve">从 AIOps 生态的角度看，本文的工作补充了标准化框架中数据采集前端的能力。从日志故障诊断链路来看，本文降低了后端解析、异常检测和根因定位的输入规模。</w:t>
      </w:r>
    </w:p>
    <w:p>
      <w:pPr>
        <w:pStyle w:val="BodyText"/>
      </w:pPr>
      <w:r>
        <w:t xml:space="preserve">未来工作按优先级排列：近期将在 Kubernetes 环境开展 64 节点云原生实测，并补充 Top-</w:t>
      </w:r>
      <m:oMath>
        <m:r>
          <m:t>K</m:t>
        </m:r>
      </m:oMath>
      <w:r>
        <w:t xml:space="preserve"> </w:t>
      </w:r>
      <w:r>
        <w:t xml:space="preserve">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p>
      <w:pPr>
        <w:pStyle w:val="BodyText"/>
      </w:pPr>
      <w:r>
        <w:t xml:space="preserve"> </w:t>
      </w:r>
      <w:r>
        <w:t xml:space="preserve">=2em</w:t>
      </w:r>
      <w:r>
        <w:t xml:space="preserve"> </w:t>
      </w:r>
      <w:r>
        <w:t xml:space="preserve">=-2em</w:t>
      </w:r>
      <w:r>
        <w:t xml:space="preserve"> </w:t>
      </w:r>
    </w:p>
    <w:p>
      <w:pPr>
        <w:pStyle w:val="BodyText"/>
      </w:pPr>
      <w:r>
        <w:t xml:space="preserve">石洪雷</w:t>
      </w:r>
      <w:r>
        <w:t xml:space="preserve">，博士，CCF专业会员，主要研究领域为微服务架构开发、智能体系统构建、智能运维与智能机器人应用开发。E-mail:</w:t>
      </w:r>
      <w:r>
        <w:t xml:space="preserve"> </w:t>
      </w:r>
      <w:hyperlink r:id="rId81">
        <w:r>
          <w:rPr>
            <w:rStyle w:val="Hyperlink"/>
          </w:rPr>
          <w:t xml:space="preserve">shihonglei0042@link.tyut.edu.cn</w:t>
        </w:r>
      </w:hyperlink>
    </w:p>
    <w:p>
      <w:pPr>
        <w:pStyle w:val="BodyText"/>
      </w:pPr>
      <w:r>
        <w:t xml:space="preserve">赵涓涓</w:t>
      </w:r>
      <w:r>
        <w:t xml:space="preserve">，博士，教授，博士生导师，CCF杰出会员，主要研究领域为智能信息处理、模式识别、情感计算、图像处理。E-mail:</w:t>
      </w:r>
      <w:r>
        <w:t xml:space="preserve"> </w:t>
      </w:r>
      <w:hyperlink r:id="rId82">
        <w:r>
          <w:rPr>
            <w:rStyle w:val="Hyperlink"/>
          </w:rPr>
          <w:t xml:space="preserve">zh_juanjuan@126.com</w:t>
        </w:r>
      </w:hyperlink>
    </w:p>
    <w:bookmarkStart w:id="185" w:name="refs"/>
    <w:bookmarkStart w:id="84" w:name="ref-ali2025logml"/>
    <w:p>
      <w:pPr>
        <w:pStyle w:val="Bibliography"/>
      </w:pPr>
      <w:r>
        <w:t xml:space="preserve">Ali, Shan, Chaima Boufaied, Domenico Bianculli, Paula Branco, and Lionel Briand. 2025.</w:t>
      </w:r>
      <w:r>
        <w:t xml:space="preserve"> </w:t>
      </w:r>
      <w:r>
        <w:t xml:space="preserve">“A Comprehensive Study of Machine Learning Techniques for Log-Based Anomaly Detection.”</w:t>
      </w:r>
      <w:r>
        <w:t xml:space="preserve"> </w:t>
      </w:r>
      <w:r>
        <w:rPr>
          <w:iCs/>
          <w:i/>
        </w:rPr>
        <w:t xml:space="preserve">Empirical Software Engineering</w:t>
      </w:r>
      <w:r>
        <w:t xml:space="preserve">.</w:t>
      </w:r>
      <w:r>
        <w:t xml:space="preserve"> </w:t>
      </w:r>
      <w:hyperlink r:id="rId83">
        <w:r>
          <w:rPr>
            <w:rStyle w:val="Hyperlink"/>
          </w:rPr>
          <w:t xml:space="preserve">https://doi.org/10.1007/s10664-025-10669-3</w:t>
        </w:r>
      </w:hyperlink>
      <w:r>
        <w:t xml:space="preserve">.</w:t>
      </w:r>
    </w:p>
    <w:bookmarkEnd w:id="84"/>
    <w:bookmarkStart w:id="86" w:name="ref-bao2023aiops"/>
    <w:p>
      <w:pPr>
        <w:pStyle w:val="Bibliography"/>
      </w:pPr>
      <w:r>
        <w:t xml:space="preserve">Bao, Hangyu, Kanglin Yin, Li Cao, Shining Li, et al. 2023.</w:t>
      </w:r>
      <w:r>
        <w:t xml:space="preserve"> </w:t>
      </w:r>
      <w:r>
        <w:t xml:space="preserve">“Practice of AIOps: Status Quo and Standardization.”</w:t>
      </w:r>
      <w:r>
        <w:t xml:space="preserve"> </w:t>
      </w:r>
      <w:r>
        <w:rPr>
          <w:iCs/>
          <w:i/>
        </w:rPr>
        <w:t xml:space="preserve">Journal of Software</w:t>
      </w:r>
      <w:r>
        <w:t xml:space="preserve"> </w:t>
      </w:r>
      <w:r>
        <w:t xml:space="preserve">34 (9): 4069–95.</w:t>
      </w:r>
      <w:r>
        <w:t xml:space="preserve"> </w:t>
      </w:r>
      <w:hyperlink r:id="rId85">
        <w:r>
          <w:rPr>
            <w:rStyle w:val="Hyperlink"/>
          </w:rPr>
          <w:t xml:space="preserve">https://doi.org/10.13328/j.cnki.jos.006876</w:t>
        </w:r>
      </w:hyperlink>
      <w:r>
        <w:t xml:space="preserve">.</w:t>
      </w:r>
    </w:p>
    <w:bookmarkEnd w:id="86"/>
    <w:bookmarkStart w:id="88" w:name="ref-burns2016borg"/>
    <w:p>
      <w:pPr>
        <w:pStyle w:val="Bibliography"/>
      </w:pPr>
      <w:r>
        <w:t xml:space="preserve">Burns, Brendan, Brian Grant, David Oppenheimer, Eric Brewer, and John Wilkes. 2016.</w:t>
      </w:r>
      <w:r>
        <w:t xml:space="preserve"> </w:t>
      </w:r>
      <w:r>
        <w:t xml:space="preserve">“Borg, Omega, and Kubernetes.”</w:t>
      </w:r>
      <w:r>
        <w:t xml:space="preserve"> </w:t>
      </w:r>
      <w:r>
        <w:rPr>
          <w:iCs/>
          <w:i/>
        </w:rPr>
        <w:t xml:space="preserve">Communications of the ACM</w:t>
      </w:r>
      <w:r>
        <w:t xml:space="preserve"> </w:t>
      </w:r>
      <w:r>
        <w:t xml:space="preserve">59 (5): 50–57.</w:t>
      </w:r>
      <w:r>
        <w:t xml:space="preserve"> </w:t>
      </w:r>
      <w:hyperlink r:id="rId87">
        <w:r>
          <w:rPr>
            <w:rStyle w:val="Hyperlink"/>
          </w:rPr>
          <w:t xml:space="preserve">https://doi.org/10.1145/2898442.2898444</w:t>
        </w:r>
      </w:hyperlink>
      <w:r>
        <w:t xml:space="preserve">.</w:t>
      </w:r>
    </w:p>
    <w:bookmarkEnd w:id="88"/>
    <w:bookmarkStart w:id="90" w:name="ref-burns2016patterns"/>
    <w:p>
      <w:pPr>
        <w:pStyle w:val="Bibliography"/>
      </w:pPr>
      <w:r>
        <w:t xml:space="preserve">Burns, Brendan, David Oppenheimer, and Eric Brewer. 2016.</w:t>
      </w:r>
      <w:r>
        <w:t xml:space="preserve"> </w:t>
      </w:r>
      <w:r>
        <w:t xml:space="preserve">“Design Patterns for Container-Based Distributed Systems.”</w:t>
      </w:r>
      <w:r>
        <w:t xml:space="preserve"> </w:t>
      </w:r>
      <w:r>
        <w:t xml:space="preserve">In</w:t>
      </w:r>
      <w:r>
        <w:t xml:space="preserve"> </w:t>
      </w:r>
      <w:r>
        <w:rPr>
          <w:iCs/>
          <w:i/>
        </w:rPr>
        <w:t xml:space="preserve">Proceedings of the 7th Workshop on Hot Topics in Cloud Computing (HotCloud)</w:t>
      </w:r>
      <w:r>
        <w:t xml:space="preserve">. ACM.</w:t>
      </w:r>
      <w:r>
        <w:t xml:space="preserve"> </w:t>
      </w:r>
      <w:hyperlink r:id="rId89">
        <w:r>
          <w:rPr>
            <w:rStyle w:val="Hyperlink"/>
          </w:rPr>
          <w:t xml:space="preserve">https://doi.org/10.1145/2901318.2901342</w:t>
        </w:r>
      </w:hyperlink>
      <w:r>
        <w:t xml:space="preserve">.</w:t>
      </w:r>
    </w:p>
    <w:bookmarkEnd w:id="90"/>
    <w:bookmarkStart w:id="92" w:name="ref-chen2020loganomaly"/>
    <w:p>
      <w:pPr>
        <w:pStyle w:val="Bibliography"/>
      </w:pPr>
      <w:r>
        <w:t xml:space="preserve">Chen, Yanning, Guangyan Zhang, and Kang Chen. 2020.</w:t>
      </w:r>
      <w:r>
        <w:t xml:space="preserve"> </w:t>
      </w:r>
      <w:r>
        <w:t xml:space="preserve">“A Universal Anomaly Detection Mechanism for Multi-Syntax Logs in Cloud Data Centers.”</w:t>
      </w:r>
      <w:r>
        <w:t xml:space="preserve"> </w:t>
      </w:r>
      <w:r>
        <w:rPr>
          <w:iCs/>
          <w:i/>
        </w:rPr>
        <w:t xml:space="preserve">Journal of Computer Research and Development</w:t>
      </w:r>
      <w:r>
        <w:t xml:space="preserve"> </w:t>
      </w:r>
      <w:r>
        <w:t xml:space="preserve">57 (9): 1844–56.</w:t>
      </w:r>
      <w:r>
        <w:t xml:space="preserve"> </w:t>
      </w:r>
      <w:hyperlink r:id="rId91">
        <w:r>
          <w:rPr>
            <w:rStyle w:val="Hyperlink"/>
          </w:rPr>
          <w:t xml:space="preserve">https://doi.org/10.7544/issn1000-1239.2020.20190875</w:t>
        </w:r>
      </w:hyperlink>
      <w:r>
        <w:t xml:space="preserve">.</w:t>
      </w:r>
    </w:p>
    <w:bookmarkEnd w:id="92"/>
    <w:bookmarkStart w:id="94" w:name="ref-otel_tail"/>
    <w:p>
      <w:pPr>
        <w:pStyle w:val="Bibliography"/>
      </w:pPr>
      <w:r>
        <w:t xml:space="preserve">Chen, Zhuangbin, Zhihan Jiang, Yuxin Su, Michael R. Lyu, and Zibin Zheng. 2024.</w:t>
      </w:r>
      <w:r>
        <w:t xml:space="preserve"> </w:t>
      </w:r>
      <w:r>
        <w:t xml:space="preserve">“TraceMesh: Scalable and Streaming Sampling for Distributed Traces.”</w:t>
      </w:r>
      <w:r>
        <w:t xml:space="preserve"> </w:t>
      </w:r>
      <w:r>
        <w:rPr>
          <w:iCs/>
          <w:i/>
        </w:rPr>
        <w:t xml:space="preserve">arXiv Preprint arXiv:2406.06975</w:t>
      </w:r>
      <w:r>
        <w:t xml:space="preserve">.</w:t>
      </w:r>
      <w:r>
        <w:t xml:space="preserve"> </w:t>
      </w:r>
      <w:hyperlink r:id="rId93">
        <w:r>
          <w:rPr>
            <w:rStyle w:val="Hyperlink"/>
          </w:rPr>
          <w:t xml:space="preserve">https://doi.org/10.48550/arXiv.2406.06975</w:t>
        </w:r>
      </w:hyperlink>
      <w:r>
        <w:t xml:space="preserve">.</w:t>
      </w:r>
    </w:p>
    <w:bookmarkEnd w:id="94"/>
    <w:bookmarkStart w:id="96" w:name="ref-cheng2023aiops"/>
    <w:p>
      <w:pPr>
        <w:pStyle w:val="Bibliography"/>
      </w:pPr>
      <w:r>
        <w:t xml:space="preserve">Cheng, Qian, Doyen Sahoo, Amrita Saha, Wenzhuo Yang, Chenghao Liu, and Steven C. H. Hoi. 2023.</w:t>
      </w:r>
      <w:r>
        <w:t xml:space="preserve"> </w:t>
      </w:r>
      <w:r>
        <w:t xml:space="preserve">“AI for IT Operations (AIOps) on Cloud Platforms: Reviews, Opportunities and Challenges.”</w:t>
      </w:r>
      <w:r>
        <w:t xml:space="preserve"> </w:t>
      </w:r>
      <w:r>
        <w:rPr>
          <w:iCs/>
          <w:i/>
        </w:rPr>
        <w:t xml:space="preserve">arXiv Preprint arXiv:2304.04661</w:t>
      </w:r>
      <w:r>
        <w:t xml:space="preserve">.</w:t>
      </w:r>
      <w:r>
        <w:t xml:space="preserve"> </w:t>
      </w:r>
      <w:hyperlink r:id="rId95">
        <w:r>
          <w:rPr>
            <w:rStyle w:val="Hyperlink"/>
          </w:rPr>
          <w:t xml:space="preserve">https://doi.org/10.48550/arXiv.2304.04661</w:t>
        </w:r>
      </w:hyperlink>
      <w:r>
        <w:t xml:space="preserve">.</w:t>
      </w:r>
    </w:p>
    <w:bookmarkEnd w:id="96"/>
    <w:bookmarkStart w:id="98" w:name="ref-dai2020logram"/>
    <w:p>
      <w:pPr>
        <w:pStyle w:val="Bibliography"/>
      </w:pPr>
      <w:r>
        <w:t xml:space="preserve">Dai, Hetong, Heng Li, Weiyi Shang, Tse-Hsun Chen, and Che-Shao Chen. 2020.</w:t>
      </w:r>
      <w:r>
        <w:t xml:space="preserve"> </w:t>
      </w:r>
      <w:r>
        <w:t xml:space="preserve">“Logram: Efficient Log Parsing Using n-Gram Dictionaries.”</w:t>
      </w:r>
      <w:r>
        <w:t xml:space="preserve"> </w:t>
      </w:r>
      <w:r>
        <w:rPr>
          <w:iCs/>
          <w:i/>
        </w:rPr>
        <w:t xml:space="preserve">arXiv Preprint arXiv:2001.03038</w:t>
      </w:r>
      <w:r>
        <w:t xml:space="preserve">.</w:t>
      </w:r>
      <w:r>
        <w:t xml:space="preserve"> </w:t>
      </w:r>
      <w:hyperlink r:id="rId97">
        <w:r>
          <w:rPr>
            <w:rStyle w:val="Hyperlink"/>
          </w:rPr>
          <w:t xml:space="preserve">https://doi.org/10.48550/arXiv.2001.03038</w:t>
        </w:r>
      </w:hyperlink>
      <w:r>
        <w:t xml:space="preserve">.</w:t>
      </w:r>
    </w:p>
    <w:bookmarkEnd w:id="98"/>
    <w:bookmarkStart w:id="100" w:name="ref-ding2020decomposition"/>
    <w:p>
      <w:pPr>
        <w:pStyle w:val="Bibliography"/>
      </w:pPr>
      <w:r>
        <w:t xml:space="preserve">Ding, Dan, Xin Peng, Xiaofeng Guo, Jian Zhang, and Yijian Wu. 2020.</w:t>
      </w:r>
      <w:r>
        <w:t xml:space="preserve"> </w:t>
      </w:r>
      <w:r>
        <w:t xml:space="preserve">“Scenario-Driven and Bottom-up Microservice Decomposition Method for Monolithic Systems.”</w:t>
      </w:r>
      <w:r>
        <w:t xml:space="preserve"> </w:t>
      </w:r>
      <w:r>
        <w:rPr>
          <w:iCs/>
          <w:i/>
        </w:rPr>
        <w:t xml:space="preserve">Journal of Software</w:t>
      </w:r>
      <w:r>
        <w:t xml:space="preserve"> </w:t>
      </w:r>
      <w:r>
        <w:t xml:space="preserve">31 (11): 3461–80.</w:t>
      </w:r>
      <w:r>
        <w:t xml:space="preserve"> </w:t>
      </w:r>
      <w:hyperlink r:id="rId99">
        <w:r>
          <w:rPr>
            <w:rStyle w:val="Hyperlink"/>
          </w:rPr>
          <w:t xml:space="preserve">https://doi.org/10.13328/j.cnki.jos.006031</w:t>
        </w:r>
      </w:hyperlink>
      <w:r>
        <w:t xml:space="preserve">.</w:t>
      </w:r>
    </w:p>
    <w:bookmarkEnd w:id="100"/>
    <w:bookmarkStart w:id="102" w:name="ref-fang2024microperf"/>
    <w:p>
      <w:pPr>
        <w:pStyle w:val="Bibliography"/>
      </w:pPr>
      <w:r>
        <w:t xml:space="preserve">Fang, Haotian, Chunhua Li, Qing Wang, and Ke Zhou. 2024.</w:t>
      </w:r>
      <w:r>
        <w:t xml:space="preserve"> </w:t>
      </w:r>
      <w:r>
        <w:t xml:space="preserve">“A Deep Learning-Based Microservice Performance Anomaly Detection Method.”</w:t>
      </w:r>
      <w:r>
        <w:t xml:space="preserve"> </w:t>
      </w:r>
      <w:r>
        <w:rPr>
          <w:iCs/>
          <w:i/>
        </w:rPr>
        <w:t xml:space="preserve">Journal of Computer Research and Development</w:t>
      </w:r>
      <w:r>
        <w:t xml:space="preserve"> </w:t>
      </w:r>
      <w:r>
        <w:t xml:space="preserve">61 (3): 600–613.</w:t>
      </w:r>
      <w:r>
        <w:t xml:space="preserve"> </w:t>
      </w:r>
      <w:hyperlink r:id="rId101">
        <w:r>
          <w:rPr>
            <w:rStyle w:val="Hyperlink"/>
          </w:rPr>
          <w:t xml:space="preserve">https://doi.org/10.7544/issn1000-1239.202330543</w:t>
        </w:r>
      </w:hyperlink>
      <w:r>
        <w:t xml:space="preserve">.</w:t>
      </w:r>
    </w:p>
    <w:bookmarkEnd w:id="102"/>
    <w:bookmarkStart w:id="104" w:name="ref-feng2020microservice"/>
    <w:p>
      <w:pPr>
        <w:pStyle w:val="Bibliography"/>
      </w:pPr>
      <w:r>
        <w:t xml:space="preserve">Feng, Zhiyong, Yanwei Xu, Xiao Xue, and Shizhan Chen. 2020.</w:t>
      </w:r>
      <w:r>
        <w:t xml:space="preserve"> </w:t>
      </w:r>
      <w:r>
        <w:t xml:space="preserve">“Current Status and Prospects of Microservice Technology Development.”</w:t>
      </w:r>
      <w:r>
        <w:t xml:space="preserve"> </w:t>
      </w:r>
      <w:r>
        <w:rPr>
          <w:iCs/>
          <w:i/>
        </w:rPr>
        <w:t xml:space="preserve">Journal of Computer Research and Development</w:t>
      </w:r>
      <w:r>
        <w:t xml:space="preserve"> </w:t>
      </w:r>
      <w:r>
        <w:t xml:space="preserve">57 (5): 1103–22.</w:t>
      </w:r>
      <w:r>
        <w:t xml:space="preserve"> </w:t>
      </w:r>
      <w:hyperlink r:id="rId103">
        <w:r>
          <w:rPr>
            <w:rStyle w:val="Hyperlink"/>
          </w:rPr>
          <w:t xml:space="preserve">https://doi.org/10.7544/issn1000-1239.2020.20190460</w:t>
        </w:r>
      </w:hyperlink>
      <w:r>
        <w:t xml:space="preserve">.</w:t>
      </w:r>
    </w:p>
    <w:bookmarkEnd w:id="104"/>
    <w:bookmarkStart w:id="106" w:name="ref-guo2024logformer"/>
    <w:p>
      <w:pPr>
        <w:pStyle w:val="Bibliography"/>
      </w:pPr>
      <w:r>
        <w:t xml:space="preserve">Guo, Hongcheng, Jian Yang, Jiaheng Liu, Jiaqi Bai, Boyang Wang, et al. 2024.</w:t>
      </w:r>
      <w:r>
        <w:t xml:space="preserve"> </w:t>
      </w:r>
      <w:r>
        <w:t xml:space="preserve">“LogFormer: A Pre-Train and Tuning Pipeline for Log Anomaly Detection.”</w:t>
      </w:r>
      <w:r>
        <w:t xml:space="preserve"> </w:t>
      </w:r>
      <w:r>
        <w:t xml:space="preserve">In</w:t>
      </w:r>
      <w:r>
        <w:t xml:space="preserve"> </w:t>
      </w:r>
      <w:r>
        <w:rPr>
          <w:iCs/>
          <w:i/>
        </w:rPr>
        <w:t xml:space="preserve">Proceedings of the AAAI Conference on Artificial Intelligence</w:t>
      </w:r>
      <w:r>
        <w:t xml:space="preserve">, 38:135–43.</w:t>
      </w:r>
      <w:r>
        <w:t xml:space="preserve"> </w:t>
      </w:r>
      <w:hyperlink r:id="rId105">
        <w:r>
          <w:rPr>
            <w:rStyle w:val="Hyperlink"/>
          </w:rPr>
          <w:t xml:space="preserve">https://doi.org/10.1609/aaai.v38i1.27764</w:t>
        </w:r>
      </w:hyperlink>
      <w:r>
        <w:t xml:space="preserve">.</w:t>
      </w:r>
    </w:p>
    <w:bookmarkEnd w:id="106"/>
    <w:bookmarkStart w:id="108" w:name="ref-hadadi2024logfailure"/>
    <w:p>
      <w:pPr>
        <w:pStyle w:val="Bibliography"/>
      </w:pPr>
      <w:r>
        <w:t xml:space="preserve">Hadadi, Fatemeh, Joshua H. Dawes, Donghwan Shin, Domenico Bianculli, and Lionel Briand. 2024.</w:t>
      </w:r>
      <w:r>
        <w:t xml:space="preserve"> </w:t>
      </w:r>
      <w:r>
        <w:t xml:space="preserve">“Systematic Evaluation of Deep Learning Models for Log-Based Failure Prediction.”</w:t>
      </w:r>
      <w:r>
        <w:t xml:space="preserve"> </w:t>
      </w:r>
      <w:r>
        <w:rPr>
          <w:iCs/>
          <w:i/>
        </w:rPr>
        <w:t xml:space="preserve">Empirical Software Engineering</w:t>
      </w:r>
      <w:r>
        <w:t xml:space="preserve">.</w:t>
      </w:r>
      <w:r>
        <w:t xml:space="preserve"> </w:t>
      </w:r>
      <w:hyperlink r:id="rId107">
        <w:r>
          <w:rPr>
            <w:rStyle w:val="Hyperlink"/>
          </w:rPr>
          <w:t xml:space="preserve">https://doi.org/10.1007/s10664-024-10501-4</w:t>
        </w:r>
      </w:hyperlink>
      <w:r>
        <w:t xml:space="preserve">.</w:t>
      </w:r>
    </w:p>
    <w:bookmarkEnd w:id="108"/>
    <w:bookmarkStart w:id="110" w:name="ref-he2020logsurvey"/>
    <w:p>
      <w:pPr>
        <w:pStyle w:val="Bibliography"/>
      </w:pPr>
      <w:r>
        <w:t xml:space="preserve">He, Shilin, Pinjia He, Zhuangbin Chen, Tianyi Yang, Yuxin Su, and Michael R. Lyu. 2020.</w:t>
      </w:r>
      <w:r>
        <w:t xml:space="preserve"> </w:t>
      </w:r>
      <w:r>
        <w:t xml:space="preserve">“A Survey on Automated Log Analysis for Reliability Engineering.”</w:t>
      </w:r>
      <w:r>
        <w:t xml:space="preserve"> </w:t>
      </w:r>
      <w:r>
        <w:rPr>
          <w:iCs/>
          <w:i/>
        </w:rPr>
        <w:t xml:space="preserve">arXiv Preprint arXiv:2009.07237</w:t>
      </w:r>
      <w:r>
        <w:t xml:space="preserve">.</w:t>
      </w:r>
      <w:r>
        <w:t xml:space="preserve"> </w:t>
      </w:r>
      <w:hyperlink r:id="rId109">
        <w:r>
          <w:rPr>
            <w:rStyle w:val="Hyperlink"/>
          </w:rPr>
          <w:t xml:space="preserve">https://doi.org/10.48550/arXiv.2009.07237</w:t>
        </w:r>
      </w:hyperlink>
      <w:r>
        <w:t xml:space="preserve">.</w:t>
      </w:r>
    </w:p>
    <w:bookmarkEnd w:id="110"/>
    <w:bookmarkStart w:id="112" w:name="ref-huang2023javatrace"/>
    <w:p>
      <w:pPr>
        <w:pStyle w:val="Bibliography"/>
      </w:pPr>
      <w:r>
        <w:t xml:space="preserve">Huang, Zicheng, Pengfei Chen, Guangba Yu, and Hongyang Chen. 2023.</w:t>
      </w:r>
      <w:r>
        <w:t xml:space="preserve"> </w:t>
      </w:r>
      <w:r>
        <w:t xml:space="preserve">“Transparent Request Tracing and Sampling Method for Java Microservice Systems.”</w:t>
      </w:r>
      <w:r>
        <w:t xml:space="preserve"> </w:t>
      </w:r>
      <w:r>
        <w:rPr>
          <w:iCs/>
          <w:i/>
        </w:rPr>
        <w:t xml:space="preserve">Journal of Software</w:t>
      </w:r>
      <w:r>
        <w:t xml:space="preserve"> </w:t>
      </w:r>
      <w:r>
        <w:t xml:space="preserve">34 (7): 3167–87.</w:t>
      </w:r>
      <w:r>
        <w:t xml:space="preserve"> </w:t>
      </w:r>
      <w:hyperlink r:id="rId111">
        <w:r>
          <w:rPr>
            <w:rStyle w:val="Hyperlink"/>
          </w:rPr>
          <w:t xml:space="preserve">https://doi.org/10.13328/j.cnki.jos.006523</w:t>
        </w:r>
      </w:hyperlink>
      <w:r>
        <w:t xml:space="preserve">.</w:t>
      </w:r>
    </w:p>
    <w:bookmarkEnd w:id="112"/>
    <w:bookmarkStart w:id="114" w:name="ref-jamshidi2018microservices"/>
    <w:p>
      <w:pPr>
        <w:pStyle w:val="Bibliography"/>
      </w:pPr>
      <w:r>
        <w:t xml:space="preserve">Jamshidi, Pooyan, Claus Pahl, Nabor C. Mendonça, James W. Lewis, and Stefan Tilkov. 2018.</w:t>
      </w:r>
      <w:r>
        <w:t xml:space="preserve"> </w:t>
      </w:r>
      <w:r>
        <w:t xml:space="preserve">“Microservices: The Journey so Far and Challenges Ahead.”</w:t>
      </w:r>
      <w:r>
        <w:t xml:space="preserve"> </w:t>
      </w:r>
      <w:r>
        <w:rPr>
          <w:iCs/>
          <w:i/>
        </w:rPr>
        <w:t xml:space="preserve">IEEE Software</w:t>
      </w:r>
      <w:r>
        <w:t xml:space="preserve"> </w:t>
      </w:r>
      <w:r>
        <w:t xml:space="preserve">35 (3): 6–9.</w:t>
      </w:r>
      <w:r>
        <w:t xml:space="preserve"> </w:t>
      </w:r>
      <w:hyperlink r:id="rId113">
        <w:r>
          <w:rPr>
            <w:rStyle w:val="Hyperlink"/>
          </w:rPr>
          <w:t xml:space="preserve">https://doi.org/10.1109/MS.2018.2141039</w:t>
        </w:r>
      </w:hyperlink>
      <w:r>
        <w:t xml:space="preserve">.</w:t>
      </w:r>
    </w:p>
    <w:bookmarkEnd w:id="114"/>
    <w:bookmarkStart w:id="116" w:name="ref-jiatong2020logdiag"/>
    <w:p>
      <w:pPr>
        <w:pStyle w:val="Bibliography"/>
      </w:pPr>
      <w:r>
        <w:t xml:space="preserve">Jia, Tong, Ying Li, and Zhonghai Wu. 2020.</w:t>
      </w:r>
      <w:r>
        <w:t xml:space="preserve"> </w:t>
      </w:r>
      <w:r>
        <w:t xml:space="preserve">“A Survey on Fault Diagnosis of Distributed Software Systems Based on Log Data.”</w:t>
      </w:r>
      <w:r>
        <w:t xml:space="preserve"> </w:t>
      </w:r>
      <w:r>
        <w:rPr>
          <w:iCs/>
          <w:i/>
        </w:rPr>
        <w:t xml:space="preserve">Journal of Software</w:t>
      </w:r>
      <w:r>
        <w:t xml:space="preserve"> </w:t>
      </w:r>
      <w:r>
        <w:t xml:space="preserve">31 (7): 1997–2018.</w:t>
      </w:r>
      <w:r>
        <w:t xml:space="preserve"> </w:t>
      </w:r>
      <w:hyperlink r:id="rId115">
        <w:r>
          <w:rPr>
            <w:rStyle w:val="Hyperlink"/>
          </w:rPr>
          <w:t xml:space="preserve">https://doi.org/10.13328/j.cnki.jos.006045</w:t>
        </w:r>
      </w:hyperlink>
      <w:r>
        <w:t xml:space="preserve">.</w:t>
      </w:r>
    </w:p>
    <w:bookmarkEnd w:id="116"/>
    <w:bookmarkStart w:id="118" w:name="ref-jia2021loggingdecision"/>
    <w:p>
      <w:pPr>
        <w:pStyle w:val="Bibliography"/>
      </w:pPr>
      <w:r>
        <w:t xml:space="preserve">Jia, Tong, Ying Li, Qixun Zhang, and Zhonghai Wu. 2021.</w:t>
      </w:r>
      <w:r>
        <w:t xml:space="preserve"> </w:t>
      </w:r>
      <w:r>
        <w:t xml:space="preserve">“Logging Position Decision Method Based on Program Hierarchical Tree.”</w:t>
      </w:r>
      <w:r>
        <w:t xml:space="preserve"> </w:t>
      </w:r>
      <w:r>
        <w:rPr>
          <w:iCs/>
          <w:i/>
        </w:rPr>
        <w:t xml:space="preserve">Journal of Software</w:t>
      </w:r>
      <w:r>
        <w:t xml:space="preserve"> </w:t>
      </w:r>
      <w:r>
        <w:t xml:space="preserve">32 (9): 2713–28.</w:t>
      </w:r>
      <w:r>
        <w:t xml:space="preserve"> </w:t>
      </w:r>
      <w:hyperlink r:id="rId117">
        <w:r>
          <w:rPr>
            <w:rStyle w:val="Hyperlink"/>
          </w:rPr>
          <w:t xml:space="preserve">https://doi.org/10.13328/j.cnki.jos.005990</w:t>
        </w:r>
      </w:hyperlink>
      <w:r>
        <w:t xml:space="preserve">.</w:t>
      </w:r>
    </w:p>
    <w:bookmarkEnd w:id="118"/>
    <w:bookmarkStart w:id="120" w:name="ref-jiang2023logparsing"/>
    <w:p>
      <w:pPr>
        <w:pStyle w:val="Bibliography"/>
      </w:pPr>
      <w:r>
        <w:t xml:space="preserve">Jiang, Zhihan, Jinyang Liu, Junjie Huang, Yichen Li, Yintong Huo, et al. 2023.</w:t>
      </w:r>
      <w:r>
        <w:t xml:space="preserve"> </w:t>
      </w:r>
      <w:r>
        <w:t xml:space="preserve">“A Large-Scale Evaluation for Log Parsing Techniques: How Far Are We?”</w:t>
      </w:r>
      <w:r>
        <w:t xml:space="preserve"> </w:t>
      </w:r>
      <w:r>
        <w:rPr>
          <w:iCs/>
          <w:i/>
        </w:rPr>
        <w:t xml:space="preserve">arXiv Preprint arXiv:2308.10828</w:t>
      </w:r>
      <w:r>
        <w:t xml:space="preserve">.</w:t>
      </w:r>
      <w:r>
        <w:t xml:space="preserve"> </w:t>
      </w:r>
      <w:hyperlink r:id="rId119">
        <w:r>
          <w:rPr>
            <w:rStyle w:val="Hyperlink"/>
          </w:rPr>
          <w:t xml:space="preserve">https://doi.org/10.48550/arXiv.2308.10828</w:t>
        </w:r>
      </w:hyperlink>
      <w:r>
        <w:t xml:space="preserve">.</w:t>
      </w:r>
    </w:p>
    <w:bookmarkEnd w:id="120"/>
    <w:bookmarkStart w:id="122" w:name="ref-khan2022logtemplate"/>
    <w:p>
      <w:pPr>
        <w:pStyle w:val="Bibliography"/>
      </w:pPr>
      <w:r>
        <w:t xml:space="preserve">Jiang, Zhihan, Jinyang Liu, Junjie Huang, Yichen Li, and Michael R. Lyu. 2023.</w:t>
      </w:r>
      <w:r>
        <w:t xml:space="preserve"> </w:t>
      </w:r>
      <w:r>
        <w:t xml:space="preserve">“LILAC: Log Parsing Using LLMs with Adaptive Parsing Cache.”</w:t>
      </w:r>
      <w:r>
        <w:t xml:space="preserve"> </w:t>
      </w:r>
      <w:r>
        <w:rPr>
          <w:iCs/>
          <w:i/>
        </w:rPr>
        <w:t xml:space="preserve">arXiv Preprint arXiv:2310.01796</w:t>
      </w:r>
      <w:r>
        <w:t xml:space="preserve">.</w:t>
      </w:r>
      <w:r>
        <w:t xml:space="preserve"> </w:t>
      </w:r>
      <w:hyperlink r:id="rId121">
        <w:r>
          <w:rPr>
            <w:rStyle w:val="Hyperlink"/>
          </w:rPr>
          <w:t xml:space="preserve">https://doi.org/10.48550/arXiv.2310.01796</w:t>
        </w:r>
      </w:hyperlink>
      <w:r>
        <w:t xml:space="preserve">.</w:t>
      </w:r>
    </w:p>
    <w:bookmarkEnd w:id="122"/>
    <w:bookmarkStart w:id="124" w:name="ref-diaz2023mlopsaiops"/>
    <w:p>
      <w:pPr>
        <w:pStyle w:val="Bibliography"/>
      </w:pPr>
      <w:r>
        <w:t xml:space="preserve">Laigner, Rodrigo, Yixin Zhou, Alan Salomao, Pengfei Zhou, Leonardo Carvalho, Alexander Romanovsky, and Claus Pahl. 2024.</w:t>
      </w:r>
      <w:r>
        <w:t xml:space="preserve"> </w:t>
      </w:r>
      <w:r>
        <w:t xml:space="preserve">“An Empirical Study on Challenges of Event Management in Microservice Architectures.”</w:t>
      </w:r>
      <w:r>
        <w:t xml:space="preserve"> </w:t>
      </w:r>
      <w:r>
        <w:rPr>
          <w:iCs/>
          <w:i/>
        </w:rPr>
        <w:t xml:space="preserve">arXiv Preprint arXiv:2408.00440</w:t>
      </w:r>
      <w:r>
        <w:t xml:space="preserve">.</w:t>
      </w:r>
      <w:r>
        <w:t xml:space="preserve"> </w:t>
      </w:r>
      <w:hyperlink r:id="rId123">
        <w:r>
          <w:rPr>
            <w:rStyle w:val="Hyperlink"/>
          </w:rPr>
          <w:t xml:space="preserve">https://doi.org/10.48550/arXiv.2408.00440</w:t>
        </w:r>
      </w:hyperlink>
      <w:r>
        <w:t xml:space="preserve">.</w:t>
      </w:r>
    </w:p>
    <w:bookmarkEnd w:id="124"/>
    <w:bookmarkStart w:id="126" w:name="ref-limingshu2019logmgmt"/>
    <w:p>
      <w:pPr>
        <w:pStyle w:val="Bibliography"/>
      </w:pPr>
      <w:r>
        <w:t xml:space="preserve">Li, Mingshu, Yan Zhang, Tao Wang, and Jun Liu. 2019.</w:t>
      </w:r>
      <w:r>
        <w:t xml:space="preserve"> </w:t>
      </w:r>
      <w:r>
        <w:t xml:space="preserve">“A Survey on Log Management Technologies for Large-Scale Distributed Systems.”</w:t>
      </w:r>
      <w:r>
        <w:t xml:space="preserve"> </w:t>
      </w:r>
      <w:r>
        <w:rPr>
          <w:iCs/>
          <w:i/>
        </w:rPr>
        <w:t xml:space="preserve">Journal of Software</w:t>
      </w:r>
      <w:r>
        <w:t xml:space="preserve"> </w:t>
      </w:r>
      <w:r>
        <w:t xml:space="preserve">30 (7): 1959–79.</w:t>
      </w:r>
      <w:r>
        <w:t xml:space="preserve"> </w:t>
      </w:r>
      <w:hyperlink r:id="rId125">
        <w:r>
          <w:rPr>
            <w:rStyle w:val="Hyperlink"/>
          </w:rPr>
          <w:t xml:space="preserve">https://doi.org/10.13328/j.cnki.jos.005601</w:t>
        </w:r>
      </w:hyperlink>
      <w:r>
        <w:t xml:space="preserve">.</w:t>
      </w:r>
    </w:p>
    <w:bookmarkEnd w:id="126"/>
    <w:bookmarkStart w:id="128" w:name="ref-liao2016logs"/>
    <w:p>
      <w:pPr>
        <w:pStyle w:val="Bibliography"/>
      </w:pPr>
      <w:r>
        <w:t xml:space="preserve">Liao, Xiangke, Shanshan Li, Wei Dong, Zhouyang Jia, Xiaodong Liu, and Shulin Zhou. 2016.</w:t>
      </w:r>
      <w:r>
        <w:t xml:space="preserve"> </w:t>
      </w:r>
      <w:r>
        <w:t xml:space="preserve">“A Survey on Logs in Large-Scale Software Systems.”</w:t>
      </w:r>
      <w:r>
        <w:t xml:space="preserve"> </w:t>
      </w:r>
      <w:r>
        <w:rPr>
          <w:iCs/>
          <w:i/>
        </w:rPr>
        <w:t xml:space="preserve">Journal of Software</w:t>
      </w:r>
      <w:r>
        <w:t xml:space="preserve"> </w:t>
      </w:r>
      <w:r>
        <w:t xml:space="preserve">27 (8): 1934–47.</w:t>
      </w:r>
      <w:r>
        <w:t xml:space="preserve"> </w:t>
      </w:r>
      <w:hyperlink r:id="rId127">
        <w:r>
          <w:rPr>
            <w:rStyle w:val="Hyperlink"/>
          </w:rPr>
          <w:t xml:space="preserve">https://doi.org/10.13328/j.cnki.jos.004936</w:t>
        </w:r>
      </w:hyperlink>
      <w:r>
        <w:t xml:space="preserve">.</w:t>
      </w:r>
    </w:p>
    <w:bookmarkEnd w:id="128"/>
    <w:bookmarkStart w:id="130" w:name="ref-liu2019logzip"/>
    <w:p>
      <w:pPr>
        <w:pStyle w:val="Bibliography"/>
      </w:pPr>
      <w:r>
        <w:t xml:space="preserve">Liu, Jinyang, Jieming Zhu, Shilin He, Pinjia He, Zibin Zheng, and Michael R. Lyu. 2019.</w:t>
      </w:r>
      <w:r>
        <w:t xml:space="preserve"> </w:t>
      </w:r>
      <w:r>
        <w:t xml:space="preserve">“Logzip: Extracting Hidden Structures via Iterative Clustering for Log Compression.”</w:t>
      </w:r>
      <w:r>
        <w:t xml:space="preserve"> </w:t>
      </w:r>
      <w:r>
        <w:t xml:space="preserve">In</w:t>
      </w:r>
      <w:r>
        <w:t xml:space="preserve"> </w:t>
      </w:r>
      <w:r>
        <w:rPr>
          <w:iCs/>
          <w:i/>
        </w:rPr>
        <w:t xml:space="preserve">Proceedings of the 34th IEEE/ACM International Conference on Automated Software Engineering</w:t>
      </w:r>
      <w:r>
        <w:t xml:space="preserve">, 863–75.</w:t>
      </w:r>
      <w:r>
        <w:t xml:space="preserve"> </w:t>
      </w:r>
      <w:hyperlink r:id="rId129">
        <w:r>
          <w:rPr>
            <w:rStyle w:val="Hyperlink"/>
          </w:rPr>
          <w:t xml:space="preserve">https://doi.org/10.1109/ASE.2019.00085</w:t>
        </w:r>
      </w:hyperlink>
      <w:r>
        <w:t xml:space="preserve">.</w:t>
      </w:r>
    </w:p>
    <w:bookmarkEnd w:id="130"/>
    <w:bookmarkStart w:id="132" w:name="ref-liu2017microcontainer"/>
    <w:p>
      <w:pPr>
        <w:pStyle w:val="Bibliography"/>
      </w:pPr>
      <w:r>
        <w:t xml:space="preserve">Liu, Min, and Aoying Zhou. 2017.</w:t>
      </w:r>
      <w:r>
        <w:t xml:space="preserve"> </w:t>
      </w:r>
      <w:r>
        <w:t xml:space="preserve">“Container-Level Elastic Resource Provisioning Method for Microservice Architecture.”</w:t>
      </w:r>
      <w:r>
        <w:t xml:space="preserve"> </w:t>
      </w:r>
      <w:r>
        <w:rPr>
          <w:iCs/>
          <w:i/>
        </w:rPr>
        <w:t xml:space="preserve">Journal of Computer Research and Development</w:t>
      </w:r>
      <w:r>
        <w:t xml:space="preserve"> </w:t>
      </w:r>
      <w:r>
        <w:t xml:space="preserve">54 (5): 957–67.</w:t>
      </w:r>
      <w:r>
        <w:t xml:space="preserve"> </w:t>
      </w:r>
      <w:hyperlink r:id="rId131">
        <w:r>
          <w:rPr>
            <w:rStyle w:val="Hyperlink"/>
          </w:rPr>
          <w:t xml:space="preserve">https://doi.org/10.7544/issn1000-1239.2017.20151043</w:t>
        </w:r>
      </w:hyperlink>
      <w:r>
        <w:t xml:space="preserve">.</w:t>
      </w:r>
    </w:p>
    <w:bookmarkEnd w:id="132"/>
    <w:bookmarkStart w:id="134" w:name="ref-maruf2022telemetry"/>
    <w:p>
      <w:pPr>
        <w:pStyle w:val="Bibliography"/>
      </w:pPr>
      <w:r>
        <w:t xml:space="preserve">Maruf, Abdullah Al, Alexander Bakhtin, Tomas Cerny, and Davide Taibi. 2022.</w:t>
      </w:r>
      <w:r>
        <w:t xml:space="preserve"> </w:t>
      </w:r>
      <w:r>
        <w:t xml:space="preserve">“Using Microservice Telemetry Data for System Dynamic Analysis.”</w:t>
      </w:r>
      <w:r>
        <w:t xml:space="preserve"> </w:t>
      </w:r>
      <w:r>
        <w:rPr>
          <w:iCs/>
          <w:i/>
        </w:rPr>
        <w:t xml:space="preserve">arXiv Preprint arXiv:2207.02776</w:t>
      </w:r>
      <w:r>
        <w:t xml:space="preserve">.</w:t>
      </w:r>
      <w:r>
        <w:t xml:space="preserve"> </w:t>
      </w:r>
      <w:hyperlink r:id="rId133">
        <w:r>
          <w:rPr>
            <w:rStyle w:val="Hyperlink"/>
          </w:rPr>
          <w:t xml:space="preserve">https://doi.org/10.48550/arXiv.2207.02776</w:t>
        </w:r>
      </w:hyperlink>
      <w:r>
        <w:t xml:space="preserve">.</w:t>
      </w:r>
    </w:p>
    <w:bookmarkEnd w:id="134"/>
    <w:bookmarkStart w:id="136" w:name="ref-meiyudong2020logcnn"/>
    <w:p>
      <w:pPr>
        <w:pStyle w:val="Bibliography"/>
      </w:pPr>
      <w:r>
        <w:t xml:space="preserve">Mei, Yudong, Xu Chen, Yuzhong Sun, et al. 2020.</w:t>
      </w:r>
      <w:r>
        <w:t xml:space="preserve"> </w:t>
      </w:r>
      <w:r>
        <w:t xml:space="preserve">“A Software System Anomaly Detection Method Based on Log Information and</w:t>
      </w:r>
      <w:r>
        <w:t xml:space="preserve"> </w:t>
      </w:r>
      <w:r>
        <w:t xml:space="preserve">CNN-text</w:t>
      </w:r>
      <w:r>
        <w:t xml:space="preserve">.”</w:t>
      </w:r>
      <w:r>
        <w:t xml:space="preserve"> </w:t>
      </w:r>
      <w:r>
        <w:rPr>
          <w:iCs/>
          <w:i/>
        </w:rPr>
        <w:t xml:space="preserve">Chinese Journal of Computers</w:t>
      </w:r>
      <w:r>
        <w:t xml:space="preserve"> </w:t>
      </w:r>
      <w:r>
        <w:t xml:space="preserve">43 (2): 524–44.</w:t>
      </w:r>
      <w:r>
        <w:t xml:space="preserve"> </w:t>
      </w:r>
      <w:hyperlink r:id="rId135">
        <w:r>
          <w:rPr>
            <w:rStyle w:val="Hyperlink"/>
          </w:rPr>
          <w:t xml:space="preserve">https://doi.org/10.11897/SP.J.1016.2020.00366</w:t>
        </w:r>
      </w:hyperlink>
      <w:r>
        <w:t xml:space="preserve">.</w:t>
      </w:r>
    </w:p>
    <w:bookmarkEnd w:id="136"/>
    <w:bookmarkStart w:id="138" w:name="ref-moreschini2023microai"/>
    <w:p>
      <w:pPr>
        <w:pStyle w:val="Bibliography"/>
      </w:pPr>
      <w:r>
        <w:t xml:space="preserve">Moreschini, Sergio, Davide Taibi, Valentina Lenarduzzi, and Claus Pahl. 2023.</w:t>
      </w:r>
      <w:r>
        <w:t xml:space="preserve"> </w:t>
      </w:r>
      <w:r>
        <w:t xml:space="preserve">“AI Techniques in the Microservices Life-Cycle: A Systematic Mapping Study.”</w:t>
      </w:r>
      <w:r>
        <w:t xml:space="preserve"> </w:t>
      </w:r>
      <w:r>
        <w:rPr>
          <w:iCs/>
          <w:i/>
        </w:rPr>
        <w:t xml:space="preserve">arXiv Preprint arXiv:2305.16092</w:t>
      </w:r>
      <w:r>
        <w:t xml:space="preserve">.</w:t>
      </w:r>
      <w:r>
        <w:t xml:space="preserve"> </w:t>
      </w:r>
      <w:hyperlink r:id="rId137">
        <w:r>
          <w:rPr>
            <w:rStyle w:val="Hyperlink"/>
          </w:rPr>
          <w:t xml:space="preserve">https://doi.org/10.48550/arXiv.2305.16092</w:t>
        </w:r>
      </w:hyperlink>
      <w:r>
        <w:t xml:space="preserve">.</w:t>
      </w:r>
    </w:p>
    <w:bookmarkEnd w:id="138"/>
    <w:bookmarkStart w:id="140" w:name="ref-seshagiri2022sok"/>
    <w:p>
      <w:pPr>
        <w:pStyle w:val="Bibliography"/>
      </w:pPr>
      <w:r>
        <w:t xml:space="preserve">Seshagiri, Vishwanath, Darby Huye, Lan Liu, Avani Wildani, and Raja R. Sambasivan. 2022.</w:t>
      </w:r>
      <w:r>
        <w:t xml:space="preserve"> </w:t>
      </w:r>
      <w:r>
        <w:t xml:space="preserve">“[SoK] Identifying Mismatches Between Microservice Testbeds and Industrial Perceptions of Microservices.”</w:t>
      </w:r>
      <w:r>
        <w:t xml:space="preserve"> </w:t>
      </w:r>
      <w:r>
        <w:rPr>
          <w:iCs/>
          <w:i/>
        </w:rPr>
        <w:t xml:space="preserve">Systems Research</w:t>
      </w:r>
      <w:r>
        <w:t xml:space="preserve"> </w:t>
      </w:r>
      <w:r>
        <w:t xml:space="preserve">1 (1).</w:t>
      </w:r>
      <w:r>
        <w:t xml:space="preserve"> </w:t>
      </w:r>
      <w:hyperlink r:id="rId139">
        <w:r>
          <w:rPr>
            <w:rStyle w:val="Hyperlink"/>
          </w:rPr>
          <w:t xml:space="preserve">https://doi.org/10.5070/SR32157839</w:t>
        </w:r>
      </w:hyperlink>
      <w:r>
        <w:t xml:space="preserve">.</w:t>
      </w:r>
    </w:p>
    <w:bookmarkEnd w:id="140"/>
    <w:bookmarkStart w:id="142" w:name="ref-soldani2023ebpf"/>
    <w:p>
      <w:pPr>
        <w:pStyle w:val="Bibliography"/>
      </w:pPr>
      <w:r>
        <w:t xml:space="preserve">Soldani, David, Petrit Nahi, Hami Bour, Saber Jafarizadeh, Mohammed F. Soliman, et al. 2023.</w:t>
      </w:r>
      <w:r>
        <w:t xml:space="preserve"> </w:t>
      </w:r>
      <w:r>
        <w:t xml:space="preserve">“eBPF: A New Approach to Cloud-Native Observability, Networking and Security for Current and Future Mobile Networks.”</w:t>
      </w:r>
      <w:r>
        <w:t xml:space="preserve"> </w:t>
      </w:r>
      <w:r>
        <w:rPr>
          <w:iCs/>
          <w:i/>
        </w:rPr>
        <w:t xml:space="preserve">IEEE Access</w:t>
      </w:r>
      <w:r>
        <w:t xml:space="preserve"> </w:t>
      </w:r>
      <w:r>
        <w:t xml:space="preserve">11: 57174–202.</w:t>
      </w:r>
      <w:r>
        <w:t xml:space="preserve"> </w:t>
      </w:r>
      <w:hyperlink r:id="rId141">
        <w:r>
          <w:rPr>
            <w:rStyle w:val="Hyperlink"/>
          </w:rPr>
          <w:t xml:space="preserve">https://doi.org/10.1109/ACCESS.2023.3281480</w:t>
        </w:r>
      </w:hyperlink>
      <w:r>
        <w:t xml:space="preserve">.</w:t>
      </w:r>
    </w:p>
    <w:bookmarkEnd w:id="142"/>
    <w:bookmarkStart w:id="144" w:name="ref-soldani2020graphrca"/>
    <w:p>
      <w:pPr>
        <w:pStyle w:val="Bibliography"/>
      </w:pPr>
      <w:r>
        <w:t xml:space="preserve">Soldani, Jacopo, and Antonio Brogi. 2020.</w:t>
      </w:r>
      <w:r>
        <w:t xml:space="preserve"> </w:t>
      </w:r>
      <w:r>
        <w:t xml:space="preserve">“Graph-Based Root Cause Analysis for Service-Oriented and Microservice Architectures.”</w:t>
      </w:r>
      <w:r>
        <w:t xml:space="preserve"> </w:t>
      </w:r>
      <w:r>
        <w:rPr>
          <w:iCs/>
          <w:i/>
        </w:rPr>
        <w:t xml:space="preserve">Journal of Systems and Software</w:t>
      </w:r>
      <w:r>
        <w:t xml:space="preserve"> </w:t>
      </w:r>
      <w:r>
        <w:t xml:space="preserve">159: 110432.</w:t>
      </w:r>
      <w:r>
        <w:t xml:space="preserve"> </w:t>
      </w:r>
      <w:hyperlink r:id="rId143">
        <w:r>
          <w:rPr>
            <w:rStyle w:val="Hyperlink"/>
          </w:rPr>
          <w:t xml:space="preserve">https://doi.org/10.1016/j.jss.2019.110432</w:t>
        </w:r>
      </w:hyperlink>
      <w:r>
        <w:t xml:space="preserve">.</w:t>
      </w:r>
    </w:p>
    <w:bookmarkEnd w:id="144"/>
    <w:bookmarkStart w:id="146" w:name="ref-usman2022observability"/>
    <w:p>
      <w:pPr>
        <w:pStyle w:val="Bibliography"/>
      </w:pPr>
      <w:r>
        <w:t xml:space="preserve">Usman, Muhammad, Simone Ferlin, Anna Brunstrom, and Javid Taheri. 2022.</w:t>
      </w:r>
      <w:r>
        <w:t xml:space="preserve"> </w:t>
      </w:r>
      <w:r>
        <w:t xml:space="preserve">“A Survey on Observability of Distributed Edge and Container-Based Microservices.”</w:t>
      </w:r>
      <w:r>
        <w:t xml:space="preserve"> </w:t>
      </w:r>
      <w:r>
        <w:rPr>
          <w:iCs/>
          <w:i/>
        </w:rPr>
        <w:t xml:space="preserve">IEEE Access</w:t>
      </w:r>
      <w:r>
        <w:t xml:space="preserve"> </w:t>
      </w:r>
      <w:r>
        <w:t xml:space="preserve">10: 86904–19.</w:t>
      </w:r>
      <w:r>
        <w:t xml:space="preserve"> </w:t>
      </w:r>
      <w:hyperlink r:id="rId145">
        <w:r>
          <w:rPr>
            <w:rStyle w:val="Hyperlink"/>
          </w:rPr>
          <w:t xml:space="preserve">https://doi.org/10.1109/ACCESS.2022.3193102</w:t>
        </w:r>
      </w:hyperlink>
      <w:r>
        <w:t xml:space="preserve">.</w:t>
      </w:r>
    </w:p>
    <w:bookmarkEnd w:id="146"/>
    <w:bookmarkStart w:id="148" w:name="ref-richardson2018microservices"/>
    <w:p>
      <w:pPr>
        <w:pStyle w:val="Bibliography"/>
      </w:pPr>
      <w:r>
        <w:t xml:space="preserve">Vale, Guilherme, Filipe Figueiredo Correia, Eduardo Martins Guerra, Thatiane de Oliveira Rosa, Jonas Fritzsch, and Justus Bogner. 2022.</w:t>
      </w:r>
      <w:r>
        <w:t xml:space="preserve"> </w:t>
      </w:r>
      <w:r>
        <w:t xml:space="preserve">“Designing Microservice Systems Using Patterns: An Empirical Study on Quality Trade-Offs.”</w:t>
      </w:r>
      <w:r>
        <w:t xml:space="preserve"> </w:t>
      </w:r>
      <w:r>
        <w:rPr>
          <w:iCs/>
          <w:i/>
        </w:rPr>
        <w:t xml:space="preserve">arXiv Preprint arXiv:2201.03598</w:t>
      </w:r>
      <w:r>
        <w:t xml:space="preserve">.</w:t>
      </w:r>
      <w:r>
        <w:t xml:space="preserve"> </w:t>
      </w:r>
      <w:hyperlink r:id="rId147">
        <w:r>
          <w:rPr>
            <w:rStyle w:val="Hyperlink"/>
          </w:rPr>
          <w:t xml:space="preserve">https://doi.org/10.48550/arXiv.2201.03598</w:t>
        </w:r>
      </w:hyperlink>
      <w:r>
        <w:t xml:space="preserve">.</w:t>
      </w:r>
    </w:p>
    <w:bookmarkEnd w:id="148"/>
    <w:bookmarkStart w:id="150" w:name="ref-varghese2022edge"/>
    <w:p>
      <w:pPr>
        <w:pStyle w:val="Bibliography"/>
      </w:pPr>
      <w:r>
        <w:t xml:space="preserve">Varghese, Benjamin, Nikolaos Antonopoulos, and Rajkumar Buyya. 2022.</w:t>
      </w:r>
      <w:r>
        <w:t xml:space="preserve"> </w:t>
      </w:r>
      <w:r>
        <w:t xml:space="preserve">“A Survey on Edge Performance Benchmarking.”</w:t>
      </w:r>
      <w:r>
        <w:t xml:space="preserve"> </w:t>
      </w:r>
      <w:r>
        <w:rPr>
          <w:iCs/>
          <w:i/>
        </w:rPr>
        <w:t xml:space="preserve">ACM Computing Surveys</w:t>
      </w:r>
      <w:r>
        <w:t xml:space="preserve"> </w:t>
      </w:r>
      <w:r>
        <w:t xml:space="preserve">55 (3): 1–35.</w:t>
      </w:r>
      <w:r>
        <w:t xml:space="preserve"> </w:t>
      </w:r>
      <w:hyperlink r:id="rId149">
        <w:r>
          <w:rPr>
            <w:rStyle w:val="Hyperlink"/>
          </w:rPr>
          <w:t xml:space="preserve">https://doi.org/10.1145/3444692</w:t>
        </w:r>
      </w:hyperlink>
      <w:r>
        <w:t xml:space="preserve">.</w:t>
      </w:r>
    </w:p>
    <w:bookmarkEnd w:id="150"/>
    <w:bookmarkStart w:id="152" w:name="ref-wanglu2023microfault"/>
    <w:p>
      <w:pPr>
        <w:pStyle w:val="Bibliography"/>
      </w:pPr>
      <w:r>
        <w:t xml:space="preserve">Wang, Lu, Yuxuan Jiang, Qingshan Li, Qien Huo, Zhan Wang, Shenglong Xie, and Jie Dai. 2023.</w:t>
      </w:r>
      <w:r>
        <w:t xml:space="preserve"> </w:t>
      </w:r>
      <w:r>
        <w:t xml:space="preserve">“A Survey on Microservice Fault Detection.”</w:t>
      </w:r>
      <w:r>
        <w:t xml:space="preserve"> </w:t>
      </w:r>
      <w:r>
        <w:rPr>
          <w:iCs/>
          <w:i/>
        </w:rPr>
        <w:t xml:space="preserve">Chinese Journal of Computers</w:t>
      </w:r>
      <w:r>
        <w:t xml:space="preserve"> </w:t>
      </w:r>
      <w:r>
        <w:t xml:space="preserve">46 (11): 2342–73.</w:t>
      </w:r>
      <w:r>
        <w:t xml:space="preserve"> </w:t>
      </w:r>
      <w:hyperlink r:id="rId151">
        <w:r>
          <w:rPr>
            <w:rStyle w:val="Hyperlink"/>
          </w:rPr>
          <w:t xml:space="preserve">https://doi.org/10.11897/SP.J.1016.2023.02342</w:t>
        </w:r>
      </w:hyperlink>
      <w:r>
        <w:t xml:space="preserve">.</w:t>
      </w:r>
    </w:p>
    <w:bookmarkEnd w:id="152"/>
    <w:bookmarkStart w:id="154" w:name="ref-wang2024rca"/>
    <w:p>
      <w:pPr>
        <w:pStyle w:val="Bibliography"/>
      </w:pPr>
      <w:r>
        <w:t xml:space="preserve">Wang, Tingting, and Guilin Qi. 2024.</w:t>
      </w:r>
      <w:r>
        <w:t xml:space="preserve"> </w:t>
      </w:r>
      <w:r>
        <w:t xml:space="preserve">“A Comprehensive Survey on Root Cause Analysis in (Micro) Services: Methodologies, Challenges, and Trends.”</w:t>
      </w:r>
      <w:r>
        <w:t xml:space="preserve"> </w:t>
      </w:r>
      <w:r>
        <w:rPr>
          <w:iCs/>
          <w:i/>
        </w:rPr>
        <w:t xml:space="preserve">arXiv Preprint arXiv:2408.00803</w:t>
      </w:r>
      <w:r>
        <w:t xml:space="preserve">.</w:t>
      </w:r>
      <w:r>
        <w:t xml:space="preserve"> </w:t>
      </w:r>
      <w:hyperlink r:id="rId153">
        <w:r>
          <w:rPr>
            <w:rStyle w:val="Hyperlink"/>
          </w:rPr>
          <w:t xml:space="preserve">https://doi.org/10.48550/arXiv.2408.00803</w:t>
        </w:r>
      </w:hyperlink>
      <w:r>
        <w:t xml:space="preserve">.</w:t>
      </w:r>
    </w:p>
    <w:bookmarkEnd w:id="154"/>
    <w:bookmarkStart w:id="156" w:name="ref-wang2017tracefault"/>
    <w:p>
      <w:pPr>
        <w:pStyle w:val="Bibliography"/>
      </w:pPr>
      <w:r>
        <w:t xml:space="preserve">Wang, Zhiyu, Tao Wang, Wenbo Zhang, Ningjiang Chen, and Chun Zuo. 2017.</w:t>
      </w:r>
      <w:r>
        <w:t xml:space="preserve"> </w:t>
      </w:r>
      <w:r>
        <w:t xml:space="preserve">“A Microservice Fault Diagnosis Method Based on Execution Trace Monitoring.”</w:t>
      </w:r>
      <w:r>
        <w:t xml:space="preserve"> </w:t>
      </w:r>
      <w:r>
        <w:rPr>
          <w:iCs/>
          <w:i/>
        </w:rPr>
        <w:t xml:space="preserve">Journal of Software</w:t>
      </w:r>
      <w:r>
        <w:t xml:space="preserve"> </w:t>
      </w:r>
      <w:r>
        <w:t xml:space="preserve">28 (6): 1435–54.</w:t>
      </w:r>
      <w:r>
        <w:t xml:space="preserve"> </w:t>
      </w:r>
      <w:hyperlink r:id="rId155">
        <w:r>
          <w:rPr>
            <w:rStyle w:val="Hyperlink"/>
          </w:rPr>
          <w:t xml:space="preserve">https://doi.org/10.13328/j.cnki.jos.005223</w:t>
        </w:r>
      </w:hyperlink>
      <w:r>
        <w:t xml:space="preserve">.</w:t>
      </w:r>
    </w:p>
    <w:bookmarkEnd w:id="156"/>
    <w:bookmarkStart w:id="158" w:name="ref-wei2023cloudlogstorage"/>
    <w:p>
      <w:pPr>
        <w:pStyle w:val="Bibliography"/>
      </w:pPr>
      <w:r>
        <w:t xml:space="preserve">Wei, Junyu, Guangyan Zhang, and Junchao Chen. 2023.</w:t>
      </w:r>
      <w:r>
        <w:t xml:space="preserve"> </w:t>
      </w:r>
      <w:r>
        <w:t xml:space="preserve">“Data Schema-Aware Low-Cost Cloud Log Storage System.”</w:t>
      </w:r>
      <w:r>
        <w:t xml:space="preserve"> </w:t>
      </w:r>
      <w:r>
        <w:rPr>
          <w:iCs/>
          <w:i/>
        </w:rPr>
        <w:t xml:space="preserve">Journal of Computer Research and Development</w:t>
      </w:r>
      <w:r>
        <w:t xml:space="preserve"> </w:t>
      </w:r>
      <w:r>
        <w:t xml:space="preserve">60 (11): 2442–52.</w:t>
      </w:r>
      <w:r>
        <w:t xml:space="preserve"> </w:t>
      </w:r>
      <w:hyperlink r:id="rId157">
        <w:r>
          <w:rPr>
            <w:rStyle w:val="Hyperlink"/>
          </w:rPr>
          <w:t xml:space="preserve">https://doi.org/10.7544/issn1000-1239.202330178</w:t>
        </w:r>
      </w:hyperlink>
      <w:r>
        <w:t xml:space="preserve">.</w:t>
      </w:r>
    </w:p>
    <w:bookmarkEnd w:id="158"/>
    <w:bookmarkStart w:id="160" w:name="ref-wuhuayao2020microdev"/>
    <w:p>
      <w:pPr>
        <w:pStyle w:val="Bibliography"/>
      </w:pPr>
      <w:r>
        <w:t xml:space="preserve">Wu, Huayao, and Wenjun Deng. 2020.</w:t>
      </w:r>
      <w:r>
        <w:t xml:space="preserve"> </w:t>
      </w:r>
      <w:r>
        <w:t xml:space="preserve">“Research Progress on Microservice-Oriented Software Development Methods.”</w:t>
      </w:r>
      <w:r>
        <w:t xml:space="preserve"> </w:t>
      </w:r>
      <w:r>
        <w:rPr>
          <w:iCs/>
          <w:i/>
        </w:rPr>
        <w:t xml:space="preserve">Journal of Computer Research and Development</w:t>
      </w:r>
      <w:r>
        <w:t xml:space="preserve"> </w:t>
      </w:r>
      <w:r>
        <w:t xml:space="preserve">57 (3): 525–41.</w:t>
      </w:r>
      <w:r>
        <w:t xml:space="preserve"> </w:t>
      </w:r>
      <w:hyperlink r:id="rId159">
        <w:r>
          <w:rPr>
            <w:rStyle w:val="Hyperlink"/>
          </w:rPr>
          <w:t xml:space="preserve">https://doi.org/10.7544/issn1000-1239.2020.20190624</w:t>
        </w:r>
      </w:hyperlink>
      <w:r>
        <w:t xml:space="preserve">.</w:t>
      </w:r>
    </w:p>
    <w:bookmarkEnd w:id="160"/>
    <w:bookmarkStart w:id="162" w:name="ref-wu2020microrca"/>
    <w:p>
      <w:pPr>
        <w:pStyle w:val="Bibliography"/>
      </w:pPr>
      <w:r>
        <w:t xml:space="preserve">Wu, Li, Johan Tordsson, Erik Elmroth, and Odej Kao. 2020.</w:t>
      </w:r>
      <w:r>
        <w:t xml:space="preserve"> </w:t>
      </w:r>
      <w:r>
        <w:t xml:space="preserve">“MicroRCA: Root Cause Localization of Performance Issues in Microservices.”</w:t>
      </w:r>
      <w:r>
        <w:t xml:space="preserve"> </w:t>
      </w:r>
      <w:r>
        <w:t xml:space="preserve">In</w:t>
      </w:r>
      <w:r>
        <w:t xml:space="preserve"> </w:t>
      </w:r>
      <w:r>
        <w:rPr>
          <w:iCs/>
          <w:i/>
        </w:rPr>
        <w:t xml:space="preserve">NOMS 2020 - 2020 IEEE/IFIP Network Operations and Management Symposium</w:t>
      </w:r>
      <w:r>
        <w:t xml:space="preserve">, 1–9.</w:t>
      </w:r>
      <w:r>
        <w:t xml:space="preserve"> </w:t>
      </w:r>
      <w:hyperlink r:id="rId161">
        <w:r>
          <w:rPr>
            <w:rStyle w:val="Hyperlink"/>
          </w:rPr>
          <w:t xml:space="preserve">https://doi.org/10.1109/NOMS47738.2020.9110353</w:t>
        </w:r>
      </w:hyperlink>
      <w:r>
        <w:t xml:space="preserve">.</w:t>
      </w:r>
    </w:p>
    <w:bookmarkEnd w:id="162"/>
    <w:bookmarkStart w:id="164" w:name="ref-yang2023nahida"/>
    <w:p>
      <w:pPr>
        <w:pStyle w:val="Bibliography"/>
      </w:pPr>
      <w:r>
        <w:t xml:space="preserve">Yang, Wanqi, Pengfei Chen, Kai Liu, and Huxing Zhang. 2023.</w:t>
      </w:r>
      <w:r>
        <w:t xml:space="preserve"> </w:t>
      </w:r>
      <w:r>
        <w:t xml:space="preserve">“Nahida: In-Band Distributed Tracing with eBPF.”</w:t>
      </w:r>
      <w:r>
        <w:t xml:space="preserve"> </w:t>
      </w:r>
      <w:r>
        <w:rPr>
          <w:iCs/>
          <w:i/>
        </w:rPr>
        <w:t xml:space="preserve">arXiv Preprint arXiv:2311.09032</w:t>
      </w:r>
      <w:r>
        <w:t xml:space="preserve">.</w:t>
      </w:r>
      <w:r>
        <w:t xml:space="preserve"> </w:t>
      </w:r>
      <w:hyperlink r:id="rId163">
        <w:r>
          <w:rPr>
            <w:rStyle w:val="Hyperlink"/>
          </w:rPr>
          <w:t xml:space="preserve">https://doi.org/10.48550/arXiv.2311.09032</w:t>
        </w:r>
      </w:hyperlink>
      <w:r>
        <w:t xml:space="preserve">.</w:t>
      </w:r>
    </w:p>
    <w:bookmarkEnd w:id="164"/>
    <w:bookmarkStart w:id="166" w:name="ref-yang2020tracingsurvey"/>
    <w:p>
      <w:pPr>
        <w:pStyle w:val="Bibliography"/>
      </w:pPr>
      <w:r>
        <w:t xml:space="preserve">Yang, Yong, Ying Li, and Zhonghai Wu. 2020.</w:t>
      </w:r>
      <w:r>
        <w:t xml:space="preserve"> </w:t>
      </w:r>
      <w:r>
        <w:t xml:space="preserve">“A Survey on Distributed Tracing Technologies.”</w:t>
      </w:r>
      <w:r>
        <w:t xml:space="preserve"> </w:t>
      </w:r>
      <w:r>
        <w:rPr>
          <w:iCs/>
          <w:i/>
        </w:rPr>
        <w:t xml:space="preserve">Journal of Software</w:t>
      </w:r>
      <w:r>
        <w:t xml:space="preserve"> </w:t>
      </w:r>
      <w:r>
        <w:t xml:space="preserve">31 (7): 2019–39.</w:t>
      </w:r>
      <w:r>
        <w:t xml:space="preserve"> </w:t>
      </w:r>
      <w:hyperlink r:id="rId165">
        <w:r>
          <w:rPr>
            <w:rStyle w:val="Hyperlink"/>
          </w:rPr>
          <w:t xml:space="preserve">https://doi.org/10.13328/j.cnki.jos.006047</w:t>
        </w:r>
      </w:hyperlink>
      <w:r>
        <w:t xml:space="preserve">.</w:t>
      </w:r>
    </w:p>
    <w:bookmarkEnd w:id="166"/>
    <w:bookmarkStart w:id="168" w:name="ref-you2021tracelogstorage"/>
    <w:p>
      <w:pPr>
        <w:pStyle w:val="Bibliography"/>
      </w:pPr>
      <w:r>
        <w:t xml:space="preserve">You, Yong, Hao Wang, Tian Ren, Shenghui Gu, and Jialin Sun. 2021.</w:t>
      </w:r>
      <w:r>
        <w:t xml:space="preserve"> </w:t>
      </w:r>
      <w:r>
        <w:t xml:space="preserve">“A Storage Design of Link-Tracing Log Data for Monitoring Systems.”</w:t>
      </w:r>
      <w:r>
        <w:t xml:space="preserve"> </w:t>
      </w:r>
      <w:r>
        <w:rPr>
          <w:iCs/>
          <w:i/>
        </w:rPr>
        <w:t xml:space="preserve">Journal of Software</w:t>
      </w:r>
      <w:r>
        <w:t xml:space="preserve"> </w:t>
      </w:r>
      <w:r>
        <w:t xml:space="preserve">32 (5): 1302–21.</w:t>
      </w:r>
      <w:r>
        <w:t xml:space="preserve"> </w:t>
      </w:r>
      <w:hyperlink r:id="rId167">
        <w:r>
          <w:rPr>
            <w:rStyle w:val="Hyperlink"/>
          </w:rPr>
          <w:t xml:space="preserve">https://doi.org/10.13328/j.cnki.jos.006234</w:t>
        </w:r>
      </w:hyperlink>
      <w:r>
        <w:t xml:space="preserve">.</w:t>
      </w:r>
    </w:p>
    <w:bookmarkEnd w:id="168"/>
    <w:bookmarkStart w:id="170" w:name="ref-yuqingyang2022trace"/>
    <w:p>
      <w:pPr>
        <w:pStyle w:val="Bibliography"/>
      </w:pPr>
      <w:r>
        <w:t xml:space="preserve">Yu, Qingyang, Xiaoying Bai, Mingjie Li, Qiyuan Li, Tao Liu, Zeyin Liu, and Dan Pei. 2022.</w:t>
      </w:r>
      <w:r>
        <w:t xml:space="preserve"> </w:t>
      </w:r>
      <w:r>
        <w:t xml:space="preserve">“Performance Modeling and Anomaly Localization for Large-Scale Microservice Systems Based on Call Chain Control Flow Analysis.”</w:t>
      </w:r>
      <w:r>
        <w:t xml:space="preserve"> </w:t>
      </w:r>
      <w:r>
        <w:rPr>
          <w:iCs/>
          <w:i/>
        </w:rPr>
        <w:t xml:space="preserve">Journal of Software</w:t>
      </w:r>
      <w:r>
        <w:t xml:space="preserve"> </w:t>
      </w:r>
      <w:r>
        <w:t xml:space="preserve">33 (5): 1849–64.</w:t>
      </w:r>
      <w:r>
        <w:t xml:space="preserve"> </w:t>
      </w:r>
      <w:hyperlink r:id="rId169">
        <w:r>
          <w:rPr>
            <w:rStyle w:val="Hyperlink"/>
          </w:rPr>
          <w:t xml:space="preserve">https://doi.org/10.13328/j.cnki.jos.006209</w:t>
        </w:r>
      </w:hyperlink>
      <w:r>
        <w:t xml:space="preserve">.</w:t>
      </w:r>
    </w:p>
    <w:bookmarkEnd w:id="170"/>
    <w:bookmarkStart w:id="172" w:name="ref-zhang2024multivariate"/>
    <w:p>
      <w:pPr>
        <w:pStyle w:val="Bibliography"/>
      </w:pPr>
      <w:r>
        <w:t xml:space="preserve">Zhang, Lingzhe, Tong Jia, Mengxi Jia, Ying Li, Yong Yang, and Zhonghai Wu. 2024.</w:t>
      </w:r>
      <w:r>
        <w:t xml:space="preserve"> </w:t>
      </w:r>
      <w:r>
        <w:t xml:space="preserve">“Multivariate Log-Based Anomaly Detection for Distributed Database.”</w:t>
      </w:r>
      <w:r>
        <w:t xml:space="preserve"> </w:t>
      </w:r>
      <w:r>
        <w:t xml:space="preserve">In</w:t>
      </w:r>
      <w:r>
        <w:t xml:space="preserve"> </w:t>
      </w:r>
      <w:r>
        <w:rPr>
          <w:iCs/>
          <w:i/>
        </w:rPr>
        <w:t xml:space="preserve">Proceedings of the 30th ACM SIGKDD Conference on Knowledge Discovery and Data Mining</w:t>
      </w:r>
      <w:r>
        <w:t xml:space="preserve">.</w:t>
      </w:r>
      <w:r>
        <w:t xml:space="preserve"> </w:t>
      </w:r>
      <w:hyperlink r:id="rId171">
        <w:r>
          <w:rPr>
            <w:rStyle w:val="Hyperlink"/>
          </w:rPr>
          <w:t xml:space="preserve">https://doi.org/10.1145/3637528.3671725</w:t>
        </w:r>
      </w:hyperlink>
      <w:r>
        <w:t xml:space="preserve">.</w:t>
      </w:r>
    </w:p>
    <w:bookmarkEnd w:id="172"/>
    <w:bookmarkStart w:id="174" w:name="ref-zhang2024reducing"/>
    <w:p>
      <w:pPr>
        <w:pStyle w:val="Bibliography"/>
      </w:pPr>
      <w:r>
        <w:t xml:space="preserve">Zhang, Lingzhe, Tong Jia, Kangjin Wang, Mengxi Jia, Yong Yang, and Ying Li. 2024.</w:t>
      </w:r>
      <w:r>
        <w:t xml:space="preserve"> </w:t>
      </w:r>
      <w:r>
        <w:t xml:space="preserve">“Reducing Events to Augment Log-Based Anomaly Detection Models: An Empirical Study.”</w:t>
      </w:r>
      <w:r>
        <w:t xml:space="preserve"> </w:t>
      </w:r>
      <w:r>
        <w:t xml:space="preserve">In</w:t>
      </w:r>
      <w:r>
        <w:t xml:space="preserve"> </w:t>
      </w:r>
      <w:r>
        <w:rPr>
          <w:iCs/>
          <w:i/>
        </w:rPr>
        <w:t xml:space="preserve">Proceedings of the 39th IEEE/ACM International Conference on Automated Software Engineering</w:t>
      </w:r>
      <w:r>
        <w:t xml:space="preserve">.</w:t>
      </w:r>
      <w:r>
        <w:t xml:space="preserve"> </w:t>
      </w:r>
      <w:hyperlink r:id="rId173">
        <w:r>
          <w:rPr>
            <w:rStyle w:val="Hyperlink"/>
          </w:rPr>
          <w:t xml:space="preserve">https://doi.org/10.1145/3674805.3695403</w:t>
        </w:r>
      </w:hyperlink>
      <w:r>
        <w:t xml:space="preserve">.</w:t>
      </w:r>
    </w:p>
    <w:bookmarkEnd w:id="174"/>
    <w:bookmarkStart w:id="176" w:name="ref-zhang2024servicedep"/>
    <w:p>
      <w:pPr>
        <w:pStyle w:val="Bibliography"/>
      </w:pPr>
      <w:r>
        <w:t xml:space="preserve">Zhang, Qixun, Yifan Wu, Yong Yang, Tong Jia, Ying Li, and Zhonghai Wu. 2024.</w:t>
      </w:r>
      <w:r>
        <w:t xml:space="preserve"> </w:t>
      </w:r>
      <w:r>
        <w:t xml:space="preserve">“A Survey on Service Dependency Discovery Technologies in Microservice Systems.”</w:t>
      </w:r>
      <w:r>
        <w:t xml:space="preserve"> </w:t>
      </w:r>
      <w:r>
        <w:rPr>
          <w:iCs/>
          <w:i/>
        </w:rPr>
        <w:t xml:space="preserve">Journal of Software</w:t>
      </w:r>
      <w:r>
        <w:t xml:space="preserve"> </w:t>
      </w:r>
      <w:r>
        <w:t xml:space="preserve">35 (1): 118–35.</w:t>
      </w:r>
      <w:r>
        <w:t xml:space="preserve"> </w:t>
      </w:r>
      <w:hyperlink r:id="rId175">
        <w:r>
          <w:rPr>
            <w:rStyle w:val="Hyperlink"/>
          </w:rPr>
          <w:t xml:space="preserve">https://doi.org/10.13328/j.cnki.jos.006827</w:t>
        </w:r>
      </w:hyperlink>
      <w:r>
        <w:t xml:space="preserve">.</w:t>
      </w:r>
    </w:p>
    <w:bookmarkEnd w:id="176"/>
    <w:bookmarkStart w:id="178" w:name="ref-zhang2023multimodal"/>
    <w:p>
      <w:pPr>
        <w:pStyle w:val="Bibliography"/>
      </w:pPr>
      <w:r>
        <w:t xml:space="preserve">Zhang, Shenglin, Pengxiang Jin, Zihan Lin, Yongqian Sun, et al. 2023.</w:t>
      </w:r>
      <w:r>
        <w:t xml:space="preserve"> </w:t>
      </w:r>
      <w:r>
        <w:t xml:space="preserve">“Robust Failure Diagnosis of Microservice System Through Multimodal Data.”</w:t>
      </w:r>
      <w:r>
        <w:t xml:space="preserve"> </w:t>
      </w:r>
      <w:r>
        <w:rPr>
          <w:iCs/>
          <w:i/>
        </w:rPr>
        <w:t xml:space="preserve">arXiv Preprint arXiv:2302.10512</w:t>
      </w:r>
      <w:r>
        <w:t xml:space="preserve">.</w:t>
      </w:r>
      <w:r>
        <w:t xml:space="preserve"> </w:t>
      </w:r>
      <w:hyperlink r:id="rId177">
        <w:r>
          <w:rPr>
            <w:rStyle w:val="Hyperlink"/>
          </w:rPr>
          <w:t xml:space="preserve">https://doi.org/10.48550/arXiv.2302.10512</w:t>
        </w:r>
      </w:hyperlink>
      <w:r>
        <w:t xml:space="preserve">.</w:t>
      </w:r>
    </w:p>
    <w:bookmarkEnd w:id="178"/>
    <w:bookmarkStart w:id="180" w:name="ref-zhu2023sidecar"/>
    <w:p>
      <w:pPr>
        <w:pStyle w:val="Bibliography"/>
      </w:pPr>
      <w:r>
        <w:t xml:space="preserve">Zhang, Yuxin, Bowen Li, Xin Peng, Qilin Xiang, and Xuanzhe Liu. 2024.</w:t>
      </w:r>
      <w:r>
        <w:t xml:space="preserve"> </w:t>
      </w:r>
      <w:r>
        <w:t xml:space="preserve">“Technical Report: Performance Comparison of Service Mesh Frameworks: The Case of Istio and Linkerd.”</w:t>
      </w:r>
      <w:r>
        <w:t xml:space="preserve"> </w:t>
      </w:r>
      <w:r>
        <w:t xml:space="preserve">In</w:t>
      </w:r>
      <w:r>
        <w:t xml:space="preserve"> </w:t>
      </w:r>
      <w:r>
        <w:rPr>
          <w:iCs/>
          <w:i/>
        </w:rPr>
        <w:t xml:space="preserve">arXiv Preprint arXiv:2411.02267</w:t>
      </w:r>
      <w:r>
        <w:t xml:space="preserve">.</w:t>
      </w:r>
      <w:r>
        <w:t xml:space="preserve"> </w:t>
      </w:r>
      <w:hyperlink r:id="rId179">
        <w:r>
          <w:rPr>
            <w:rStyle w:val="Hyperlink"/>
          </w:rPr>
          <w:t xml:space="preserve">https://doi.org/10.48550/arXiv.2411.02267</w:t>
        </w:r>
      </w:hyperlink>
      <w:r>
        <w:t xml:space="preserve">.</w:t>
      </w:r>
    </w:p>
    <w:bookmarkEnd w:id="180"/>
    <w:bookmarkStart w:id="182" w:name="ref-zhou2023fusionad"/>
    <w:p>
      <w:pPr>
        <w:pStyle w:val="Bibliography"/>
      </w:pPr>
      <w:r>
        <w:t xml:space="preserve">Zhou, Xiaohui, Yijie Wang, Hongzuo Xu, and Mingyu Liu. 2023.</w:t>
      </w:r>
      <w:r>
        <w:t xml:space="preserve"> </w:t>
      </w:r>
      <w:r>
        <w:t xml:space="preserve">“Unsupervised Multivariate Time Series Anomaly Detection Based on Fusion Learning.”</w:t>
      </w:r>
      <w:r>
        <w:t xml:space="preserve"> </w:t>
      </w:r>
      <w:r>
        <w:rPr>
          <w:iCs/>
          <w:i/>
        </w:rPr>
        <w:t xml:space="preserve">Journal of Computer Research and Development</w:t>
      </w:r>
      <w:r>
        <w:t xml:space="preserve"> </w:t>
      </w:r>
      <w:r>
        <w:t xml:space="preserve">60 (3): 496–508.</w:t>
      </w:r>
      <w:r>
        <w:t xml:space="preserve"> </w:t>
      </w:r>
      <w:hyperlink r:id="rId181">
        <w:r>
          <w:rPr>
            <w:rStyle w:val="Hyperlink"/>
          </w:rPr>
          <w:t xml:space="preserve">https://doi.org/10.7544/issn1000-1239.202220490</w:t>
        </w:r>
      </w:hyperlink>
      <w:r>
        <w:t xml:space="preserve">.</w:t>
      </w:r>
    </w:p>
    <w:bookmarkEnd w:id="182"/>
    <w:bookmarkStart w:id="184" w:name="ref-zhu2020loghub"/>
    <w:p>
      <w:pPr>
        <w:pStyle w:val="Bibliography"/>
      </w:pPr>
      <w:r>
        <w:t xml:space="preserve">Zhu, Jieming, Shilin He, Pinjia He, Jinyang Liu, and Michael R. Lyu. 2020.</w:t>
      </w:r>
      <w:r>
        <w:t xml:space="preserve"> </w:t>
      </w:r>
      <w:r>
        <w:t xml:space="preserve">“Loghub: A Large Collection of System Log Datasets for AI-Driven Log Analytics.”</w:t>
      </w:r>
      <w:r>
        <w:t xml:space="preserve"> </w:t>
      </w:r>
      <w:r>
        <w:rPr>
          <w:iCs/>
          <w:i/>
        </w:rPr>
        <w:t xml:space="preserve">arXiv Preprint arXiv:2008.06448</w:t>
      </w:r>
      <w:r>
        <w:t xml:space="preserve">.</w:t>
      </w:r>
      <w:r>
        <w:t xml:space="preserve"> </w:t>
      </w:r>
      <w:hyperlink r:id="rId183">
        <w:r>
          <w:rPr>
            <w:rStyle w:val="Hyperlink"/>
          </w:rPr>
          <w:t xml:space="preserve">https://doi.org/10.48550/arXiv.2008.06448</w:t>
        </w:r>
      </w:hyperlink>
      <w:r>
        <w:t xml:space="preserve">.</w:t>
      </w:r>
    </w:p>
    <w:bookmarkEnd w:id="184"/>
    <w:bookmarkEnd w:id="185"/>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5">
    <w:p>
      <w:pPr>
        <w:pStyle w:val="FootnoteText"/>
      </w:pPr>
      <w:r>
        <w:rPr>
          <w:rStyle w:val="FootnoteReference"/>
        </w:rPr>
        <w:footnoteRef/>
      </w:r>
      <w:r>
        <w:t xml:space="preserve"> </w:t>
      </w:r>
      <w:r>
        <w:t xml:space="preserve">实验脚本与原始数据见仓库</w:t>
      </w:r>
      <w:r>
        <w:t xml:space="preserve"> </w:t>
      </w:r>
      <w:r>
        <w:rPr>
          <w:rStyle w:val="VerbatimChar"/>
        </w:rPr>
        <w:t xml:space="preserve">experiments/</w:t>
      </w:r>
      <w:r>
        <w:t xml:space="preserve"> </w:t>
      </w:r>
      <w:r>
        <w:t xml:space="preserve">目录；退避单元测试见</w:t>
      </w:r>
      <w:r>
        <w:t xml:space="preserve"> </w:t>
      </w:r>
      <w:r>
        <w:rPr>
          <w:rStyle w:val="VerbatimChar"/>
        </w:rPr>
        <w:t xml:space="preserve">agent/pkg/retry/</w:t>
      </w:r>
      <w:r>
        <w:t xml:space="preserve"> </w:t>
      </w:r>
      <w:r>
        <w:t xml:space="preserve">目录。</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df" /><Relationship Type="http://schemas.openxmlformats.org/officeDocument/2006/relationships/image" Id="rId40" Target="media/rId40.pdf" /><Relationship Type="http://schemas.openxmlformats.org/officeDocument/2006/relationships/image" Id="rId59" Target="media/rId59.pdf" /><Relationship Type="http://schemas.openxmlformats.org/officeDocument/2006/relationships/image" Id="rId62" Target="media/rId62.pdf" /><Relationship Type="http://schemas.openxmlformats.org/officeDocument/2006/relationships/image" Id="rId44" Target="media/rId44.pdf" /><Relationship Type="http://schemas.openxmlformats.org/officeDocument/2006/relationships/image" Id="rId66" Target="media/rId66.pdf" /><Relationship Type="http://schemas.openxmlformats.org/officeDocument/2006/relationships/image" Id="rId71" Target="media/rId71.pdf" /><Relationship Type="http://schemas.openxmlformats.org/officeDocument/2006/relationships/image" Id="rId75" Target="media/rId75.pdf" /><Relationship Type="http://schemas.openxmlformats.org/officeDocument/2006/relationships/hyperlink" Id="rId107" Target="https://doi.org/10.1007/s10664-024-10501-4" TargetMode="External" /><Relationship Type="http://schemas.openxmlformats.org/officeDocument/2006/relationships/hyperlink" Id="rId83" Target="https://doi.org/10.1007/s10664-025-10669-3" TargetMode="External" /><Relationship Type="http://schemas.openxmlformats.org/officeDocument/2006/relationships/hyperlink" Id="rId143" Target="https://doi.org/10.1016/j.jss.2019.110432" TargetMode="External" /><Relationship Type="http://schemas.openxmlformats.org/officeDocument/2006/relationships/hyperlink" Id="rId145" Target="https://doi.org/10.1109/ACCESS.2022.3193102" TargetMode="External" /><Relationship Type="http://schemas.openxmlformats.org/officeDocument/2006/relationships/hyperlink" Id="rId141" Target="https://doi.org/10.1109/ACCESS.2023.3281480" TargetMode="External" /><Relationship Type="http://schemas.openxmlformats.org/officeDocument/2006/relationships/hyperlink" Id="rId129" Target="https://doi.org/10.1109/ASE.2019.00085" TargetMode="External" /><Relationship Type="http://schemas.openxmlformats.org/officeDocument/2006/relationships/hyperlink" Id="rId113" Target="https://doi.org/10.1109/MS.2018.2141039" TargetMode="External" /><Relationship Type="http://schemas.openxmlformats.org/officeDocument/2006/relationships/hyperlink" Id="rId161" Target="https://doi.org/10.1109/NOMS47738.2020.9110353" TargetMode="External" /><Relationship Type="http://schemas.openxmlformats.org/officeDocument/2006/relationships/hyperlink" Id="rId87" Target="https://doi.org/10.1145/2898442.2898444" TargetMode="External" /><Relationship Type="http://schemas.openxmlformats.org/officeDocument/2006/relationships/hyperlink" Id="rId89" Target="https://doi.org/10.1145/2901318.2901342" TargetMode="External" /><Relationship Type="http://schemas.openxmlformats.org/officeDocument/2006/relationships/hyperlink" Id="rId149" Target="https://doi.org/10.1145/3444692" TargetMode="External" /><Relationship Type="http://schemas.openxmlformats.org/officeDocument/2006/relationships/hyperlink" Id="rId171" Target="https://doi.org/10.1145/3637528.3671725" TargetMode="External" /><Relationship Type="http://schemas.openxmlformats.org/officeDocument/2006/relationships/hyperlink" Id="rId173" Target="https://doi.org/10.1145/3674805.3695403" TargetMode="External" /><Relationship Type="http://schemas.openxmlformats.org/officeDocument/2006/relationships/hyperlink" Id="rId135" Target="https://doi.org/10.11897/SP.J.1016.2020.00366" TargetMode="External" /><Relationship Type="http://schemas.openxmlformats.org/officeDocument/2006/relationships/hyperlink" Id="rId151" Target="https://doi.org/10.11897/SP.J.1016.2023.02342" TargetMode="External" /><Relationship Type="http://schemas.openxmlformats.org/officeDocument/2006/relationships/hyperlink" Id="rId127" Target="https://doi.org/10.13328/j.cnki.jos.004936" TargetMode="External" /><Relationship Type="http://schemas.openxmlformats.org/officeDocument/2006/relationships/hyperlink" Id="rId155" Target="https://doi.org/10.13328/j.cnki.jos.005223" TargetMode="External" /><Relationship Type="http://schemas.openxmlformats.org/officeDocument/2006/relationships/hyperlink" Id="rId125" Target="https://doi.org/10.13328/j.cnki.jos.005601" TargetMode="External" /><Relationship Type="http://schemas.openxmlformats.org/officeDocument/2006/relationships/hyperlink" Id="rId117" Target="https://doi.org/10.13328/j.cnki.jos.005990" TargetMode="External" /><Relationship Type="http://schemas.openxmlformats.org/officeDocument/2006/relationships/hyperlink" Id="rId99" Target="https://doi.org/10.13328/j.cnki.jos.006031" TargetMode="External" /><Relationship Type="http://schemas.openxmlformats.org/officeDocument/2006/relationships/hyperlink" Id="rId115" Target="https://doi.org/10.13328/j.cnki.jos.006045" TargetMode="External" /><Relationship Type="http://schemas.openxmlformats.org/officeDocument/2006/relationships/hyperlink" Id="rId165" Target="https://doi.org/10.13328/j.cnki.jos.006047" TargetMode="External" /><Relationship Type="http://schemas.openxmlformats.org/officeDocument/2006/relationships/hyperlink" Id="rId169" Target="https://doi.org/10.13328/j.cnki.jos.006209" TargetMode="External" /><Relationship Type="http://schemas.openxmlformats.org/officeDocument/2006/relationships/hyperlink" Id="rId167" Target="https://doi.org/10.13328/j.cnki.jos.006234" TargetMode="External" /><Relationship Type="http://schemas.openxmlformats.org/officeDocument/2006/relationships/hyperlink" Id="rId111" Target="https://doi.org/10.13328/j.cnki.jos.006523" TargetMode="External" /><Relationship Type="http://schemas.openxmlformats.org/officeDocument/2006/relationships/hyperlink" Id="rId175" Target="https://doi.org/10.13328/j.cnki.jos.006827" TargetMode="External" /><Relationship Type="http://schemas.openxmlformats.org/officeDocument/2006/relationships/hyperlink" Id="rId85" Target="https://doi.org/10.13328/j.cnki.jos.006876" TargetMode="External" /><Relationship Type="http://schemas.openxmlformats.org/officeDocument/2006/relationships/hyperlink" Id="rId105" Target="https://doi.org/10.1609/aaai.v38i1.27764" TargetMode="External" /><Relationship Type="http://schemas.openxmlformats.org/officeDocument/2006/relationships/hyperlink" Id="rId97" Target="https://doi.org/10.48550/arXiv.2001.03038" TargetMode="External" /><Relationship Type="http://schemas.openxmlformats.org/officeDocument/2006/relationships/hyperlink" Id="rId183" Target="https://doi.org/10.48550/arXiv.2008.06448" TargetMode="External" /><Relationship Type="http://schemas.openxmlformats.org/officeDocument/2006/relationships/hyperlink" Id="rId109" Target="https://doi.org/10.48550/arXiv.2009.07237" TargetMode="External" /><Relationship Type="http://schemas.openxmlformats.org/officeDocument/2006/relationships/hyperlink" Id="rId147" Target="https://doi.org/10.48550/arXiv.2201.03598" TargetMode="External" /><Relationship Type="http://schemas.openxmlformats.org/officeDocument/2006/relationships/hyperlink" Id="rId133" Target="https://doi.org/10.48550/arXiv.2207.02776" TargetMode="External" /><Relationship Type="http://schemas.openxmlformats.org/officeDocument/2006/relationships/hyperlink" Id="rId177" Target="https://doi.org/10.48550/arXiv.2302.10512" TargetMode="External" /><Relationship Type="http://schemas.openxmlformats.org/officeDocument/2006/relationships/hyperlink" Id="rId95" Target="https://doi.org/10.48550/arXiv.2304.04661" TargetMode="External" /><Relationship Type="http://schemas.openxmlformats.org/officeDocument/2006/relationships/hyperlink" Id="rId137" Target="https://doi.org/10.48550/arXiv.2305.16092" TargetMode="External" /><Relationship Type="http://schemas.openxmlformats.org/officeDocument/2006/relationships/hyperlink" Id="rId119" Target="https://doi.org/10.48550/arXiv.2308.10828" TargetMode="External" /><Relationship Type="http://schemas.openxmlformats.org/officeDocument/2006/relationships/hyperlink" Id="rId121" Target="https://doi.org/10.48550/arXiv.2310.01796" TargetMode="External" /><Relationship Type="http://schemas.openxmlformats.org/officeDocument/2006/relationships/hyperlink" Id="rId163" Target="https://doi.org/10.48550/arXiv.2311.09032" TargetMode="External" /><Relationship Type="http://schemas.openxmlformats.org/officeDocument/2006/relationships/hyperlink" Id="rId93" Target="https://doi.org/10.48550/arXiv.2406.06975" TargetMode="External" /><Relationship Type="http://schemas.openxmlformats.org/officeDocument/2006/relationships/hyperlink" Id="rId123" Target="https://doi.org/10.48550/arXiv.2408.00440" TargetMode="External" /><Relationship Type="http://schemas.openxmlformats.org/officeDocument/2006/relationships/hyperlink" Id="rId153" Target="https://doi.org/10.48550/arXiv.2408.00803" TargetMode="External" /><Relationship Type="http://schemas.openxmlformats.org/officeDocument/2006/relationships/hyperlink" Id="rId179" Target="https://doi.org/10.48550/arXiv.2411.02267" TargetMode="External" /><Relationship Type="http://schemas.openxmlformats.org/officeDocument/2006/relationships/hyperlink" Id="rId139" Target="https://doi.org/10.5070/SR32157839" TargetMode="External" /><Relationship Type="http://schemas.openxmlformats.org/officeDocument/2006/relationships/hyperlink" Id="rId131" Target="https://doi.org/10.7544/issn1000-1239.2017.20151043" TargetMode="External" /><Relationship Type="http://schemas.openxmlformats.org/officeDocument/2006/relationships/hyperlink" Id="rId103" Target="https://doi.org/10.7544/issn1000-1239.2020.20190460" TargetMode="External" /><Relationship Type="http://schemas.openxmlformats.org/officeDocument/2006/relationships/hyperlink" Id="rId159" Target="https://doi.org/10.7544/issn1000-1239.2020.20190624" TargetMode="External" /><Relationship Type="http://schemas.openxmlformats.org/officeDocument/2006/relationships/hyperlink" Id="rId91" Target="https://doi.org/10.7544/issn1000-1239.2020.20190875" TargetMode="External" /><Relationship Type="http://schemas.openxmlformats.org/officeDocument/2006/relationships/hyperlink" Id="rId181" Target="https://doi.org/10.7544/issn1000-1239.202220490" TargetMode="External" /><Relationship Type="http://schemas.openxmlformats.org/officeDocument/2006/relationships/hyperlink" Id="rId157" Target="https://doi.org/10.7544/issn1000-1239.202330178" TargetMode="External" /><Relationship Type="http://schemas.openxmlformats.org/officeDocument/2006/relationships/hyperlink" Id="rId101" Target="https://doi.org/10.7544/issn1000-1239.202330543" TargetMode="External" /><Relationship Type="http://schemas.openxmlformats.org/officeDocument/2006/relationships/hyperlink" Id="rId81" Target="shihonglei0042@link.tyut.edu.cn" TargetMode="External" /><Relationship Type="http://schemas.openxmlformats.org/officeDocument/2006/relationships/hyperlink" Id="rId82" Target="zh_juanjuan@126.com"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7/s10664-024-10501-4" TargetMode="External" /><Relationship Type="http://schemas.openxmlformats.org/officeDocument/2006/relationships/hyperlink" Id="rId83" Target="https://doi.org/10.1007/s10664-025-10669-3" TargetMode="External" /><Relationship Type="http://schemas.openxmlformats.org/officeDocument/2006/relationships/hyperlink" Id="rId143" Target="https://doi.org/10.1016/j.jss.2019.110432" TargetMode="External" /><Relationship Type="http://schemas.openxmlformats.org/officeDocument/2006/relationships/hyperlink" Id="rId145" Target="https://doi.org/10.1109/ACCESS.2022.3193102" TargetMode="External" /><Relationship Type="http://schemas.openxmlformats.org/officeDocument/2006/relationships/hyperlink" Id="rId141" Target="https://doi.org/10.1109/ACCESS.2023.3281480" TargetMode="External" /><Relationship Type="http://schemas.openxmlformats.org/officeDocument/2006/relationships/hyperlink" Id="rId129" Target="https://doi.org/10.1109/ASE.2019.00085" TargetMode="External" /><Relationship Type="http://schemas.openxmlformats.org/officeDocument/2006/relationships/hyperlink" Id="rId113" Target="https://doi.org/10.1109/MS.2018.2141039" TargetMode="External" /><Relationship Type="http://schemas.openxmlformats.org/officeDocument/2006/relationships/hyperlink" Id="rId161" Target="https://doi.org/10.1109/NOMS47738.2020.9110353" TargetMode="External" /><Relationship Type="http://schemas.openxmlformats.org/officeDocument/2006/relationships/hyperlink" Id="rId87" Target="https://doi.org/10.1145/2898442.2898444" TargetMode="External" /><Relationship Type="http://schemas.openxmlformats.org/officeDocument/2006/relationships/hyperlink" Id="rId89" Target="https://doi.org/10.1145/2901318.2901342" TargetMode="External" /><Relationship Type="http://schemas.openxmlformats.org/officeDocument/2006/relationships/hyperlink" Id="rId149" Target="https://doi.org/10.1145/3444692" TargetMode="External" /><Relationship Type="http://schemas.openxmlformats.org/officeDocument/2006/relationships/hyperlink" Id="rId171" Target="https://doi.org/10.1145/3637528.3671725" TargetMode="External" /><Relationship Type="http://schemas.openxmlformats.org/officeDocument/2006/relationships/hyperlink" Id="rId173" Target="https://doi.org/10.1145/3674805.3695403" TargetMode="External" /><Relationship Type="http://schemas.openxmlformats.org/officeDocument/2006/relationships/hyperlink" Id="rId135" Target="https://doi.org/10.11897/SP.J.1016.2020.00366" TargetMode="External" /><Relationship Type="http://schemas.openxmlformats.org/officeDocument/2006/relationships/hyperlink" Id="rId151" Target="https://doi.org/10.11897/SP.J.1016.2023.02342" TargetMode="External" /><Relationship Type="http://schemas.openxmlformats.org/officeDocument/2006/relationships/hyperlink" Id="rId127" Target="https://doi.org/10.13328/j.cnki.jos.004936" TargetMode="External" /><Relationship Type="http://schemas.openxmlformats.org/officeDocument/2006/relationships/hyperlink" Id="rId155" Target="https://doi.org/10.13328/j.cnki.jos.005223" TargetMode="External" /><Relationship Type="http://schemas.openxmlformats.org/officeDocument/2006/relationships/hyperlink" Id="rId125" Target="https://doi.org/10.13328/j.cnki.jos.005601" TargetMode="External" /><Relationship Type="http://schemas.openxmlformats.org/officeDocument/2006/relationships/hyperlink" Id="rId117" Target="https://doi.org/10.13328/j.cnki.jos.005990" TargetMode="External" /><Relationship Type="http://schemas.openxmlformats.org/officeDocument/2006/relationships/hyperlink" Id="rId99" Target="https://doi.org/10.13328/j.cnki.jos.006031" TargetMode="External" /><Relationship Type="http://schemas.openxmlformats.org/officeDocument/2006/relationships/hyperlink" Id="rId115" Target="https://doi.org/10.13328/j.cnki.jos.006045" TargetMode="External" /><Relationship Type="http://schemas.openxmlformats.org/officeDocument/2006/relationships/hyperlink" Id="rId165" Target="https://doi.org/10.13328/j.cnki.jos.006047" TargetMode="External" /><Relationship Type="http://schemas.openxmlformats.org/officeDocument/2006/relationships/hyperlink" Id="rId169" Target="https://doi.org/10.13328/j.cnki.jos.006209" TargetMode="External" /><Relationship Type="http://schemas.openxmlformats.org/officeDocument/2006/relationships/hyperlink" Id="rId167" Target="https://doi.org/10.13328/j.cnki.jos.006234" TargetMode="External" /><Relationship Type="http://schemas.openxmlformats.org/officeDocument/2006/relationships/hyperlink" Id="rId111" Target="https://doi.org/10.13328/j.cnki.jos.006523" TargetMode="External" /><Relationship Type="http://schemas.openxmlformats.org/officeDocument/2006/relationships/hyperlink" Id="rId175" Target="https://doi.org/10.13328/j.cnki.jos.006827" TargetMode="External" /><Relationship Type="http://schemas.openxmlformats.org/officeDocument/2006/relationships/hyperlink" Id="rId85" Target="https://doi.org/10.13328/j.cnki.jos.006876" TargetMode="External" /><Relationship Type="http://schemas.openxmlformats.org/officeDocument/2006/relationships/hyperlink" Id="rId105" Target="https://doi.org/10.1609/aaai.v38i1.27764" TargetMode="External" /><Relationship Type="http://schemas.openxmlformats.org/officeDocument/2006/relationships/hyperlink" Id="rId97" Target="https://doi.org/10.48550/arXiv.2001.03038" TargetMode="External" /><Relationship Type="http://schemas.openxmlformats.org/officeDocument/2006/relationships/hyperlink" Id="rId183" Target="https://doi.org/10.48550/arXiv.2008.06448" TargetMode="External" /><Relationship Type="http://schemas.openxmlformats.org/officeDocument/2006/relationships/hyperlink" Id="rId109" Target="https://doi.org/10.48550/arXiv.2009.07237" TargetMode="External" /><Relationship Type="http://schemas.openxmlformats.org/officeDocument/2006/relationships/hyperlink" Id="rId147" Target="https://doi.org/10.48550/arXiv.2201.03598" TargetMode="External" /><Relationship Type="http://schemas.openxmlformats.org/officeDocument/2006/relationships/hyperlink" Id="rId133" Target="https://doi.org/10.48550/arXiv.2207.02776" TargetMode="External" /><Relationship Type="http://schemas.openxmlformats.org/officeDocument/2006/relationships/hyperlink" Id="rId177" Target="https://doi.org/10.48550/arXiv.2302.10512" TargetMode="External" /><Relationship Type="http://schemas.openxmlformats.org/officeDocument/2006/relationships/hyperlink" Id="rId95" Target="https://doi.org/10.48550/arXiv.2304.04661" TargetMode="External" /><Relationship Type="http://schemas.openxmlformats.org/officeDocument/2006/relationships/hyperlink" Id="rId137" Target="https://doi.org/10.48550/arXiv.2305.16092" TargetMode="External" /><Relationship Type="http://schemas.openxmlformats.org/officeDocument/2006/relationships/hyperlink" Id="rId119" Target="https://doi.org/10.48550/arXiv.2308.10828" TargetMode="External" /><Relationship Type="http://schemas.openxmlformats.org/officeDocument/2006/relationships/hyperlink" Id="rId121" Target="https://doi.org/10.48550/arXiv.2310.01796" TargetMode="External" /><Relationship Type="http://schemas.openxmlformats.org/officeDocument/2006/relationships/hyperlink" Id="rId163" Target="https://doi.org/10.48550/arXiv.2311.09032" TargetMode="External" /><Relationship Type="http://schemas.openxmlformats.org/officeDocument/2006/relationships/hyperlink" Id="rId93" Target="https://doi.org/10.48550/arXiv.2406.06975" TargetMode="External" /><Relationship Type="http://schemas.openxmlformats.org/officeDocument/2006/relationships/hyperlink" Id="rId123" Target="https://doi.org/10.48550/arXiv.2408.00440" TargetMode="External" /><Relationship Type="http://schemas.openxmlformats.org/officeDocument/2006/relationships/hyperlink" Id="rId153" Target="https://doi.org/10.48550/arXiv.2408.00803" TargetMode="External" /><Relationship Type="http://schemas.openxmlformats.org/officeDocument/2006/relationships/hyperlink" Id="rId179" Target="https://doi.org/10.48550/arXiv.2411.02267" TargetMode="External" /><Relationship Type="http://schemas.openxmlformats.org/officeDocument/2006/relationships/hyperlink" Id="rId139" Target="https://doi.org/10.5070/SR32157839" TargetMode="External" /><Relationship Type="http://schemas.openxmlformats.org/officeDocument/2006/relationships/hyperlink" Id="rId131" Target="https://doi.org/10.7544/issn1000-1239.2017.20151043" TargetMode="External" /><Relationship Type="http://schemas.openxmlformats.org/officeDocument/2006/relationships/hyperlink" Id="rId103" Target="https://doi.org/10.7544/issn1000-1239.2020.20190460" TargetMode="External" /><Relationship Type="http://schemas.openxmlformats.org/officeDocument/2006/relationships/hyperlink" Id="rId159" Target="https://doi.org/10.7544/issn1000-1239.2020.20190624" TargetMode="External" /><Relationship Type="http://schemas.openxmlformats.org/officeDocument/2006/relationships/hyperlink" Id="rId91" Target="https://doi.org/10.7544/issn1000-1239.2020.20190875" TargetMode="External" /><Relationship Type="http://schemas.openxmlformats.org/officeDocument/2006/relationships/hyperlink" Id="rId181" Target="https://doi.org/10.7544/issn1000-1239.202220490" TargetMode="External" /><Relationship Type="http://schemas.openxmlformats.org/officeDocument/2006/relationships/hyperlink" Id="rId157" Target="https://doi.org/10.7544/issn1000-1239.202330178" TargetMode="External" /><Relationship Type="http://schemas.openxmlformats.org/officeDocument/2006/relationships/hyperlink" Id="rId101" Target="https://doi.org/10.7544/issn1000-1239.202330543" TargetMode="External" /><Relationship Type="http://schemas.openxmlformats.org/officeDocument/2006/relationships/hyperlink" Id="rId81" Target="shihonglei0042@link.tyut.edu.cn" TargetMode="External" /><Relationship Type="http://schemas.openxmlformats.org/officeDocument/2006/relationships/hyperlink" Id="rId82" Target="zh_juanjuan@126.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2026-06-12T08:35:19Z</dcterms:created>
  <dcterms:modified xsi:type="dcterms:W3CDTF">2026-06-12T08:35:19Z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