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ブロックチェーン米国市場調査報告書"/>
    <w:p>
      <w:pPr>
        <w:pStyle w:val="Heading1"/>
      </w:pPr>
      <w:r>
        <w:t xml:space="preserve">ブロックチェーン米国市場調査　報告書</w:t>
      </w:r>
    </w:p>
    <w:bookmarkEnd w:id="21"/>
    <w:bookmarkStart w:id="22" w:name="この報告書について"/>
    <w:p>
      <w:pPr>
        <w:pStyle w:val="Heading2"/>
      </w:pPr>
      <w:r>
        <w:t xml:space="preserve">この報告書について</w:t>
      </w:r>
    </w:p>
    <w:bookmarkEnd w:id="22"/>
    <w:p>
      <w:r>
        <w:t xml:space="preserve">この報告書は、</w:t>
      </w:r>
    </w:p>
    <w:bookmarkStart w:id="23" w:name="iotaについての調査-10p"/>
    <w:p>
      <w:pPr>
        <w:pStyle w:val="Heading2"/>
      </w:pPr>
      <w:r>
        <w:t xml:space="preserve">IOTAについての調査 (10p)</w:t>
      </w:r>
    </w:p>
    <w:bookmarkEnd w:id="23"/>
    <w:bookmarkStart w:id="24" w:name="iotaプロジェクトの概要1p"/>
    <w:p>
      <w:pPr>
        <w:pStyle w:val="Heading3"/>
      </w:pPr>
      <w:r>
        <w:t xml:space="preserve">IOTAプロジェクトの概要（1p）</w:t>
      </w:r>
    </w:p>
    <w:bookmarkEnd w:id="24"/>
    <w:p>
      <w:pPr>
        <w:pStyle w:val="Compact"/>
        <w:numPr>
          <w:numId w:val="2"/>
          <w:ilvl w:val="0"/>
        </w:numPr>
      </w:pPr>
      <w:r>
        <w:t xml:space="preserve">Goal</w:t>
      </w:r>
    </w:p>
    <w:p>
      <w:pPr>
        <w:pStyle w:val="Compact"/>
        <w:numPr>
          <w:numId w:val="2"/>
          <w:ilvl w:val="0"/>
        </w:numPr>
      </w:pPr>
      <w:r>
        <w:t xml:space="preserve">Organization</w:t>
      </w:r>
    </w:p>
    <w:p>
      <w:pPr>
        <w:pStyle w:val="Compact"/>
        <w:numPr>
          <w:numId w:val="2"/>
          <w:ilvl w:val="0"/>
        </w:numPr>
      </w:pPr>
      <w:r>
        <w:t xml:space="preserve">ICO</w:t>
      </w:r>
    </w:p>
    <w:p>
      <w:pPr>
        <w:pStyle w:val="Compact"/>
        <w:numPr>
          <w:numId w:val="2"/>
          <w:ilvl w:val="0"/>
        </w:numPr>
      </w:pPr>
      <w:r>
        <w:t xml:space="preserve">Investors</w:t>
      </w:r>
    </w:p>
    <w:bookmarkStart w:id="25" w:name="iotaプロトコルの概要2p"/>
    <w:p>
      <w:pPr>
        <w:pStyle w:val="Heading3"/>
      </w:pPr>
      <w:r>
        <w:t xml:space="preserve">IOTAプロトコルの概要（2p）</w:t>
      </w:r>
    </w:p>
    <w:bookmarkEnd w:id="25"/>
    <w:p>
      <w:pPr>
        <w:pStyle w:val="Compact"/>
        <w:numPr>
          <w:numId w:val="3"/>
          <w:ilvl w:val="0"/>
        </w:numPr>
      </w:pPr>
      <w:r>
        <w:t xml:space="preserve">Tangle (DAG)</w:t>
      </w:r>
    </w:p>
    <w:p>
      <w:pPr>
        <w:pStyle w:val="Compact"/>
        <w:numPr>
          <w:numId w:val="3"/>
          <w:ilvl w:val="0"/>
        </w:numPr>
      </w:pPr>
      <w:r>
        <w:t xml:space="preserve">Curl Hash function</w:t>
      </w:r>
    </w:p>
    <w:p>
      <w:pPr>
        <w:pStyle w:val="Compact"/>
        <w:numPr>
          <w:numId w:val="3"/>
          <w:ilvl w:val="0"/>
        </w:numPr>
      </w:pPr>
      <w:r>
        <w:t xml:space="preserve">Current status of security evaluation on Tangle and DAG</w:t>
      </w:r>
    </w:p>
    <w:p>
      <w:pPr>
        <w:pStyle w:val="Compact"/>
        <w:numPr>
          <w:numId w:val="3"/>
          <w:ilvl w:val="0"/>
        </w:numPr>
      </w:pPr>
      <w:r>
        <w:t xml:space="preserve">evaluation of concept (if hash is good)</w:t>
      </w:r>
    </w:p>
    <w:bookmarkStart w:id="26" w:name="iotaプロジェクトについて指摘された問題点と対応経緯2p"/>
    <w:p>
      <w:pPr>
        <w:pStyle w:val="Heading3"/>
      </w:pPr>
      <w:r>
        <w:t xml:space="preserve">IOTAプロジェクトについて指摘された問題点と対応経緯（2p）</w:t>
      </w:r>
    </w:p>
    <w:bookmarkEnd w:id="26"/>
    <w:p>
      <w:pPr>
        <w:pStyle w:val="Compact"/>
        <w:numPr>
          <w:numId w:val="4"/>
          <w:ilvl w:val="0"/>
        </w:numPr>
      </w:pPr>
      <w:r>
        <w:t xml:space="preserve">Attack on Curl</w:t>
      </w:r>
    </w:p>
    <w:p>
      <w:pPr>
        <w:pStyle w:val="Compact"/>
        <w:numPr>
          <w:numId w:val="4"/>
          <w:ilvl w:val="0"/>
        </w:numPr>
      </w:pPr>
      <w:r>
        <w:t xml:space="preserve">Real attack demo</w:t>
      </w:r>
    </w:p>
    <w:p>
      <w:pPr>
        <w:pStyle w:val="Compact"/>
        <w:numPr>
          <w:numId w:val="4"/>
          <w:ilvl w:val="0"/>
        </w:numPr>
      </w:pPr>
      <w:r>
        <w:t xml:space="preserve">Timeline</w:t>
      </w:r>
    </w:p>
    <w:p>
      <w:pPr>
        <w:pStyle w:val="Compact"/>
        <w:numPr>
          <w:numId w:val="4"/>
          <w:ilvl w:val="0"/>
        </w:numPr>
      </w:pPr>
      <w:r>
        <w:t xml:space="preserve">Responsible Disclosure</w:t>
      </w:r>
    </w:p>
    <w:bookmarkStart w:id="27" w:name="iota財団の対応における組織的な問題点2p"/>
    <w:p>
      <w:pPr>
        <w:pStyle w:val="Heading3"/>
      </w:pPr>
      <w:r>
        <w:t xml:space="preserve">IOTA財団の対応における組織的な問題点（2p）</w:t>
      </w:r>
    </w:p>
    <w:bookmarkEnd w:id="27"/>
    <w:p>
      <w:pPr>
        <w:pStyle w:val="Compact"/>
        <w:numPr>
          <w:numId w:val="5"/>
          <w:ilvl w:val="0"/>
        </w:numPr>
      </w:pPr>
      <w:r>
        <w:t xml:space="preserve">Summary from tangle blog http://www.tangleblog.com/wp-content/uploads/2018/02/letters.pdf</w:t>
      </w:r>
    </w:p>
    <w:p>
      <w:pPr>
        <w:pStyle w:val="Compact"/>
        <w:numPr>
          <w:numId w:val="5"/>
          <w:ilvl w:val="0"/>
        </w:numPr>
      </w:pPr>
      <w:r>
        <w:t xml:space="preserve">https://thebitcoinnews.com/mit-criticizes-iota-gaping-hole-in-its-software-and-deceptive-marketing/</w:t>
      </w:r>
    </w:p>
    <w:p>
      <w:pPr>
        <w:pStyle w:val="Compact"/>
        <w:numPr>
          <w:numId w:val="5"/>
          <w:ilvl w:val="0"/>
        </w:numPr>
      </w:pPr>
      <w:r>
        <w:t xml:space="preserve">https://blog.iota.org/official-iota-foundation-response-to-the-digital-currency-initiative-at-the-mit-media-lab-part-1-72434583a2</w:t>
      </w:r>
    </w:p>
    <w:bookmarkStart w:id="28" w:name="iotaプロジェクトの現状1p"/>
    <w:p>
      <w:pPr>
        <w:pStyle w:val="Heading3"/>
      </w:pPr>
      <w:r>
        <w:t xml:space="preserve">IOTAプロジェクトの現状（1p）</w:t>
      </w:r>
    </w:p>
    <w:bookmarkEnd w:id="28"/>
    <w:p>
      <w:pPr>
        <w:pStyle w:val="Compact"/>
        <w:numPr>
          <w:numId w:val="6"/>
          <w:ilvl w:val="0"/>
        </w:numPr>
      </w:pPr>
      <w:r>
        <w:t xml:space="preserve">Current software</w:t>
      </w:r>
    </w:p>
    <w:p>
      <w:pPr>
        <w:pStyle w:val="Compact"/>
        <w:numPr>
          <w:numId w:val="6"/>
          <w:ilvl w:val="0"/>
        </w:numPr>
      </w:pPr>
      <w:r>
        <w:t xml:space="preserve">Development Roadmap</w:t>
      </w:r>
    </w:p>
    <w:bookmarkStart w:id="29" w:name="alternative-for-iot1p"/>
    <w:p>
      <w:pPr>
        <w:pStyle w:val="Heading3"/>
      </w:pPr>
      <w:r>
        <w:t xml:space="preserve">Alternative for IOT（1p）</w:t>
      </w:r>
    </w:p>
    <w:bookmarkEnd w:id="29"/>
    <w:p>
      <w:pPr>
        <w:pStyle w:val="Compact"/>
        <w:numPr>
          <w:numId w:val="7"/>
          <w:ilvl w:val="0"/>
        </w:numPr>
      </w:pPr>
      <w:r>
        <w:t xml:space="preserve">スケーラビリティ　機器数</w:t>
      </w:r>
    </w:p>
    <w:p>
      <w:pPr>
        <w:pStyle w:val="Compact"/>
        <w:numPr>
          <w:numId w:val="7"/>
          <w:ilvl w:val="0"/>
        </w:numPr>
      </w:pPr>
      <w:r>
        <w:t xml:space="preserve">サプライチェーン</w:t>
      </w:r>
    </w:p>
    <w:p>
      <w:pPr>
        <w:pStyle w:val="Compact"/>
        <w:numPr>
          <w:numId w:val="7"/>
          <w:ilvl w:val="0"/>
        </w:numPr>
      </w:pPr>
      <w:r>
        <w:t xml:space="preserve">トレーサビリティ</w:t>
      </w:r>
    </w:p>
    <w:p>
      <w:pPr>
        <w:pStyle w:val="Compact"/>
        <w:numPr>
          <w:numId w:val="7"/>
          <w:ilvl w:val="0"/>
        </w:numPr>
      </w:pPr>
      <w:r>
        <w:t xml:space="preserve">Single Point</w:t>
      </w:r>
    </w:p>
    <w:bookmarkStart w:id="30" w:name="iotaプロジェクトの新たな攻撃募集1p"/>
    <w:p>
      <w:pPr>
        <w:pStyle w:val="Heading3"/>
      </w:pPr>
      <w:r>
        <w:t xml:space="preserve">IOTAプロジェクトの新たな攻撃募集（1p）</w:t>
      </w:r>
    </w:p>
    <w:bookmarkEnd w:id="30"/>
    <w:p>
      <w:pPr>
        <w:pStyle w:val="Compact"/>
        <w:numPr>
          <w:numId w:val="8"/>
          <w:ilvl w:val="0"/>
        </w:numPr>
      </w:pPr>
      <w:r>
        <w:t xml:space="preserve">Call for attack to Troika http://blog.iota.org/678e741315e8 http://blog.iota.org/615d2d79001</w:t>
      </w:r>
    </w:p>
    <w:bookmarkStart w:id="31" w:name="標準化動向-5p"/>
    <w:p>
      <w:pPr>
        <w:pStyle w:val="Heading2"/>
      </w:pPr>
      <w:r>
        <w:t xml:space="preserve">標準化動向 (5p)</w:t>
      </w:r>
    </w:p>
    <w:bookmarkEnd w:id="31"/>
    <w:bookmarkStart w:id="32" w:name="iso-tc307の現状3p"/>
    <w:p>
      <w:pPr>
        <w:pStyle w:val="Heading3"/>
      </w:pPr>
      <w:r>
        <w:t xml:space="preserve">ISO TC307の現状（3p）</w:t>
      </w:r>
    </w:p>
    <w:bookmarkEnd w:id="32"/>
    <w:p>
      <w:r>
        <w:t xml:space="preserve">ISO TC307は、ISOにおいてブロックチェーンおよびDLT(分散台帳技術）の標準化を行う技術委員会であり、2017年の4月にシドニーで第1回目の国際会議が開催されて以来、東京（2017年11月）、ロンドン（2018年5月）、モスクワ（2018年11月）と計4回開催されている。 現在、TC307の組織は以下のように構成されている。</w:t>
      </w:r>
    </w:p>
    <w:p>
      <w:pPr>
        <w:pStyle w:val="Compact"/>
        <w:numPr>
          <w:numId w:val="9"/>
          <w:ilvl w:val="0"/>
        </w:numPr>
      </w:pPr>
      <w:r>
        <w:t xml:space="preserve">WG1: Foundations</w:t>
      </w:r>
    </w:p>
    <w:p>
      <w:pPr>
        <w:pStyle w:val="Compact"/>
        <w:numPr>
          <w:numId w:val="9"/>
          <w:ilvl w:val="0"/>
        </w:numPr>
      </w:pPr>
      <w:r>
        <w:t xml:space="preserve">WG2: Security, privacy and identity</w:t>
      </w:r>
    </w:p>
    <w:p>
      <w:pPr>
        <w:pStyle w:val="Compact"/>
        <w:numPr>
          <w:numId w:val="9"/>
          <w:ilvl w:val="0"/>
        </w:numPr>
      </w:pPr>
      <w:r>
        <w:t xml:space="preserve">WG3: Smart contracts and their applications</w:t>
      </w:r>
    </w:p>
    <w:p>
      <w:pPr>
        <w:pStyle w:val="Compact"/>
        <w:numPr>
          <w:numId w:val="9"/>
          <w:ilvl w:val="0"/>
        </w:numPr>
      </w:pPr>
      <w:r>
        <w:t xml:space="preserve">JWG4: Joint ISO/TC 307 - ISO/IEC JTC 1/SC 27 WG: Blockchain and distributed ledger technologies and IT Security techniques</w:t>
      </w:r>
    </w:p>
    <w:p>
      <w:pPr>
        <w:pStyle w:val="Compact"/>
        <w:numPr>
          <w:numId w:val="9"/>
          <w:ilvl w:val="0"/>
        </w:numPr>
      </w:pPr>
      <w:r>
        <w:t xml:space="preserve">WG5: Governance</w:t>
      </w:r>
    </w:p>
    <w:p>
      <w:pPr>
        <w:pStyle w:val="Compact"/>
        <w:numPr>
          <w:numId w:val="9"/>
          <w:ilvl w:val="0"/>
        </w:numPr>
      </w:pPr>
      <w:r>
        <w:t xml:space="preserve">SG2: Use Cases</w:t>
      </w:r>
    </w:p>
    <w:p>
      <w:pPr>
        <w:pStyle w:val="Compact"/>
        <w:numPr>
          <w:numId w:val="9"/>
          <w:ilvl w:val="0"/>
        </w:numPr>
      </w:pPr>
      <w:r>
        <w:t xml:space="preserve">SG7: Interoperability of blockchain and distributed ledger technology systems</w:t>
      </w:r>
    </w:p>
    <w:bookmarkStart w:id="33" w:name="current-stats-of-documents"/>
    <w:p>
      <w:pPr>
        <w:pStyle w:val="Heading2"/>
      </w:pPr>
      <w:r>
        <w:t xml:space="preserve">Current stats of documents</w:t>
      </w:r>
    </w:p>
    <w:bookmarkEnd w:id="33"/>
    <w:bookmarkStart w:id="34" w:name="future-plan-and-schedule"/>
    <w:p>
      <w:pPr>
        <w:pStyle w:val="Heading2"/>
      </w:pPr>
      <w:r>
        <w:t xml:space="preserve">Future plan and schedule</w:t>
      </w:r>
    </w:p>
    <w:bookmarkEnd w:id="34"/>
    <w:bookmarkStart w:id="35" w:name="日本国内での取り組み1p"/>
    <w:p>
      <w:pPr>
        <w:pStyle w:val="Heading3"/>
      </w:pPr>
      <w:r>
        <w:t xml:space="preserve">日本国内での取り組み（1p）</w:t>
      </w:r>
    </w:p>
    <w:bookmarkEnd w:id="35"/>
    <w:bookmarkStart w:id="36" w:name="cgtf-cryptoasset-governance-task-force"/>
    <w:p>
      <w:pPr>
        <w:pStyle w:val="Heading4"/>
      </w:pPr>
      <w:r>
        <w:t xml:space="preserve">CGTF (Cryptoasset Governance Task Force)</w:t>
      </w:r>
    </w:p>
    <w:bookmarkEnd w:id="36"/>
    <w:p>
      <w:r>
        <w:t xml:space="preserve">コインチェックによる暗号資産の流出事件が2018年1月に発生したことを契機に、仮想通貨交換取引所のセキュリティ確保とガバナンスの確立が急務となった。これを受けて、日本のセキュリティ専門家と一部のブロックチェーン事業者の有志で、任意団体VCGTF（Virtual Currency Governance Task Force）が設立された。その後、金融庁の研究会において、仮想通貨の代わりに暗号通貨という新しい呼称を用いる方針となったため、この任意団体の名称はCGTF（Cryptoasset Governance Task Force）に変更となった。金融庁は、仮想通貨交換取引所について、業界団体などによる自主規制を行う方針を取っている。一方で、仮想通貨交換取引所、およびブロックチェーン事業者としての業界団体が複数設立され、自主規制団体としてまとまった意思決定や行動ができる状態になっておらず、公式な自主規制の方針や基準ができないまま、コインチェックによる事件が発生した。公式な自主規制団体の設立と自主規制基準の作成が遅れたことが、仮想通貨交換取引所におけるインシデントの発生の可能性を高めたとも言える。</w:t>
      </w:r>
    </w:p>
    <w:p>
      <w:r>
        <w:t xml:space="preserve">そのため、VCGTFが設立された当初は自主規制団体が存在しなかったが、将来、自主規制団体が設立されることを想定して、自主規制団体におけるセキュリティの基準として参照される文書を作成すること、必要によっては金融庁などに直接参照される文書を作成することがCGTFの目標である。</w:t>
      </w:r>
    </w:p>
    <w:p>
      <w:r>
        <w:t xml:space="preserve">CGTFでは、主に仮想通貨交換取引所が、ISMS（ISO/IEC 27000シリーズ）に準拠したセキュリティマネジメントプロセスを実施することができるように、同標準に基づいたセキュリティ確保のためのプラクティスを記述した文書を作成している。その他に、暗号資産に関わる用語の定義を行う文書を作成している。</w:t>
      </w:r>
    </w:p>
    <w:p>
      <w:pPr>
        <w:numPr>
          <w:numId w:val="10"/>
          <w:ilvl w:val="0"/>
        </w:numPr>
      </w:pPr>
      <w:r>
        <w:t xml:space="preserve">仮想通貨交換所のセキュリティ対策についての考え方</w:t>
      </w:r>
    </w:p>
    <w:p>
      <w:r>
        <w:t xml:space="preserve">CGTFの詳細について、</w:t>
      </w:r>
      <w:hyperlink r:id="rId37">
        <w:r>
          <w:rPr>
            <w:rStyle w:val="Link"/>
          </w:rPr>
          <w:t xml:space="preserve">https://vcgtf.github.io</w:t>
        </w:r>
      </w:hyperlink>
      <w:r>
        <w:t xml:space="preserve"> </w:t>
      </w:r>
      <w:r>
        <w:t xml:space="preserve">から参照することができる。</w:t>
      </w:r>
    </w:p>
    <w:p>
      <w:pPr>
        <w:pStyle w:val="Compact"/>
        <w:numPr>
          <w:numId w:val="11"/>
          <w:ilvl w:val="0"/>
        </w:numPr>
      </w:pPr>
      <w:r>
        <w:t xml:space="preserve">Relationship to JVCEA</w:t>
      </w:r>
    </w:p>
    <w:bookmarkStart w:id="38" w:name="その他の動向1p"/>
    <w:p>
      <w:pPr>
        <w:pStyle w:val="Heading3"/>
      </w:pPr>
      <w:r>
        <w:t xml:space="preserve">その他の動向（1p）</w:t>
      </w:r>
    </w:p>
    <w:bookmarkEnd w:id="38"/>
    <w:bookmarkStart w:id="39" w:name="標準化団体"/>
    <w:p>
      <w:pPr>
        <w:pStyle w:val="Heading4"/>
      </w:pPr>
      <w:r>
        <w:t xml:space="preserve">標準化団体</w:t>
      </w:r>
    </w:p>
    <w:bookmarkEnd w:id="39"/>
    <w:p>
      <w:pPr>
        <w:pStyle w:val="Compact"/>
        <w:numPr>
          <w:numId w:val="12"/>
          <w:ilvl w:val="0"/>
        </w:numPr>
      </w:pPr>
      <w:r>
        <w:t xml:space="preserve">ITU-T</w:t>
      </w:r>
    </w:p>
    <w:p>
      <w:pPr>
        <w:pStyle w:val="Compact"/>
        <w:numPr>
          <w:numId w:val="12"/>
          <w:ilvl w:val="0"/>
        </w:numPr>
      </w:pPr>
      <w:r>
        <w:t xml:space="preserve">IETF</w:t>
      </w:r>
    </w:p>
    <w:p>
      <w:pPr>
        <w:pStyle w:val="Compact"/>
        <w:numPr>
          <w:numId w:val="12"/>
          <w:ilvl w:val="0"/>
        </w:numPr>
      </w:pPr>
      <w:r>
        <w:t xml:space="preserve">W3C</w:t>
      </w:r>
    </w:p>
    <w:bookmarkStart w:id="40" w:name="学術会議"/>
    <w:p>
      <w:pPr>
        <w:pStyle w:val="Heading4"/>
      </w:pPr>
      <w:r>
        <w:t xml:space="preserve">学術会議</w:t>
      </w:r>
    </w:p>
    <w:bookmarkEnd w:id="40"/>
    <w:p>
      <w:pPr>
        <w:pStyle w:val="Compact"/>
        <w:numPr>
          <w:numId w:val="13"/>
          <w:ilvl w:val="0"/>
        </w:numPr>
      </w:pPr>
      <w:r>
        <w:t xml:space="preserve">FC</w:t>
      </w:r>
    </w:p>
    <w:p>
      <w:pPr>
        <w:pStyle w:val="Compact"/>
        <w:numPr>
          <w:numId w:val="13"/>
          <w:ilvl w:val="0"/>
        </w:numPr>
      </w:pPr>
      <w:r>
        <w:t xml:space="preserve">Scaling Bitcoin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6071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4bc4b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vcgtf.github.io" TargetMode="External" /></Relationships>
</file>

<file path=word/_rels/footnotes.xml.rels><?xml version="1.0" encoding="UTF-8"?>
<Relationships xmlns="http://schemas.openxmlformats.org/package/2006/relationships"><Relationship Type="http://schemas.openxmlformats.org/officeDocument/2006/relationships/hyperlink" Id="rId37" Target="https://vcgtf.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