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Bogunović H, Kwon YH, Rashid A, et al (2014) Relationships of retinal structure and humphrey 24-2 visual field thresholds in patients with glaucoma. Invest Ophthalmol Vis Sci 56:259–271. doi: 10.1167/iovs.14-15885</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Curcio CA, Messinger JD, Sloan KR, et al (2011) Human chorioretinal layer thicknesses measured in macula-wide, high-resolution histologic sections. Invest Ophthalmol Vis Sci 52:3943–3954. doi: 10.1167/iovs.10-6377</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Drasdo N, Millican CL, Katholi CR, Curcio CA (2007) The length of Henle fibers in the human retina and a model of ganglion receptive field density in the visual field. Vision Res 47:2901–2911. doi: 10.1016/j.visres.2007.01.007</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Esporcatte BLB, Kara-José AC, Melo LAS Jr, et al (2017) The Estimates of Retinal Ganglion Cell Counts Performed Better than Isolated Structure and Functional Tests for Glaucoma Diagnosis. J Ophthalmol 2017:2724312. doi: 10.1155/2017/2724312</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Gardiner SK, Johnson CA, Cioffi GA (2005) Evaluation of the structure-function relationship in glaucoma. Invest Ophthalmol Vis Sci 46:3712–3717. doi: 10.1167/iovs.05-0266</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Guo Z, Kwon YH, Lee K, et al (2017) Optical Coherence Tomography Analysis Based Prediction of Humphrey 24-2 Visual Field Thresholds in Patients With GlaucomaOCT Based Prediction of Visual Fields. Invest Ophthalmol Vis Sci 58:3975–3985. doi: 10.1167/iovs.17-21832</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Guy S (2012) Structure and function combined is best for detecting, discriminating glaucoma. Shellfish News 1:1071. doi: 10.1007/s40014-012-1071-6</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Harwerth RS, Wheat JL, Fredette MJ, Anderson DR (2010) Linking structure and function in glaucoma. Prog Retin Eye Res 29:249–271. doi: 10.1016/j.preteyeres.2010.02.001</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Hood DC (2017) Improving our understanding, and detection, of glaucomatous damage: An approach based upon optical coherence tomography (OCT). Prog Retin Eye Res 57:46–75. doi: 10.1016/j.preteyeres.2016.12.002</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Hood DC, Anderson SC, Wall M, Kardon RH (2007) Structure versus function in glaucoma: an application of a linear model. Invest Ophthalmol Vis Sci 48:3662–3668. doi: 10.1167/iovs.06-1401</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Hood DC, Raza AS, de Moraes CGV, et al (2013) Glaucomatous damage of the macula. Prog Retin Eye Res 32:1–21. doi: 10.1016/j.preteyeres.2012.08.003</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Hood DC, Raza AS, de Moraes CGV, et al (2011) Initial arcuate defects within the central 10 degrees in glaucoma. Invest Ophthalmol Vis Sci 52:940–946. doi: 10.1167/iovs.10-5803</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Kim NR, Lee ES, Seong GJ, et al (2010) Structure–Function Relationship and Diagnostic Value of Macular Ganglion Cell Complex Measurement Using Fourier-Domain OCT in Glaucoma. Invest Ophthalmol Vis Sci 51:4646–4651. doi: 10.1167/iovs.09-5053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Kuang TT-M, Lisboa R, Tatham A, et al (2013) Continuous Likelihood Ratios for Glaucoma Diagnosis Using the Combined Index of Structure and Function. Invest Ophthalmol Vis Sci 54:2295–2295</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Leite MT, Zangwill LM, Weinreb RN, et al (2012) Structure-function relationships using the Cirrus spectral domain optical coherence tomograph and standard automated perimetry. J Glaucoma 21:49–54. doi: 10.1097/IJG.0b013e31822af27a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Lisboa R, Weinreb RN, Medeiros FA (2013) Combining structure and function to evaluate glaucomatous progression: implications for the design of clinical trials. Curr Opin Pharmacol 13:115–122. doi: 10.1016/j.coph.2012.10.010</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Malik R, Swanson WH, Garway-Heath DF (2012) “Structure--function relationship”in glaucoma: past thinking and current concepts. Clin Experiment Ophthalmol 40:369–380</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Medeiros FA, Lisboa R, Weinreb RN, et al (2012) A combined index of structure and function for staging glaucomatous damage. Arch Ophthalmol 130:1107–1116. doi: 10.1001/archophthalmol.2012.827</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Meira-Freitas D, Lisboa R, Tatham A, et al (2013) Predicting Progression in Glaucoma Suspects With Longitudinal Estimates of Retinal Ganglion Cell CountsPredicting Progression With RGC Counts. Invest Ophthalmol Vis Sci 54:4174–4183. doi: 10.1167/iovs.12-11301</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Moura AL de A, Raza AS, Lazow MA, et al (2012) Retinal ganglion cell and inner plexiform layer thickness measurements in regions of severe visual field sensitivity loss in patients with glaucoma. Eye 26:1188–1193. doi: 10.1038/eye.2012.110</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Nakanishi H, Akagi T, Suda K, et al (2016) Clustering of combined 24-2 and 10-2 visual field grids and their relationship with circumpapillary retinal nerve fiber layer thickness. Invest Ophthalmol Vis Sci 57:3203–3210. doi: 10.1167/iovs.15-18798</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Nilforushan N, Nassiri N, Moghimi S, et al (2012) Structure-Function Relationships between Spectral-Domain OCT and Standard Achromatic Perimetry. Invest Ophthalmol Vis Sci. doi: 10.1167/iovs.11-8320</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Rao HL, Zangwill LM, Weinreb RN, et al (2011) Structure-function relationship in glaucoma using spectral-domain optical coherence tomography. Arch Ophthalmol 129:864–871. doi: 10.1001/archophthalmol.2011.145</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Raza AS, Hood DC (2015a) Evaluation of the Structure–Function Relationship in Glaucoma Using a Novel Method for Estimating the Number of Retinal Ganglion Cells in the Human Retina. Invest Ophthalmol Vis Sci 56:5548–5556. doi: 10.1167/iovs.14-16366</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Raza AS, Hood DC (2015b) Evaluation of the Structure--Function Relationship in Glaucoma Using a Novel Method for Estimating the Number of Retinal Ganglion Cells in the Human Retina. A Novel Method for Estimating RGCs. Invest Ophthalmol Vis Sci 56:5548–5556</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Raza AS, Hood DC (2015c) Evaluation of a Method for Estimating Retinal Ganglion Cell Counts Using Visual Fields and Optical Coherence Tomography. Invest Ophthalmol Vis Sci 56:2254–2268. doi: 10.1167/iovs.14-15952</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Strouthidis NG, Vinciotti V, Tucker AJ, et al (2006) Structure and function in glaucoma: The relationship between a functional visual field map and an anatomic retinal map. Invest Ophthalmol Vis Sci 47:5356–5362. doi: 10.1167/iovs.05-1660</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Tatham AJ, Meira-Freitas D, Weinreb RN, et al (2014a) Estimation of Retinal Ganglion Cell Loss in Glaucomatous Eyes With a Relative Afferent Pupillary DefectRetinal Ganglion Cell Loss Associated With an RAPD. Invest Ophthalmol Vis Sci 55:513–522. doi: 10.1167/iovs.13-12921</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Tatham AJ, Weinreb RN, Medeiros FA (2014b) Strategies for improving early detection of glaucoma: the combined structure-function index. Clin Ophthalmol 8:611–621. doi: 10.2147/OPTH.S44586</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Wheat JL, Rangaswamy NV, Harwerth RS (2012) Correlating RNFL thickness by OCT with perimetric sensitivity in glaucoma patients. J Glaucoma 21:95–101. doi: 10.1097/IJG.0b013e31820bcfbe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Wollstein G, Kagemann L, Bilonick RA, et al (2012) Retinal nerve fibre layer and visual function loss in glaucoma: the tipping point. Br J Ophthalmol 96:47–52. doi: 10.1136/bjo.2010.196907</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Zhang C, Tatham AJ, Weinreb RN, et al (2014) Relationship between ganglion cell layer thickness and estimated retinal ganglion cell counts in the glaucomatous macula. Ophthalmology 121:2371–2379. doi: 10.1016/j.ophtha.2014.06.047</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Zhu H, Crabb DP, Schlottmann PG, et al (2010) Predicting visual function from the measurements of retinal nerve fiber layer structure. Invest Ophthalmol Vis Sci 51:5657–5666. doi: 10.1167/iovs.10-5239</w:t>
      </w:r>
    </w:p>
    <w:sectPr>
      <w:pgSz w:h="15840" w:w="12240"/>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