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实验 2：陷入与中断——系统调用机制与中断驱动控制台（第 4–5 周）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本实验是后续一切（内存管理、进程切换、多核调度、文件系统）的坚实地基：操作系统中几乎每一个后期的深层 bug 都会以中断或异常（trap）的形式暴露，你现在写下的这套机制将支撑整个学期的运行。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动手前请把设计笔记想清楚，本轮是在你自己的代码树上完整构建中断分发与系统调用框架。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0. 开始之前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预计耗时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：设计 5h / 测试 4h / 实现 10h（包含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状态保存、中断分发以及控制台驱动的端到端自主设计）。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阅读路线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（动手前，约 4h）：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book《Traps and system calls》全章——本实验的核心参考教材；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book《Interrupts and device drivers》全章——控制台驱动与 UART 中断机制；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对照精读增量包内的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kernel/trampoline.S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</w:t>
      </w:r>
      <w:r>
        <w:rPr>
          <w:rFonts w:ascii="Century Schoolbook" w:hAnsi="Century Schoolbook" w:eastAsia="宋体" w:cs="Century Schoolbook"/>
          <w:b/>
          <w:i w:val="0"/>
          <w:sz w:val="21"/>
        </w:rPr>
        <w:t>预置 · 不可改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，只需读懂其切换逻辑）：先看顶层标号与注释，再看寄存器搬运与模式切换；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查阅 UART 16550 数据手册关键寄存器表（特别是接收中断使能与线路状态）；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结合公开参考实现中的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kernel/trap.c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kernel/syscall.c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理解控制流分发（注意：你的缓冲语义和个性化参数需要独立实现）。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1. 实验目标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全面掌握用户态 </w:t>
      </w:r>
      <w:r>
        <w:rPr>
          <w:rFonts w:ascii="Century Schoolbook" w:hAnsi="Century Schoolbook" w:eastAsia="宋体" w:cs="Century Schoolbook"/>
          <w:b w:val="0"/>
          <w:i/>
          <w:sz w:val="21"/>
        </w:rPr>
        <w:t>≤ftrightarrow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内核态控制权安全转移的全链路机制：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结构、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切换、以及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指令恢复现场；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深入理解特权级切换时现场信息"由谁保存、保存在哪里、何时恢复、如何隔离"；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实现系统调用参数提取、错误码传播机制、以及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寄存器前移（+4）语义；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将实验 1 的轮询控制台升级为中断驱动接收 ＋ 环形输入缓冲区，最终在 QEMU 中启动并交互运行用户 Shell。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2. 本轮增量包（构建内核新子系统）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增量包（文件名含版本号与日期，如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lab2-v1-20260907.zip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）包含：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能力目标与接口约定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entury Schoolbook" w:hAnsi="Century Schoolbook" w:eastAsia="宋体" w:cs="Century Schoolbook"/>
          <w:b/>
          <w:i w:val="0"/>
          <w:sz w:val="21"/>
        </w:rPr>
        <w:t>系统预置文件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entury Schoolbook" w:hAnsi="Century Schoolbook" w:eastAsia="宋体" w:cs="Century Schoolbook"/>
          <w:b/>
          <w:i w:val="0"/>
          <w:sz w:val="21"/>
        </w:rPr>
        <w:t>支撑模块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合并说明。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系统预置文件清单（不可改动，协议与环境规范）：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kernel/trampoline.S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：特权级切换中转站跳板代码；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user/usys.pl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：用户态系统调用桩函数自动生成脚本；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用户态基础头文件与库函数：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ulib.c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syscall.h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stat.h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fcntl.h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vm.h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param.h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最小用户态程序：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sh.c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hi.c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spin.c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user/user.ld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：用户程序链接脚本；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Makefile.upgrade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：用户程序自动化打包工具。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核心接口规范：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系统调用 ABI 约定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a7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传递系统调用号，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a0–a2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传递参数，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存放返回值；遇到未定义系统调用必须返回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，严禁触发内核 panic；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内嵌二进制程序表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：当前阶段尚未构建文件系统，程序通过内嵌表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_uprog_table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加载；每项格式为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{u64 start; u64 end; char name[]}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（按 8 字节对齐）；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Makefile.upgrade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会自动将编译好的用户程序链接内嵌进内核镜像；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运行验证要求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引导后，系统应能正常呈现 Shell 提示符并响应键盘输入。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你需要自主设计构建的核心组件：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用户中断与异常分发入口（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usertrap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系统调用分发器与参数提取接口（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argint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argaddr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等）；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中断驱动的控制台输入环形缓冲区（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consoleintr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生产者与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consoleread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消费者）；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极简单进程生命周期支持（能够启动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，并由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加载运行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hi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spin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/>
          <w:sz w:val="21"/>
        </w:rPr>
        <w:t>本轮允许采用基础简化调度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（处理完中断后直接通过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返回当前进程，完整的多任务调度器将在 lab4 中实现）。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设计笔记引导问题（课前思考题）：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通用寄存器分类保存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：RISC-V 的 31 个通用寄存器中，哪些必须压入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？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栈指针与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sscratch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寄存器的"角色互换"技巧解决了什么棘手问题？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ecall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指令的硬件行为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：硬件自动做了哪三件事？它没有做哪两件事（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为何不自动 +4？为何不自动切栈并保存寄存器？）？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stvec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为什么必须设置两套向量地址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？分别在什么时刻进行切换？若切换顺序颠倒会产生什么灾难？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环形缓冲并发同步协议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：中断上下文（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consoleintr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，生产者）与进程上下文（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consoleread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，消费者）之间采用何种锁保护？缓冲区已满或为空时各自在何处睡眠/阻塞？由谁唤醒？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关于虚拟内存的暂时代价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：在尚未实现页表前，U 态程序直接在物理内存中运行，用户传递的指针可以直接解引用。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请在设计笔记中明确记录当前"无地址空间隔离"的阶段性简化实现，这一部分将在 lab3 中重构成真正的虚拟内存保护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3. 个性化参数（按学号注入）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1795"/>
            <w:vAlign w:val="center"/>
            <w:tcW w:w="1794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参数项</w:t>
            </w:r>
          </w:p>
        </w:tc>
        <w:tc>
          <w:tcPr>
            <w:tcW w:type="dxa" w:w="2045"/>
            <w:vAlign w:val="center"/>
            <w:tcW w:w="2044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参数宏与计算公式</w:t>
            </w:r>
          </w:p>
        </w:tc>
        <w:tc>
          <w:tcPr>
            <w:tcW w:type="dxa" w:w="4551"/>
            <w:vAlign w:val="center"/>
            <w:tcW w:w="4550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规范说明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W w:w="17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时钟中断间隔</w:t>
            </w:r>
          </w:p>
        </w:tc>
        <w:tc>
          <w:tcPr>
            <w:tcW w:type="dxa" w:w="2045"/>
            <w:vAlign w:val="center"/>
            <w:tcW w:w="204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LAB2_TICK</w:t>
            </w:r>
          </w:p>
        </w:tc>
        <w:tc>
          <w:tcPr>
            <w:tcW w:type="dxa" w:w="4551"/>
            <w:vAlign w:val="center"/>
            <w:tcW w:w="455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/>
                <w:sz w:val="18"/>
              </w:rPr>
              <w:t>1 + 学号 % 3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个基本周期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W w:w="17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输入缓冲区语义</w:t>
            </w:r>
          </w:p>
        </w:tc>
        <w:tc>
          <w:tcPr>
            <w:tcW w:type="dxa" w:w="2045"/>
            <w:vAlign w:val="center"/>
            <w:tcW w:w="204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LAB2_BUF_SEMANTICS</w:t>
            </w:r>
          </w:p>
        </w:tc>
        <w:tc>
          <w:tcPr>
            <w:tcW w:type="dxa" w:w="4551"/>
            <w:vAlign w:val="center"/>
            <w:tcW w:w="455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0 = 行缓冲模式（遇到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\n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回车符才唤醒等待的读进程）；1 = 纯字符流模式（每个字符到达均立即唤醒）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W w:w="17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输入缓冲区容量</w:t>
            </w:r>
          </w:p>
        </w:tc>
        <w:tc>
          <w:tcPr>
            <w:tcW w:type="dxa" w:w="2045"/>
            <w:vAlign w:val="center"/>
            <w:tcW w:w="204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LAB2_BUF_SIZE</w:t>
            </w:r>
          </w:p>
        </w:tc>
        <w:tc>
          <w:tcPr>
            <w:tcW w:type="dxa" w:w="4551"/>
            <w:vAlign w:val="center"/>
            <w:tcW w:w="455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/>
                <w:sz w:val="18"/>
              </w:rPr>
              <w:t>32 × (1 + 学号 % 4)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字节</w:t>
            </w:r>
          </w:p>
        </w:tc>
      </w:tr>
      <w:tblGrid>
        <w:gridCol w:w="1794"/>
        <w:gridCol w:w="2044"/>
        <w:gridCol w:w="4550"/>
      </w:tblGrid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4. 实践里程碑与自检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设计笔记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：绘制完整的 Trap 状态转移全景图（从用户态通过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ecall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进入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trampoline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、转存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trapframe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、执行内核逻辑，再原路通过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返回）；梳理输入环形缓冲区状态转换表。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测试驱动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验证系统调用非法调用号返回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启动交互式 Shell，运行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hi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输出问候语，运行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spin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验证中断可正常打断耗时计算；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针对个人缓冲区语义，编写高频连续输入测试，验证不丢失字符且无死锁。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早期回归自检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：验证启动时 lab1 的串口个性化 Banner 依然能完整打印输出。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版本归档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：打标签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tag lab2-submit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并导出归档包。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5. 现场验收规程（五档，5–8 分钟）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功能演示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启动系统并进入 Shell，连续执行 Shell 命令交互；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现场调用不存在的系统调用号，验证优雅返回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必查回归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：重启确认 lab1 的启动 Banner 输出通道依然畅通。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三题问答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机理题（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ecall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的硬件行为细节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sepc + 4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的本质原因）；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个性化题（现场指出个人缓冲区容量宏，解释行缓冲或流缓冲的唤醒分支逻辑；提问：若将缓冲区大小改为 8 字节会出现何种现象）；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定位题（在你的源码中指出中断向量切换以及系统调用分发所在的具体行号）。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核心通过线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：Shell 成功交互，系统调用错误码处理规范。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6. 明确设计边界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本实验不强制要求真正的多进程轮转调度（lab4 才会引入完整的上下文切换循环与进程队列）；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本轮用户程序由内核直接从内存内嵌表中加载，不涉及磁盘与文件系统（文件系统是 lab6 的核心内容）；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本实验可运行在单核模式（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-smp 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），多核环境下的互斥锁安全在 lab4 统一演进。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