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实验 1：启动与串口输出——从空白点亮控制台（第 2–3 周）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任务规模刻意最小：理解门槛高，代码量小，适合熟悉完整的工程实践与实验流程。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基线即本轮全部内容——没有额外增量包。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动手前请把设计笔记（课前思考题）想清楚，验收问答将从中取材。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0. 开始之前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预计耗时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：设计 4h / 测试 3h / 实现 5h。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超时预警：设计阶段超过 6h 仍写不出特权级切换清单，说明阅读路线没有走完，先回阅读材料，不要盲目编写代码。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阅读路线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（动手前按序完成，约 3h）：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xv6 book《Operating system organization》一章——系统全景结构与组织方式；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xv6 book《Page tables》开头部分（物理内存与第一个地址空间）——启动早期页表的角色；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RISC-V 特权级规范：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mstatus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satp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四个小节（查阅规范本身是本实验的核心训练，建议查阅官方 PDF，不看二手转述）；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GNU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ld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链接器手册中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MEMORY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SECTIONS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语法——链接脚本怎么读；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对照参考实现中的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kernel/start.c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源码阅读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——注意接口以基线预置文件为准。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1. 实验目标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深入理解 RISC-V 从上电到 C 语言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main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函数运行前的每一步（由你亲自决定执行顺序与前置条件）；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掌握链接地址与加载地址的本质差异、M 态到 S 态的特权级切换义务、以及早期页表的角色；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自主实现裸机轮询式 UART 输出与最小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格式化打印；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全流程建立 Git 工程规范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（见 §6）。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2. 基线与系统预置文件（本轮起点）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你拿到的是</w:t>
      </w:r>
      <w:r>
        <w:rPr>
          <w:rFonts w:ascii="Century Schoolbook" w:hAnsi="Century Schoolbook" w:eastAsia="宋体" w:cs="Century Schoolbook"/>
          <w:b/>
          <w:i w:val="0"/>
          <w:sz w:val="21"/>
        </w:rPr>
        <w:t>你自己学号的专属基线工程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（全学期唯一一次按学号独立分发）：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797"/>
        <w:gridCol w:w="2797"/>
        <w:gridCol w:w="2797"/>
      </w:tblGrid>
      <w:tr>
        <w:trPr>
          <w:cantSplit/>
          <w:tblHeader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文件路径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性质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kernel/kernel.ld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链接脚本，划定代码段、数据段与 0x80000000 边界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kernel/riscv.h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寄存器读写宏定义（系统架构规范）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kernel/types.h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基础数据类型定义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kernel/memlayout.h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QEMU virt 虚拟硬件地址映射（设备硬件规范）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Makefile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可扩展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固定编译目标；新增 C 源文件自行在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OBJS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中追加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kernel/course_sid.h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＋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我的参数.txt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你的 15 项参数宏与派生公式</w:t>
            </w:r>
          </w:p>
        </w:tc>
      </w:tr>
      <w:tr>
        <w:trPr>
          <w:cantSplit/>
        </w:trPr>
        <w:tc>
          <w:tcPr>
            <w:tcW w:type="dxa" w:w="3275"/>
            <w:vAlign w:val="center"/>
            <w:tcW w:w="327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kernel/entry.S / start.c / console.c / printf.c / main.c</w:t>
            </w:r>
          </w:p>
        </w:tc>
        <w:tc>
          <w:tcPr>
            <w:tcW w:type="dxa" w:w="1866"/>
            <w:vAlign w:val="center"/>
            <w:tcW w:w="1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空白文件</w:t>
            </w:r>
          </w:p>
        </w:tc>
        <w:tc>
          <w:tcPr>
            <w:tcW w:type="dxa" w:w="3249"/>
            <w:vAlign w:val="center"/>
            <w:tcW w:w="324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本实验由你从零自主实现</w:t>
            </w:r>
          </w:p>
        </w:tc>
      </w:tr>
      <w:tblGrid>
        <w:gridCol w:w="3275"/>
        <w:gridCol w:w="1866"/>
        <w:gridCol w:w="3249"/>
      </w:tblGrid>
    </w:tbl>
    <w:p>
      <w:pPr>
        <w:spacing w:before="0" w:after="80"/>
      </w:pP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你的设计笔记必须回答的核心问题（思考题）：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上电后 PC=0x1000，QEMU 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-bios none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意味着什么？内核为何必须链接到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0x80000000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而非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entry.S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里每条指令的存在理由：为什么第一步要关中断？初始内核栈设在哪里、分配多大、为什么？为什么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mhartid != 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的从核必须进入自旋等待（park）？陷阱向量基址寄存器（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）的写入值有什么对齐要求？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进入 S 态前必须完成的配置清单：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mstatus.MIE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状态、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目标、中断委托（delegation）、以及 </w:t>
      </w:r>
      <w:r>
        <w:rPr>
          <w:rFonts w:ascii="Century Schoolbook" w:hAnsi="Century Schoolbook" w:eastAsia="宋体" w:cs="Century Schoolbook"/>
          <w:b/>
          <w:i w:val="0"/>
          <w:sz w:val="21"/>
        </w:rPr>
        <w:t>PMP 物理内存保护配置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（见下方必读环境前置条件）。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启动阶段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satp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寄存器选择"直接禁用（Bare 模式）"还是"恒等映射"？给出你的设计决策与论证。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UART 16550 轮询输出协议：涉及哪些寄存器、哪个状态标志位、在什么条件下才能向发送保持寄存器写字符？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❗ 重要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环境前置条件（必读，否则必然全黑屏）</w:t>
      </w:r>
      <w:r>
        <w:rPr>
          <w:rFonts w:ascii="Century Schoolbook" w:hAnsi="Century Schoolbook" w:eastAsia="宋体" w:cs="Century Schoolbook"/>
          <w:b/>
          <w:i w:val="0"/>
          <w:sz w:val="21"/>
        </w:rPr>
        <w:t>：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现代 QEMU 环境要求 </w:t>
      </w:r>
      <w:r>
        <w:rPr>
          <w:rFonts w:ascii="Century Schoolbook" w:hAnsi="Century Schoolbook" w:eastAsia="楷体" w:cs="Century Schoolbook"/>
          <w:b/>
          <w:i w:val="0"/>
          <w:sz w:val="21"/>
        </w:rPr>
        <w:t>S 态与 U 态的访存（含取指令）必须显式落在 PMP 授权物理区域内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。若未授权，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mret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降入 S 态执行的第一条指令就会立刻触发 instruction access fault（症状表现为：无任何输出，且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日志首行即为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cause=1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）。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因此，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start()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的 M→S 清单必须包含以下 PMP 授权配置（允许直接使用，但设计笔记需解释每个字段涵义）：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w_pmpaddr0(0x3fffffffffffffull);  // NAPOT: 覆盖全部物理地址空间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w_pmpcfg0(0xf);                   // A=NAPOT, R=W=X=1, L=0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3. 个性化参数（按学号注入）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UART 硬件基地址全班统一为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0x10000000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（QEMU virt 规范）。个性化体现在</w:t>
      </w:r>
      <w:r>
        <w:rPr>
          <w:rFonts w:ascii="Century Schoolbook" w:hAnsi="Century Schoolbook" w:eastAsia="宋体" w:cs="Century Schoolbook"/>
          <w:b/>
          <w:i w:val="0"/>
          <w:sz w:val="21"/>
        </w:rPr>
        <w:t>输出协议层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，验收脚本将根据学号进行精准校验：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797"/>
        <w:gridCol w:w="2797"/>
        <w:gridCol w:w="2797"/>
      </w:tblGrid>
      <w:tr>
        <w:trPr>
          <w:cantSplit/>
          <w:tblHeader/>
        </w:trPr>
        <w:tc>
          <w:tcPr>
            <w:tcW w:type="dxa" w:w="1688"/>
            <w:vAlign w:val="center"/>
            <w:tcW w:w="1687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参数项</w:t>
            </w:r>
          </w:p>
        </w:tc>
        <w:tc>
          <w:tcPr>
            <w:tcW w:type="dxa" w:w="2029"/>
            <w:vAlign w:val="center"/>
            <w:tcW w:w="2029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参数宏与计算公式</w:t>
            </w:r>
          </w:p>
        </w:tc>
        <w:tc>
          <w:tcPr>
            <w:tcW w:type="dxa" w:w="4674"/>
            <w:vAlign w:val="center"/>
            <w:tcW w:w="4673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W w:w="16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Banner 行协议</w:t>
            </w:r>
          </w:p>
        </w:tc>
        <w:tc>
          <w:tcPr>
            <w:tcW w:type="dxa" w:w="2029"/>
            <w:vAlign w:val="center"/>
            <w:tcW w:w="202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LAB1_BANNER_PROTOCOL</w:t>
            </w:r>
          </w:p>
        </w:tc>
        <w:tc>
          <w:tcPr>
            <w:tcW w:type="dxa" w:w="4674"/>
            <w:vAlign w:val="center"/>
            <w:tcW w:w="467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0 = 原始明文＋换行；1 = 每个字符后固定紧跟一个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.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；2 = 整行输出完毕后附带 ASCII 校验和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W w:w="16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自检序列</w:t>
            </w:r>
          </w:p>
        </w:tc>
        <w:tc>
          <w:tcPr>
            <w:tcW w:type="dxa" w:w="2029"/>
            <w:vAlign w:val="center"/>
            <w:tcW w:w="202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学号与十六进制字段</w:t>
            </w:r>
          </w:p>
        </w:tc>
        <w:tc>
          <w:tcPr>
            <w:tcW w:type="dxa" w:w="4674"/>
            <w:vAlign w:val="center"/>
            <w:tcW w:w="467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Banner 打印完毕后，输出个人学号及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(学号 % 97)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的十六进制值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W w:w="16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初始内核栈容量</w:t>
            </w:r>
          </w:p>
        </w:tc>
        <w:tc>
          <w:tcPr>
            <w:tcW w:type="dxa" w:w="2029"/>
            <w:vAlign w:val="center"/>
            <w:tcW w:w="202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LAB1_STACK_KB</w:t>
            </w:r>
          </w:p>
        </w:tc>
        <w:tc>
          <w:tcPr>
            <w:tcW w:type="dxa" w:w="4674"/>
            <w:vAlign w:val="center"/>
            <w:tcW w:w="467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/>
                <w:sz w:val="18"/>
              </w:rPr>
              <w:t>4KB × (1 + 学号 % 3)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，必须在设计笔记中明确对应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W w:w="168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空转节流注入</w:t>
            </w:r>
          </w:p>
        </w:tc>
        <w:tc>
          <w:tcPr>
            <w:tcW w:type="dxa" w:w="2029"/>
            <w:vAlign w:val="center"/>
            <w:tcW w:w="2029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节流周期</w:t>
            </w:r>
          </w:p>
        </w:tc>
        <w:tc>
          <w:tcPr>
            <w:tcW w:type="dxa" w:w="4674"/>
            <w:vAlign w:val="center"/>
            <w:tcW w:w="467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输出满 </w:t>
            </w:r>
            <w:r>
              <w:rPr>
                <w:rFonts w:ascii="Century Schoolbook" w:hAnsi="Century Schoolbook" w:eastAsia="宋体" w:cs="Century Schoolbook"/>
                <w:b w:val="0"/>
                <w:i/>
                <w:sz w:val="18"/>
              </w:rPr>
              <w:t>(16 + 学号 % 16)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字节后执行指定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nop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循环（引用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COURSE_SID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宏，严禁硬编码数字）</w:t>
            </w:r>
          </w:p>
        </w:tc>
      </w:tr>
      <w:tblGrid>
        <w:gridCol w:w="1687"/>
        <w:gridCol w:w="2029"/>
        <w:gridCol w:w="4673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输出格式硬性规格（验收逐字节比对，务必遵守）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十六进制字段一律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0x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小写、无前导零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（正确：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；错误：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0x048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协议 0：整行以换行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\n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结束；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协议 1：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每个字节（含最后一个字节）后都紧跟一个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.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，例如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O.S.L.A.B.1. …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协议 2：校验和为</w:t>
      </w:r>
      <w:r>
        <w:rPr>
          <w:rFonts w:ascii="Century Schoolbook" w:hAnsi="Century Schoolbook" w:eastAsia="宋体" w:cs="Century Schoolbook"/>
          <w:b/>
          <w:i w:val="0"/>
          <w:sz w:val="21"/>
        </w:rPr>
        <w:t>最末段输出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、ASCII 十进制数字（算法自定但必须与你的内核输出自洽），其后不再有正文。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三种协议示例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（以假想学号为例，具体数值按你的参数计算）：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协议 0（sid % 3 == 0，如 20230002）:  OSLAB1 sid=20230002 mod97=0x46\n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协议 1（sid % 3 == 1，如 20230123）:  O.S.L.A.B.1. .s.i.d.=.2.0.2.3.0.1.2.3. .m.o.d.9.7.=.0.x.5.e.\n.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                                   ↑ 含末尾的 '.'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协议 2（sid % 3 == 2，如 20230001）:  OSLAB1 sid=20230001 mod97=0x45\n[chk=4127]   ← chk 为最末段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💡 提示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验收前自检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：基线包根目录自带学生版形状校验器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check_expect.py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（只校验形状、不含任何标准答案），写完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expect_banner.txt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后执行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python3 check_expect.py &lt;你的学号&gt;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即可提前发现格式问题。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4. 实践里程碑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设计笔记（思考题）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：动手实现前完成引导问题，画出</w:t>
      </w:r>
      <w:r>
        <w:rPr>
          <w:rFonts w:ascii="Century Schoolbook" w:hAnsi="Century Schoolbook" w:eastAsia="宋体" w:cs="Century Schoolbook"/>
          <w:b/>
          <w:i w:val="0"/>
          <w:sz w:val="21"/>
        </w:rPr>
        <w:t>启动时序图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（上电到 main 第一行，标注特权级与寄存器变换）以及</w:t>
      </w:r>
      <w:r>
        <w:rPr>
          <w:rFonts w:ascii="Century Schoolbook" w:hAnsi="Century Schoolbook" w:eastAsia="宋体" w:cs="Century Schoolbook"/>
          <w:b/>
          <w:i w:val="0"/>
          <w:sz w:val="21"/>
        </w:rPr>
        <w:t>内核内存空间布局图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测试驱动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：裸机测试直接写入内核逻辑——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输出个人个性化 banner 与自检序列；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验证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边界：数字 0、负数、最大整数、空字符串、连续超长字符串；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重启幂等性：QEMU 复位重启后行为一致。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分阶段编译与实现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刚领到基线时，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能够触发编译，但会报找不到入口标号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_entry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的警告；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完成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entry.S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后警告消除，系统引导进入 C 语言环境，这是你的第一个关键里程碑。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验收交付物确认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：在工程根目录生成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expect_banner.txt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（记录你按照个人协议规范生成的精确期望文本）。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输入输出规格即标准判据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，自动化评分工具将比对该文件与 QEMU 实际串口捕获输出。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5. 现场验收规程（五档，5–8 分钟）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Autograder 检验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：banner 逐字节一致性比对 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零异常检查 ＋ 节流参数源码核查（机器给出 PASS / FAIL）；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三题问答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机理题（上电首条指令位置 / 内核链接地址为 0x80000000 的物理原因）；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个性化题（指出代码中实现个人行协议的函数，阐明转义逻辑）；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定位题（内核栈分配在何处，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寄存器初值与哪个文件的配置必须强一致；若删除 PMP 配置两行会发生何种异常）；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lab0 图纸抽查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：从热身实验交付的三份图纸中随机抽查 1 题；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核心通过线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：Banner 输出与自检序列按个人协议完全通过，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边界测试无崩溃。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若未达核心线：按集中补验规则执行（一周内一次，最高记 60 分）。代码缺陷须自行定位修复，教师仅提供调试排查思路，不代修代码。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6. Git 工程工作流规范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init &amp;&amp; git add -A &amp;&amp; git commit -m "feat: init baseline"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tag lab1-start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# ……日常实践中随做随 commit，记录完整思路……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tag lab1-submit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archive --format=zip -o 提交-lab1-&lt;学号&gt;.zip lab1-submit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强烈建议将工程同步推送到个人私有 Git 仓库（GitHub / Gitee 等）。Commit 历史不单独判分，但在验收被追问代码真实性时，它是你最强有力的第一手证据。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7. 明确设计边界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本实验仅实现输出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（串口接收与键盘输入是 lab2 中断实验的核心，本轮不做）；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允许 AI 编写格式化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，但对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%d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负数格式化、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%x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前导零等细节，必须在设计笔记中预先确立规范；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汇编代码（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entry.S</w:t>
      </w:r>
      <w:r>
        <w:rPr>
          <w:rFonts w:ascii="Century Schoolbook" w:hAnsi="Century Schoolbook" w:eastAsia="宋体" w:cs="Century Schoolbook"/>
          <w:b/>
          <w:i w:val="0"/>
          <w:sz w:val="21"/>
        </w:rPr>
        <w:t>）允许 AI 生成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，但学生必须在设计笔记中逐行注解每条汇编指令的真实意图，验收时将现场抽查逐条解读。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附录 A：设计规范的好坏对照（以串口输出为例）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差版（只有笼统描述，无明确边界与状态假设）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"uartputc_sync：向串口同步输出一个字符。通过轮询等待直到发送保持寄存器空闲，随后写入数据。"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好版（协议精确、边界清晰、可直接编码与验证）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onsolas" w:hAnsi="Consolas" w:eastAsia="楷体" w:cs="Consolas"/>
          <w:b w:val="0"/>
          <w:i w:val="0"/>
          <w:color w:val="901010"/>
          <w:sz w:val="19"/>
        </w:rPr>
        <w:t>void uartputc_sync(char c);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硬件地址：基地址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0x10000000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；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THR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偏移 0，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LSR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偏移 5；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状态机：循环忙等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LSR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bit5（THRE）变为 1 后向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THR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写入字符；本实验启动阶段不设超时重试（启动期间无时钟中断，忙等是唯一可靠行为）；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协议分层：本函数仅负责单字节硬件发射，学号个性化字符修饰在上层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putchar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中包装（层次分明，职责清晰）；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- 并发假设：启动早期仅由单核单上下文调用，声明不可重入。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附录 B：常见环境陷阱备忘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mtvec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/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mepc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对齐要求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：RISC-V 规定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写入地址必须 4 字节对齐（低 2 位为模式标志位）。若异常处理向量标号落在未对齐地址，QEMU 会直接忽略整次写入，导致任何异常均跳转至地址 0。在汇编标号前务必加上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.balign 4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S 态访存 PMP 权限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：若降权后系统无任何字符且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提示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cause=1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，首要检查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start.c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中是否正确配置并使能了 PMP。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系统预置文件不可篡改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：若出现非预期的底层编译错误，使用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diff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检查基线预置文件（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kernel.ld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Makefile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riscv.h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等）是否被误改。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