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73B726">
      <w:pPr>
        <w:jc w:val="center"/>
        <w:rPr>
          <w:b/>
          <w:sz w:val="48"/>
          <w:szCs w:val="48"/>
        </w:rPr>
      </w:pPr>
      <w:r>
        <w:rPr>
          <w:rFonts w:hint="eastAsia"/>
          <w:b/>
          <w:sz w:val="48"/>
          <w:szCs w:val="48"/>
        </w:rPr>
        <w:t>软件工程2024级2026级</w:t>
      </w:r>
    </w:p>
    <w:p w14:paraId="035BAA9A">
      <w:pPr>
        <w:jc w:val="center"/>
        <w:rPr>
          <w:rFonts w:hint="eastAsia"/>
          <w:b/>
          <w:sz w:val="48"/>
          <w:szCs w:val="48"/>
        </w:rPr>
      </w:pPr>
      <w:r>
        <w:rPr>
          <w:rFonts w:hint="eastAsia"/>
          <w:b/>
          <w:sz w:val="48"/>
          <w:szCs w:val="48"/>
        </w:rPr>
        <w:t>《高级项目实践》个人总结</w:t>
      </w:r>
    </w:p>
    <w:p w14:paraId="6EAC95B5">
      <w:pPr>
        <w:jc w:val="center"/>
        <w:rPr>
          <w:rFonts w:hint="eastAsia"/>
          <w:b/>
          <w:sz w:val="48"/>
          <w:szCs w:val="48"/>
        </w:rPr>
      </w:pPr>
    </w:p>
    <w:tbl>
      <w:tblPr>
        <w:tblStyle w:val="7"/>
        <w:tblW w:w="9341" w:type="dxa"/>
        <w:tblInd w:w="0" w:type="dxa"/>
        <w:tblLayout w:type="autofit"/>
        <w:tblCellMar>
          <w:top w:w="0" w:type="dxa"/>
          <w:left w:w="108" w:type="dxa"/>
          <w:bottom w:w="0" w:type="dxa"/>
          <w:right w:w="108" w:type="dxa"/>
        </w:tblCellMar>
      </w:tblPr>
      <w:tblGrid>
        <w:gridCol w:w="840"/>
        <w:gridCol w:w="1924"/>
        <w:gridCol w:w="940"/>
        <w:gridCol w:w="2134"/>
        <w:gridCol w:w="948"/>
        <w:gridCol w:w="2693"/>
      </w:tblGrid>
      <w:tr w14:paraId="5BF7EBD6">
        <w:tblPrEx>
          <w:tblCellMar>
            <w:top w:w="0" w:type="dxa"/>
            <w:left w:w="108" w:type="dxa"/>
            <w:bottom w:w="0" w:type="dxa"/>
            <w:right w:w="108" w:type="dxa"/>
          </w:tblCellMar>
        </w:tblPrEx>
        <w:trPr>
          <w:trHeight w:val="360" w:hRule="atLeast"/>
        </w:trPr>
        <w:tc>
          <w:tcPr>
            <w:tcW w:w="836" w:type="dxa"/>
            <w:tcBorders>
              <w:top w:val="single" w:color="auto" w:sz="12" w:space="0"/>
              <w:left w:val="single" w:color="auto" w:sz="12" w:space="0"/>
              <w:bottom w:val="single" w:color="auto" w:sz="4" w:space="0"/>
              <w:right w:val="single" w:color="auto" w:sz="4" w:space="0"/>
            </w:tcBorders>
            <w:shd w:val="clear" w:color="auto" w:fill="auto"/>
            <w:noWrap/>
            <w:vAlign w:val="center"/>
          </w:tcPr>
          <w:p w14:paraId="6DF830B2">
            <w:pPr>
              <w:widowControl/>
              <w:jc w:val="left"/>
              <w:rPr>
                <w:rFonts w:hint="eastAsia" w:ascii="等线" w:hAnsi="等线" w:eastAsia="等线" w:cs="宋体"/>
                <w:b/>
                <w:bCs/>
                <w:color w:val="000000"/>
                <w:kern w:val="0"/>
                <w:sz w:val="28"/>
                <w:szCs w:val="28"/>
              </w:rPr>
            </w:pPr>
            <w:r>
              <w:rPr>
                <w:rFonts w:hint="eastAsia" w:ascii="等线" w:hAnsi="等线" w:eastAsia="等线" w:cs="宋体"/>
                <w:b/>
                <w:bCs/>
                <w:color w:val="000000"/>
                <w:kern w:val="0"/>
                <w:sz w:val="28"/>
                <w:szCs w:val="28"/>
              </w:rPr>
              <w:t>姓名</w:t>
            </w:r>
          </w:p>
        </w:tc>
        <w:tc>
          <w:tcPr>
            <w:tcW w:w="1924" w:type="dxa"/>
            <w:tcBorders>
              <w:top w:val="single" w:color="auto" w:sz="12" w:space="0"/>
              <w:left w:val="nil"/>
              <w:bottom w:val="single" w:color="auto" w:sz="4" w:space="0"/>
              <w:right w:val="single" w:color="auto" w:sz="4" w:space="0"/>
            </w:tcBorders>
            <w:shd w:val="clear" w:color="auto" w:fill="auto"/>
            <w:noWrap/>
            <w:vAlign w:val="center"/>
          </w:tcPr>
          <w:p w14:paraId="657104E3">
            <w:pPr>
              <w:widowControl/>
              <w:jc w:val="center"/>
              <w:rPr>
                <w:rFonts w:hint="eastAsia" w:ascii="等线" w:hAnsi="等线" w:eastAsia="等线" w:cs="宋体"/>
                <w:color w:val="000000"/>
                <w:kern w:val="0"/>
                <w:sz w:val="28"/>
                <w:szCs w:val="28"/>
                <w:lang w:val="en-US" w:eastAsia="zh-CN"/>
              </w:rPr>
            </w:pPr>
            <w:r>
              <w:rPr>
                <w:rFonts w:hint="eastAsia" w:ascii="等线" w:hAnsi="等线" w:eastAsia="等线" w:cs="宋体"/>
                <w:color w:val="000000"/>
                <w:kern w:val="0"/>
                <w:sz w:val="28"/>
                <w:szCs w:val="28"/>
                <w:lang w:val="en-US" w:eastAsia="zh-CN"/>
              </w:rPr>
              <w:t>黄钧</w:t>
            </w:r>
          </w:p>
        </w:tc>
        <w:tc>
          <w:tcPr>
            <w:tcW w:w="940" w:type="dxa"/>
            <w:tcBorders>
              <w:top w:val="single" w:color="auto" w:sz="12" w:space="0"/>
              <w:left w:val="nil"/>
              <w:bottom w:val="single" w:color="auto" w:sz="4" w:space="0"/>
              <w:right w:val="single" w:color="auto" w:sz="4" w:space="0"/>
            </w:tcBorders>
            <w:shd w:val="clear" w:color="auto" w:fill="auto"/>
            <w:noWrap/>
            <w:vAlign w:val="center"/>
          </w:tcPr>
          <w:p w14:paraId="3BD56BC8">
            <w:pPr>
              <w:widowControl/>
              <w:jc w:val="left"/>
              <w:rPr>
                <w:rFonts w:hint="eastAsia" w:ascii="等线" w:hAnsi="等线" w:eastAsia="等线" w:cs="宋体"/>
                <w:b/>
                <w:bCs/>
                <w:color w:val="000000"/>
                <w:kern w:val="0"/>
                <w:sz w:val="28"/>
                <w:szCs w:val="28"/>
              </w:rPr>
            </w:pPr>
            <w:r>
              <w:rPr>
                <w:rFonts w:hint="eastAsia" w:ascii="等线" w:hAnsi="等线" w:eastAsia="等线" w:cs="宋体"/>
                <w:b/>
                <w:bCs/>
                <w:color w:val="000000"/>
                <w:kern w:val="0"/>
                <w:sz w:val="28"/>
                <w:szCs w:val="28"/>
              </w:rPr>
              <w:t>学号</w:t>
            </w:r>
          </w:p>
        </w:tc>
        <w:tc>
          <w:tcPr>
            <w:tcW w:w="2000" w:type="dxa"/>
            <w:tcBorders>
              <w:top w:val="single" w:color="auto" w:sz="12" w:space="0"/>
              <w:left w:val="nil"/>
              <w:bottom w:val="single" w:color="auto" w:sz="4" w:space="0"/>
              <w:right w:val="single" w:color="auto" w:sz="4" w:space="0"/>
            </w:tcBorders>
            <w:shd w:val="clear" w:color="auto" w:fill="auto"/>
            <w:noWrap/>
            <w:vAlign w:val="center"/>
          </w:tcPr>
          <w:p w14:paraId="0594A00A">
            <w:pPr>
              <w:widowControl/>
              <w:jc w:val="center"/>
              <w:rPr>
                <w:rFonts w:hint="default" w:ascii="等线" w:hAnsi="等线" w:eastAsia="等线" w:cs="宋体"/>
                <w:color w:val="000000"/>
                <w:kern w:val="0"/>
                <w:sz w:val="28"/>
                <w:szCs w:val="28"/>
                <w:lang w:val="en-US" w:eastAsia="zh-CN"/>
              </w:rPr>
            </w:pPr>
            <w:r>
              <w:rPr>
                <w:rFonts w:hint="eastAsia" w:ascii="等线" w:hAnsi="等线" w:eastAsia="等线" w:cs="宋体"/>
                <w:color w:val="000000"/>
                <w:kern w:val="0"/>
                <w:sz w:val="28"/>
                <w:szCs w:val="28"/>
                <w:lang w:val="en-US" w:eastAsia="zh-CN"/>
              </w:rPr>
              <w:t>2024302131066</w:t>
            </w:r>
          </w:p>
        </w:tc>
        <w:tc>
          <w:tcPr>
            <w:tcW w:w="948" w:type="dxa"/>
            <w:tcBorders>
              <w:top w:val="single" w:color="auto" w:sz="12" w:space="0"/>
              <w:left w:val="nil"/>
              <w:bottom w:val="single" w:color="auto" w:sz="4" w:space="0"/>
              <w:right w:val="single" w:color="auto" w:sz="4" w:space="0"/>
            </w:tcBorders>
            <w:shd w:val="clear" w:color="auto" w:fill="auto"/>
            <w:noWrap/>
            <w:vAlign w:val="center"/>
          </w:tcPr>
          <w:p w14:paraId="31CC64F1">
            <w:pPr>
              <w:widowControl/>
              <w:jc w:val="left"/>
              <w:rPr>
                <w:rFonts w:hint="eastAsia" w:ascii="等线" w:hAnsi="等线" w:eastAsia="等线" w:cs="宋体"/>
                <w:b/>
                <w:bCs/>
                <w:color w:val="000000"/>
                <w:kern w:val="0"/>
                <w:sz w:val="28"/>
                <w:szCs w:val="28"/>
              </w:rPr>
            </w:pPr>
            <w:r>
              <w:rPr>
                <w:rFonts w:hint="eastAsia" w:ascii="等线" w:hAnsi="等线" w:eastAsia="等线" w:cs="宋体"/>
                <w:b/>
                <w:bCs/>
                <w:color w:val="000000"/>
                <w:kern w:val="0"/>
                <w:sz w:val="28"/>
                <w:szCs w:val="28"/>
              </w:rPr>
              <w:t>班级</w:t>
            </w:r>
          </w:p>
        </w:tc>
        <w:tc>
          <w:tcPr>
            <w:tcW w:w="2693" w:type="dxa"/>
            <w:tcBorders>
              <w:top w:val="single" w:color="auto" w:sz="12" w:space="0"/>
              <w:left w:val="nil"/>
              <w:bottom w:val="single" w:color="auto" w:sz="4" w:space="0"/>
              <w:right w:val="single" w:color="000000" w:sz="12" w:space="0"/>
            </w:tcBorders>
            <w:shd w:val="clear" w:color="auto" w:fill="auto"/>
            <w:noWrap/>
            <w:vAlign w:val="center"/>
          </w:tcPr>
          <w:p w14:paraId="09494C11">
            <w:pPr>
              <w:widowControl/>
              <w:jc w:val="center"/>
              <w:rPr>
                <w:rFonts w:hint="default" w:ascii="等线" w:hAnsi="等线" w:eastAsia="等线" w:cs="宋体"/>
                <w:color w:val="000000"/>
                <w:kern w:val="0"/>
                <w:sz w:val="22"/>
                <w:lang w:val="en-US" w:eastAsia="zh-CN"/>
              </w:rPr>
            </w:pPr>
            <w:r>
              <w:rPr>
                <w:rFonts w:hint="eastAsia" w:ascii="等线" w:hAnsi="等线" w:eastAsia="等线" w:cs="宋体"/>
                <w:color w:val="000000"/>
                <w:kern w:val="0"/>
                <w:sz w:val="22"/>
                <w:lang w:val="en-US" w:eastAsia="zh-CN"/>
              </w:rPr>
              <w:t>2410班</w:t>
            </w:r>
          </w:p>
        </w:tc>
      </w:tr>
      <w:tr w14:paraId="4FEB667A">
        <w:tblPrEx>
          <w:tblCellMar>
            <w:top w:w="0" w:type="dxa"/>
            <w:left w:w="108" w:type="dxa"/>
            <w:bottom w:w="0" w:type="dxa"/>
            <w:right w:w="108" w:type="dxa"/>
          </w:tblCellMar>
        </w:tblPrEx>
        <w:trPr>
          <w:trHeight w:val="348" w:hRule="atLeast"/>
        </w:trPr>
        <w:tc>
          <w:tcPr>
            <w:tcW w:w="836" w:type="dxa"/>
            <w:tcBorders>
              <w:top w:val="nil"/>
              <w:left w:val="single" w:color="auto" w:sz="12" w:space="0"/>
              <w:bottom w:val="single" w:color="auto" w:sz="4" w:space="0"/>
              <w:right w:val="single" w:color="auto" w:sz="4" w:space="0"/>
            </w:tcBorders>
            <w:shd w:val="clear" w:color="auto" w:fill="auto"/>
            <w:noWrap/>
            <w:vAlign w:val="center"/>
          </w:tcPr>
          <w:p w14:paraId="511F4B68">
            <w:pPr>
              <w:widowControl/>
              <w:jc w:val="left"/>
              <w:rPr>
                <w:rFonts w:hint="eastAsia" w:ascii="等线" w:hAnsi="等线" w:eastAsia="等线" w:cs="宋体"/>
                <w:b/>
                <w:bCs/>
                <w:color w:val="000000"/>
                <w:kern w:val="0"/>
                <w:sz w:val="28"/>
                <w:szCs w:val="28"/>
              </w:rPr>
            </w:pPr>
            <w:r>
              <w:rPr>
                <w:rFonts w:hint="eastAsia" w:ascii="等线" w:hAnsi="等线" w:eastAsia="等线" w:cs="宋体"/>
                <w:b/>
                <w:bCs/>
                <w:color w:val="000000"/>
                <w:kern w:val="0"/>
                <w:sz w:val="28"/>
                <w:szCs w:val="28"/>
              </w:rPr>
              <w:t>项目名称</w:t>
            </w:r>
          </w:p>
        </w:tc>
        <w:tc>
          <w:tcPr>
            <w:tcW w:w="4864" w:type="dxa"/>
            <w:gridSpan w:val="3"/>
            <w:tcBorders>
              <w:top w:val="single" w:color="auto" w:sz="4" w:space="0"/>
              <w:left w:val="nil"/>
              <w:bottom w:val="single" w:color="auto" w:sz="4" w:space="0"/>
              <w:right w:val="single" w:color="auto" w:sz="4" w:space="0"/>
            </w:tcBorders>
            <w:shd w:val="clear" w:color="auto" w:fill="auto"/>
            <w:noWrap/>
            <w:vAlign w:val="center"/>
          </w:tcPr>
          <w:p w14:paraId="389CA661">
            <w:pPr>
              <w:widowControl/>
              <w:jc w:val="center"/>
              <w:rPr>
                <w:rFonts w:hint="default" w:ascii="等线" w:hAnsi="等线" w:eastAsia="等线" w:cs="宋体"/>
                <w:color w:val="000000"/>
                <w:kern w:val="0"/>
                <w:sz w:val="28"/>
                <w:szCs w:val="28"/>
                <w:lang w:val="en-US" w:eastAsia="zh-CN"/>
              </w:rPr>
            </w:pPr>
            <w:r>
              <w:rPr>
                <w:rFonts w:hint="eastAsia" w:ascii="等线" w:hAnsi="等线" w:eastAsia="等线" w:cs="宋体"/>
                <w:color w:val="000000"/>
                <w:kern w:val="0"/>
                <w:sz w:val="28"/>
                <w:szCs w:val="28"/>
                <w:lang w:val="en-US" w:eastAsia="zh-CN"/>
              </w:rPr>
              <w:t>Talentflow智聘</w:t>
            </w:r>
          </w:p>
        </w:tc>
        <w:tc>
          <w:tcPr>
            <w:tcW w:w="948" w:type="dxa"/>
            <w:tcBorders>
              <w:top w:val="nil"/>
              <w:left w:val="nil"/>
              <w:bottom w:val="single" w:color="auto" w:sz="4" w:space="0"/>
              <w:right w:val="single" w:color="auto" w:sz="4" w:space="0"/>
            </w:tcBorders>
            <w:shd w:val="clear" w:color="auto" w:fill="auto"/>
            <w:noWrap/>
            <w:vAlign w:val="center"/>
          </w:tcPr>
          <w:p w14:paraId="6CA7A9A8">
            <w:pPr>
              <w:widowControl/>
              <w:jc w:val="left"/>
              <w:rPr>
                <w:rFonts w:hint="eastAsia" w:ascii="等线" w:hAnsi="等线" w:eastAsia="等线" w:cs="宋体"/>
                <w:b/>
                <w:bCs/>
                <w:color w:val="000000"/>
                <w:kern w:val="0"/>
                <w:sz w:val="28"/>
                <w:szCs w:val="28"/>
              </w:rPr>
            </w:pPr>
            <w:r>
              <w:rPr>
                <w:rFonts w:hint="eastAsia" w:ascii="等线" w:hAnsi="等线" w:eastAsia="等线" w:cs="宋体"/>
                <w:b/>
                <w:bCs/>
                <w:color w:val="000000"/>
                <w:kern w:val="0"/>
                <w:sz w:val="28"/>
                <w:szCs w:val="28"/>
              </w:rPr>
              <w:t>团队名称</w:t>
            </w:r>
          </w:p>
        </w:tc>
        <w:tc>
          <w:tcPr>
            <w:tcW w:w="2693" w:type="dxa"/>
            <w:tcBorders>
              <w:top w:val="single" w:color="auto" w:sz="4" w:space="0"/>
              <w:left w:val="nil"/>
              <w:bottom w:val="single" w:color="auto" w:sz="4" w:space="0"/>
              <w:right w:val="single" w:color="000000" w:sz="12" w:space="0"/>
            </w:tcBorders>
            <w:shd w:val="clear" w:color="auto" w:fill="auto"/>
            <w:noWrap/>
            <w:vAlign w:val="center"/>
          </w:tcPr>
          <w:p w14:paraId="77248ABD">
            <w:pPr>
              <w:widowControl/>
              <w:jc w:val="center"/>
              <w:rPr>
                <w:rFonts w:hint="default" w:ascii="等线" w:hAnsi="等线" w:eastAsia="等线" w:cs="宋体"/>
                <w:color w:val="000000"/>
                <w:kern w:val="0"/>
                <w:sz w:val="22"/>
                <w:lang w:val="en-US" w:eastAsia="zh-CN"/>
              </w:rPr>
            </w:pPr>
            <w:r>
              <w:rPr>
                <w:rFonts w:hint="eastAsia" w:ascii="等线" w:hAnsi="等线" w:eastAsia="等线" w:cs="宋体"/>
                <w:color w:val="000000"/>
                <w:kern w:val="0"/>
                <w:sz w:val="22"/>
                <w:lang w:val="en-US" w:eastAsia="zh-CN"/>
              </w:rPr>
              <w:t>四qu战车</w:t>
            </w:r>
          </w:p>
        </w:tc>
      </w:tr>
      <w:tr w14:paraId="3E1741CF">
        <w:tblPrEx>
          <w:tblCellMar>
            <w:top w:w="0" w:type="dxa"/>
            <w:left w:w="108" w:type="dxa"/>
            <w:bottom w:w="0" w:type="dxa"/>
            <w:right w:w="108" w:type="dxa"/>
          </w:tblCellMar>
        </w:tblPrEx>
        <w:trPr>
          <w:trHeight w:val="624" w:hRule="atLeast"/>
        </w:trPr>
        <w:tc>
          <w:tcPr>
            <w:tcW w:w="836" w:type="dxa"/>
            <w:vMerge w:val="restart"/>
            <w:tcBorders>
              <w:top w:val="nil"/>
              <w:left w:val="single" w:color="auto" w:sz="12" w:space="0"/>
              <w:bottom w:val="single" w:color="000000" w:sz="12" w:space="0"/>
              <w:right w:val="single" w:color="auto" w:sz="4" w:space="0"/>
            </w:tcBorders>
            <w:shd w:val="clear" w:color="auto" w:fill="auto"/>
            <w:noWrap/>
            <w:textDirection w:val="tbRlV"/>
            <w:vAlign w:val="center"/>
          </w:tcPr>
          <w:p w14:paraId="14C72CDE">
            <w:pPr>
              <w:widowControl/>
              <w:jc w:val="center"/>
              <w:rPr>
                <w:rFonts w:hint="eastAsia" w:ascii="等线" w:hAnsi="等线" w:eastAsia="等线" w:cs="宋体"/>
                <w:b/>
                <w:bCs/>
                <w:color w:val="000000"/>
                <w:kern w:val="0"/>
                <w:sz w:val="44"/>
                <w:szCs w:val="44"/>
              </w:rPr>
            </w:pPr>
            <w:r>
              <w:rPr>
                <w:rFonts w:hint="eastAsia" w:ascii="等线" w:hAnsi="等线" w:eastAsia="等线" w:cs="宋体"/>
                <w:b/>
                <w:bCs/>
                <w:color w:val="000000"/>
                <w:kern w:val="0"/>
                <w:sz w:val="44"/>
                <w:szCs w:val="44"/>
              </w:rPr>
              <w:t>实训收获和感想</w:t>
            </w:r>
          </w:p>
        </w:tc>
        <w:tc>
          <w:tcPr>
            <w:tcW w:w="8505" w:type="dxa"/>
            <w:gridSpan w:val="5"/>
            <w:vMerge w:val="restart"/>
            <w:tcBorders>
              <w:top w:val="single" w:color="auto" w:sz="4" w:space="0"/>
              <w:left w:val="single" w:color="auto" w:sz="4" w:space="0"/>
              <w:bottom w:val="single" w:color="000000" w:sz="12" w:space="0"/>
              <w:right w:val="single" w:color="A5A5A5" w:themeColor="accent3" w:sz="12" w:space="0"/>
            </w:tcBorders>
            <w:shd w:val="clear" w:color="auto" w:fill="auto"/>
            <w:noWrap/>
            <w:vAlign w:val="center"/>
          </w:tcPr>
          <w:p w14:paraId="3810EC42">
            <w:pPr>
              <w:widowControl/>
              <w:rPr>
                <w:rFonts w:hint="eastAsia" w:ascii="宋体" w:hAnsi="宋体" w:eastAsia="宋体" w:cs="宋体"/>
                <w:color w:val="000000"/>
                <w:kern w:val="0"/>
                <w:sz w:val="24"/>
                <w:szCs w:val="24"/>
              </w:rPr>
            </w:pPr>
            <w:r>
              <w:rPr>
                <w:rFonts w:hint="eastAsia" w:ascii="等线" w:hAnsi="等线" w:eastAsia="等线" w:cs="宋体"/>
                <w:color w:val="000000"/>
                <w:kern w:val="0"/>
                <w:sz w:val="22"/>
              </w:rPr>
              <w:t>一、</w:t>
            </w:r>
            <w:r>
              <w:rPr>
                <w:rFonts w:hint="eastAsia" w:ascii="宋体" w:hAnsi="宋体" w:eastAsia="宋体" w:cs="宋体"/>
                <w:color w:val="000000"/>
                <w:kern w:val="0"/>
                <w:sz w:val="24"/>
                <w:szCs w:val="24"/>
              </w:rPr>
              <w:t>实训概述与目标</w:t>
            </w:r>
          </w:p>
          <w:p w14:paraId="7C446EDF">
            <w:pPr>
              <w:pStyle w:val="12"/>
              <w:widowControl/>
              <w:numPr>
                <w:ilvl w:val="0"/>
                <w:numId w:val="1"/>
              </w:numPr>
              <w:ind w:firstLineChars="0"/>
              <w:rPr>
                <w:rFonts w:hint="eastAsia" w:ascii="宋体" w:hAnsi="宋体" w:eastAsia="宋体" w:cs="宋体"/>
                <w:color w:val="000000"/>
                <w:kern w:val="0"/>
                <w:sz w:val="24"/>
                <w:szCs w:val="24"/>
              </w:rPr>
            </w:pPr>
            <w:r>
              <w:rPr>
                <w:rFonts w:hint="eastAsia" w:ascii="宋体" w:hAnsi="宋体" w:eastAsia="宋体" w:cs="宋体"/>
                <w:color w:val="000000"/>
                <w:kern w:val="0"/>
                <w:sz w:val="24"/>
                <w:szCs w:val="24"/>
              </w:rPr>
              <w:t>实训目标与项目概述</w:t>
            </w:r>
          </w:p>
          <w:p w14:paraId="37F568BC">
            <w:pPr>
              <w:pStyle w:val="6"/>
              <w:keepNext w:val="0"/>
              <w:keepLines w:val="0"/>
              <w:widowControl/>
              <w:suppressLineNumbers w:val="0"/>
              <w:spacing w:before="0" w:beforeAutospacing="1" w:after="0" w:afterAutospacing="1"/>
              <w:ind w:left="0" w:right="0" w:firstLine="480" w:firstLineChars="200"/>
              <w:jc w:val="left"/>
              <w:rPr>
                <w:rFonts w:ascii="宋体" w:hAnsi="宋体" w:eastAsia="宋体" w:cs="宋体"/>
                <w:sz w:val="24"/>
                <w:szCs w:val="24"/>
              </w:rPr>
            </w:pPr>
            <w:r>
              <w:rPr>
                <w:rFonts w:ascii="宋体" w:hAnsi="宋体" w:eastAsia="宋体" w:cs="宋体"/>
                <w:sz w:val="24"/>
                <w:szCs w:val="24"/>
              </w:rPr>
              <w:t>本次高级项目实践以企业人力资源管理场景为背景，开发TalentFlow企业人力资源管理Agent系统。</w:t>
            </w:r>
          </w:p>
          <w:p w14:paraId="0852E763">
            <w:pPr>
              <w:pStyle w:val="6"/>
              <w:keepNext w:val="0"/>
              <w:keepLines w:val="0"/>
              <w:widowControl/>
              <w:suppressLineNumbers w:val="0"/>
              <w:spacing w:before="0" w:beforeAutospacing="1" w:after="0" w:afterAutospacing="1"/>
              <w:ind w:left="0" w:right="0" w:firstLine="480" w:firstLineChars="200"/>
              <w:jc w:val="left"/>
            </w:pPr>
            <w:r>
              <w:rPr>
                <w:rFonts w:ascii="宋体" w:hAnsi="宋体" w:eastAsia="宋体" w:cs="宋体"/>
                <w:sz w:val="24"/>
                <w:szCs w:val="24"/>
              </w:rPr>
              <w:t>系统主要包括智能</w:t>
            </w:r>
            <w:r>
              <w:rPr>
                <w:rFonts w:ascii="宋体" w:hAnsi="宋体" w:eastAsia="宋体" w:cs="宋体"/>
                <w:sz w:val="24"/>
                <w:szCs w:val="24"/>
              </w:rPr>
              <w:t>招聘</w:t>
            </w:r>
            <w:r>
              <w:rPr>
                <w:rFonts w:ascii="宋体" w:hAnsi="宋体" w:eastAsia="宋体" w:cs="宋体"/>
                <w:sz w:val="24"/>
                <w:szCs w:val="24"/>
              </w:rPr>
              <w:t>、员工服务、考勤管理、薪资预审、权限审计和企业知识检索等功能。智能招聘模块能够完成候选人管理、简历解析、岗位匹配、招聘评分、面试排期、面试评估和招聘报告生成；员工服务模块为员工提供个人信息、制度和业务事项查询；考勤模块支持签到、签退和考勤记录管理；薪资模块负责薪资摘要展示及权限校验；权限审计模块用于记录敏感数据访问和业务操作；企业知识检索模块则为招聘分析和员工咨询提供公司制度、岗位标准等知识支持。</w:t>
            </w:r>
          </w:p>
          <w:p w14:paraId="6E23E7E2">
            <w:pPr>
              <w:pStyle w:val="6"/>
              <w:keepNext w:val="0"/>
              <w:keepLines w:val="0"/>
              <w:widowControl/>
              <w:suppressLineNumbers w:val="0"/>
              <w:spacing w:before="0" w:beforeAutospacing="1" w:after="0" w:afterAutospacing="1"/>
              <w:ind w:left="0" w:right="0" w:firstLine="480" w:firstLineChars="200"/>
              <w:rPr>
                <w:rFonts w:hint="eastAsia" w:ascii="宋体" w:hAnsi="宋体" w:eastAsia="宋体" w:cs="宋体"/>
              </w:rPr>
            </w:pPr>
            <w:r>
              <w:rPr>
                <w:rFonts w:hint="eastAsia" w:ascii="宋体" w:hAnsi="宋体" w:eastAsia="宋体" w:cs="宋体"/>
              </w:rPr>
              <w:t>项目采用前后端分离和模块化开发方式，围绕智能招聘、员工服务、考勤管理、薪资预审、权限审计和企业知识检索等业务，将不同功能划分为相对独立的业务模块。</w:t>
            </w:r>
          </w:p>
          <w:p w14:paraId="7576E499">
            <w:pPr>
              <w:pStyle w:val="6"/>
              <w:keepNext w:val="0"/>
              <w:keepLines w:val="0"/>
              <w:widowControl/>
              <w:suppressLineNumbers w:val="0"/>
              <w:spacing w:before="0" w:beforeAutospacing="1" w:after="0" w:afterAutospacing="1"/>
              <w:ind w:left="0" w:right="0" w:firstLine="480" w:firstLineChars="200"/>
              <w:rPr>
                <w:rFonts w:hint="eastAsia" w:ascii="宋体" w:hAnsi="宋体" w:eastAsia="宋体" w:cs="宋体"/>
              </w:rPr>
            </w:pPr>
            <w:r>
              <w:rPr>
                <w:rFonts w:hint="eastAsia" w:ascii="宋体" w:hAnsi="宋体" w:eastAsia="宋体" w:cs="宋体"/>
              </w:rPr>
              <w:t>系统后端采用FastAPI框架，Web端和Agent展示界面统一调用后端接口。后端按照“API—Service—Repository—PostgreSQL”进行分层，将接口处理、业务逻辑、数据访问和数据存储相互分离，降低模块之间的耦合程度。智能招聘部分采用“Agent—Tool—Service—核心算法”的模块化架构，将大模型分析、工具调用、业务服务和确定性算法进行职责划分。</w:t>
            </w:r>
          </w:p>
          <w:p w14:paraId="1E2D6B10">
            <w:pPr>
              <w:pStyle w:val="6"/>
              <w:keepNext w:val="0"/>
              <w:keepLines w:val="0"/>
              <w:widowControl/>
              <w:suppressLineNumbers w:val="0"/>
              <w:spacing w:before="0" w:beforeAutospacing="1" w:after="0" w:afterAutospacing="1"/>
              <w:ind w:left="0" w:right="0" w:firstLine="480" w:firstLineChars="200"/>
              <w:rPr>
                <w:rFonts w:hint="eastAsia" w:ascii="宋体" w:hAnsi="宋体" w:eastAsia="宋体" w:cs="宋体"/>
              </w:rPr>
            </w:pPr>
            <w:r>
              <w:rPr>
                <w:rFonts w:hint="eastAsia" w:ascii="宋体" w:hAnsi="宋体" w:eastAsia="宋体" w:cs="宋体"/>
              </w:rPr>
              <w:t>项目的核心特色是构建多Agent协作流程，通过招聘策略Agent、简历解析与知识检索、岗位匹配、面试评估、决策审查和HR最终报告等节点协同完成招聘评估。各Agent按照统一流程传递数据和执行结果，并结合企业知识库、招聘评分算法、实时事件推送和人工决策机制，使系统能够展示完整的执行过程、评分依据和风险提示，同时保留HR的最终决策权。</w:t>
            </w:r>
          </w:p>
          <w:p w14:paraId="5464195A">
            <w:pPr>
              <w:pStyle w:val="12"/>
              <w:widowControl/>
              <w:numPr>
                <w:numId w:val="0"/>
              </w:numPr>
              <w:ind w:leftChars="0"/>
              <w:rPr>
                <w:rFonts w:hint="eastAsia" w:ascii="宋体" w:hAnsi="宋体" w:eastAsia="宋体" w:cs="宋体"/>
                <w:color w:val="000000"/>
                <w:kern w:val="0"/>
                <w:sz w:val="24"/>
                <w:szCs w:val="24"/>
              </w:rPr>
            </w:pPr>
          </w:p>
          <w:p w14:paraId="685E6B7A">
            <w:pPr>
              <w:pStyle w:val="12"/>
              <w:widowControl/>
              <w:numPr>
                <w:ilvl w:val="0"/>
                <w:numId w:val="1"/>
              </w:numPr>
              <w:ind w:firstLineChars="0"/>
              <w:rPr>
                <w:rFonts w:hint="eastAsia" w:ascii="宋体" w:hAnsi="宋体" w:eastAsia="宋体" w:cs="宋体"/>
                <w:color w:val="000000"/>
                <w:kern w:val="0"/>
                <w:sz w:val="24"/>
                <w:szCs w:val="24"/>
              </w:rPr>
            </w:pPr>
            <w:r>
              <w:rPr>
                <w:rFonts w:hint="eastAsia" w:ascii="宋体" w:hAnsi="宋体" w:eastAsia="宋体" w:cs="宋体"/>
                <w:color w:val="000000"/>
                <w:kern w:val="0"/>
                <w:sz w:val="24"/>
                <w:szCs w:val="24"/>
              </w:rPr>
              <w:t>个人角色与职责</w:t>
            </w:r>
          </w:p>
          <w:p w14:paraId="59D07B77">
            <w:pPr>
              <w:pStyle w:val="6"/>
              <w:keepNext w:val="0"/>
              <w:keepLines w:val="0"/>
              <w:widowControl/>
              <w:suppressLineNumbers w:val="0"/>
              <w:spacing w:before="0" w:beforeAutospacing="1" w:after="0" w:afterAutospacing="1"/>
              <w:ind w:left="0" w:right="0" w:firstLine="480" w:firstLineChars="200"/>
              <w:rPr>
                <w:rFonts w:hint="eastAsia" w:ascii="宋体" w:hAnsi="宋体" w:eastAsia="宋体" w:cs="宋体"/>
              </w:rPr>
            </w:pPr>
            <w:r>
              <w:rPr>
                <w:rFonts w:hint="eastAsia" w:ascii="宋体" w:hAnsi="宋体" w:eastAsia="宋体" w:cs="宋体"/>
              </w:rPr>
              <w:t>我在项目中担任第15组组长，主要负责项目整体架构规划、任务分配、开发进度管理、核心模块开发以及前后端联调。</w:t>
            </w:r>
          </w:p>
          <w:p w14:paraId="114FA013">
            <w:pPr>
              <w:pStyle w:val="6"/>
              <w:keepNext w:val="0"/>
              <w:keepLines w:val="0"/>
              <w:widowControl/>
              <w:suppressLineNumbers w:val="0"/>
              <w:spacing w:before="0" w:beforeAutospacing="1" w:after="0" w:afterAutospacing="1"/>
              <w:ind w:right="0" w:firstLine="480" w:firstLineChars="200"/>
            </w:pPr>
            <w:r>
              <w:rPr>
                <w:rFonts w:hint="eastAsia" w:ascii="宋体" w:hAnsi="宋体" w:eastAsia="宋体" w:cs="宋体"/>
              </w:rPr>
              <w:t>在业务功能方面，我重点负责招聘智能模块，包括候选人简历评分、智能面试排期、多Agent招聘流程、企业招聘知识库、招聘报告和Agent执行过程展示等功能。在技术实现方面，我负责设计并实现招聘评分和智能面试排期两个核心算法，梳理Agent、Tool、Service、数据库和前端页面之间的调用关系，并协调组员完成其他人力资源业务模块的开发。在团队管理方面，我负责明确项目最终范围、制定Sprint任务、统一代码结构和接口规范、检查成员完成情况，并处理开发过程中出现的分支合并、环境配置、数据库连接和接口冲突等问题。</w:t>
            </w:r>
          </w:p>
          <w:p w14:paraId="69EE1C92">
            <w:pPr>
              <w:pStyle w:val="12"/>
              <w:widowControl/>
              <w:numPr>
                <w:numId w:val="0"/>
              </w:numPr>
              <w:ind w:leftChars="0"/>
              <w:rPr>
                <w:rFonts w:hint="eastAsia" w:ascii="宋体" w:hAnsi="宋体" w:eastAsia="宋体" w:cs="宋体"/>
                <w:color w:val="000000"/>
                <w:kern w:val="0"/>
                <w:sz w:val="24"/>
                <w:szCs w:val="24"/>
              </w:rPr>
            </w:pPr>
          </w:p>
          <w:p w14:paraId="094E1AF0">
            <w:pPr>
              <w:pStyle w:val="12"/>
              <w:widowControl/>
              <w:numPr>
                <w:ilvl w:val="0"/>
                <w:numId w:val="1"/>
              </w:numPr>
              <w:ind w:firstLineChars="0"/>
              <w:rPr>
                <w:rFonts w:hint="eastAsia" w:ascii="宋体" w:hAnsi="宋体" w:eastAsia="宋体" w:cs="宋体"/>
                <w:color w:val="000000"/>
                <w:kern w:val="0"/>
                <w:sz w:val="24"/>
                <w:szCs w:val="24"/>
              </w:rPr>
            </w:pPr>
            <w:r>
              <w:rPr>
                <w:rFonts w:hint="eastAsia" w:ascii="宋体" w:hAnsi="宋体" w:eastAsia="宋体" w:cs="宋体"/>
                <w:color w:val="000000"/>
                <w:kern w:val="0"/>
                <w:sz w:val="24"/>
                <w:szCs w:val="24"/>
              </w:rPr>
              <w:t>个人学习目标</w:t>
            </w:r>
          </w:p>
          <w:p w14:paraId="7B362447">
            <w:pPr>
              <w:pStyle w:val="6"/>
              <w:keepNext w:val="0"/>
              <w:keepLines w:val="0"/>
              <w:widowControl/>
              <w:suppressLineNumbers w:val="0"/>
              <w:spacing w:before="0" w:beforeAutospacing="1" w:after="0" w:afterAutospacing="1"/>
              <w:ind w:left="0" w:right="0"/>
              <w:rPr>
                <w:rFonts w:hint="eastAsia" w:ascii="宋体" w:hAnsi="宋体" w:eastAsia="宋体" w:cs="宋体"/>
              </w:rPr>
            </w:pPr>
            <w:r>
              <w:rPr>
                <w:rFonts w:hint="eastAsia" w:ascii="宋体" w:hAnsi="宋体" w:eastAsia="宋体" w:cs="宋体"/>
              </w:rPr>
              <w:t>本次实训中，我希望重点提升以下能力：</w:t>
            </w:r>
          </w:p>
          <w:p w14:paraId="6CACD4E2">
            <w:pPr>
              <w:pStyle w:val="6"/>
              <w:keepNext w:val="0"/>
              <w:keepLines w:val="0"/>
              <w:widowControl/>
              <w:suppressLineNumbers w:val="0"/>
              <w:spacing w:before="0" w:beforeAutospacing="1" w:after="0" w:afterAutospacing="1"/>
              <w:ind w:left="0" w:right="0"/>
              <w:rPr>
                <w:rFonts w:hint="eastAsia" w:ascii="宋体" w:hAnsi="宋体" w:eastAsia="宋体" w:cs="宋体"/>
              </w:rPr>
            </w:pPr>
            <w:r>
              <w:rPr>
                <w:rFonts w:hint="eastAsia" w:ascii="宋体" w:hAnsi="宋体" w:eastAsia="宋体" w:cs="宋体"/>
              </w:rPr>
              <w:t>第一，提升大型项目的架构设计和模块拆分能力，掌握如何将复杂业务拆分为清晰、可维护的功能模块。</w:t>
            </w:r>
          </w:p>
          <w:p w14:paraId="2B46F018">
            <w:pPr>
              <w:pStyle w:val="6"/>
              <w:keepNext w:val="0"/>
              <w:keepLines w:val="0"/>
              <w:widowControl/>
              <w:suppressLineNumbers w:val="0"/>
              <w:spacing w:before="0" w:beforeAutospacing="1" w:after="0" w:afterAutospacing="1"/>
              <w:ind w:left="0" w:right="0"/>
              <w:rPr>
                <w:rFonts w:hint="eastAsia" w:ascii="宋体" w:hAnsi="宋体" w:eastAsia="宋体" w:cs="宋体"/>
              </w:rPr>
            </w:pPr>
            <w:r>
              <w:rPr>
                <w:rFonts w:hint="eastAsia" w:ascii="宋体" w:hAnsi="宋体" w:eastAsia="宋体" w:cs="宋体"/>
              </w:rPr>
              <w:t>第二，深入理解多Agent系统的流程编排、工具调用、数据传递和状态管理机制，避免将多Agent简单理解为多个大模型接口的堆叠。</w:t>
            </w:r>
          </w:p>
          <w:p w14:paraId="6C4AB9CF">
            <w:pPr>
              <w:pStyle w:val="6"/>
              <w:keepNext w:val="0"/>
              <w:keepLines w:val="0"/>
              <w:widowControl/>
              <w:suppressLineNumbers w:val="0"/>
              <w:spacing w:before="0" w:beforeAutospacing="1" w:after="0" w:afterAutospacing="1"/>
              <w:ind w:left="0" w:right="0"/>
              <w:rPr>
                <w:rFonts w:hint="eastAsia" w:ascii="宋体" w:hAnsi="宋体" w:eastAsia="宋体" w:cs="宋体"/>
              </w:rPr>
            </w:pPr>
            <w:r>
              <w:rPr>
                <w:rFonts w:hint="eastAsia" w:ascii="宋体" w:hAnsi="宋体" w:eastAsia="宋体" w:cs="宋体"/>
              </w:rPr>
              <w:t>第三，提高前后端联调、数据库设计、实时数据处理和复杂问题定位能力。</w:t>
            </w:r>
          </w:p>
          <w:p w14:paraId="619F8A9C">
            <w:pPr>
              <w:pStyle w:val="6"/>
              <w:keepNext w:val="0"/>
              <w:keepLines w:val="0"/>
              <w:widowControl/>
              <w:suppressLineNumbers w:val="0"/>
              <w:spacing w:before="0" w:beforeAutospacing="1" w:after="0" w:afterAutospacing="1"/>
              <w:ind w:left="0" w:right="0"/>
              <w:rPr>
                <w:rFonts w:hint="eastAsia" w:ascii="宋体" w:hAnsi="宋体" w:eastAsia="宋体" w:cs="宋体"/>
              </w:rPr>
            </w:pPr>
            <w:r>
              <w:rPr>
                <w:rFonts w:hint="eastAsia" w:ascii="宋体" w:hAnsi="宋体" w:eastAsia="宋体" w:cs="宋体"/>
              </w:rPr>
              <w:t>第四，学习如何划分大模型与确定性算法的职责边界，使人工智能系统在具备智能分析能力的同时保持结果稳定、可解释和可审查。</w:t>
            </w:r>
          </w:p>
          <w:p w14:paraId="51B55F8E">
            <w:pPr>
              <w:pStyle w:val="6"/>
              <w:keepNext w:val="0"/>
              <w:keepLines w:val="0"/>
              <w:widowControl/>
              <w:suppressLineNumbers w:val="0"/>
              <w:rPr>
                <w:rFonts w:hint="eastAsia" w:ascii="宋体" w:hAnsi="宋体" w:eastAsia="宋体" w:cs="宋体"/>
              </w:rPr>
            </w:pPr>
            <w:r>
              <w:rPr>
                <w:rFonts w:hint="eastAsia" w:ascii="宋体" w:hAnsi="宋体" w:eastAsia="宋体" w:cs="宋体"/>
              </w:rPr>
              <w:t>第五，提高团队管理、任务协调、进度控制和项目答辩表达能力。</w:t>
            </w:r>
          </w:p>
          <w:p w14:paraId="146C2715">
            <w:pPr>
              <w:pStyle w:val="12"/>
              <w:widowControl/>
              <w:ind w:left="360" w:firstLine="0" w:firstLineChars="0"/>
              <w:rPr>
                <w:rFonts w:hint="eastAsia" w:ascii="宋体" w:hAnsi="宋体" w:eastAsia="宋体" w:cs="宋体"/>
                <w:color w:val="000000"/>
                <w:kern w:val="0"/>
                <w:sz w:val="24"/>
                <w:szCs w:val="24"/>
              </w:rPr>
            </w:pPr>
          </w:p>
          <w:p w14:paraId="14240575">
            <w:pPr>
              <w:widowControl/>
              <w:rPr>
                <w:rFonts w:hint="eastAsia" w:ascii="宋体" w:hAnsi="宋体" w:eastAsia="宋体" w:cs="宋体"/>
                <w:color w:val="000000"/>
                <w:kern w:val="0"/>
                <w:sz w:val="24"/>
                <w:szCs w:val="24"/>
              </w:rPr>
            </w:pPr>
            <w:r>
              <w:rPr>
                <w:rFonts w:hint="eastAsia" w:ascii="宋体" w:hAnsi="宋体" w:eastAsia="宋体" w:cs="宋体"/>
                <w:color w:val="000000"/>
                <w:kern w:val="0"/>
                <w:sz w:val="24"/>
                <w:szCs w:val="24"/>
              </w:rPr>
              <w:t>二、主要工作内容与成果</w:t>
            </w:r>
          </w:p>
          <w:p w14:paraId="44F20F27">
            <w:pPr>
              <w:pStyle w:val="12"/>
              <w:widowControl/>
              <w:numPr>
                <w:ilvl w:val="0"/>
                <w:numId w:val="2"/>
              </w:numPr>
              <w:ind w:firstLineChars="0"/>
              <w:rPr>
                <w:rFonts w:hint="eastAsia" w:ascii="宋体" w:hAnsi="宋体" w:eastAsia="宋体" w:cs="宋体"/>
                <w:color w:val="000000"/>
                <w:kern w:val="0"/>
                <w:sz w:val="24"/>
                <w:szCs w:val="24"/>
              </w:rPr>
            </w:pPr>
            <w:r>
              <w:rPr>
                <w:rFonts w:hint="eastAsia" w:ascii="宋体" w:hAnsi="宋体" w:eastAsia="宋体" w:cs="宋体"/>
                <w:color w:val="000000"/>
                <w:kern w:val="0"/>
                <w:sz w:val="24"/>
                <w:szCs w:val="24"/>
              </w:rPr>
              <w:t>个人工作内容完成情况</w:t>
            </w:r>
          </w:p>
          <w:p w14:paraId="7567FD4B">
            <w:pPr>
              <w:pStyle w:val="3"/>
              <w:keepNext w:val="0"/>
              <w:keepLines w:val="0"/>
              <w:widowControl/>
              <w:suppressLineNumbers w:val="0"/>
              <w:rPr>
                <w:rFonts w:hint="eastAsia" w:ascii="宋体" w:hAnsi="宋体" w:eastAsia="宋体" w:cs="宋体"/>
                <w:b w:val="0"/>
                <w:bCs w:val="0"/>
                <w:sz w:val="24"/>
                <w:szCs w:val="24"/>
              </w:rPr>
            </w:pPr>
            <w:r>
              <w:rPr>
                <w:rFonts w:hint="eastAsia" w:ascii="宋体" w:hAnsi="宋体" w:eastAsia="宋体" w:cs="宋体"/>
                <w:b w:val="0"/>
                <w:bCs w:val="0"/>
                <w:sz w:val="24"/>
                <w:szCs w:val="24"/>
              </w:rPr>
              <w:t>1.1 任务1：招聘评分与智能面试排期模块开发</w:t>
            </w:r>
          </w:p>
          <w:p w14:paraId="40C05164">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（1）</w:t>
            </w:r>
            <w:r>
              <w:rPr>
                <w:rStyle w:val="9"/>
                <w:rFonts w:hint="eastAsia" w:ascii="宋体" w:hAnsi="宋体" w:eastAsia="宋体" w:cs="宋体"/>
                <w:b w:val="0"/>
                <w:bCs w:val="0"/>
                <w:sz w:val="24"/>
                <w:szCs w:val="24"/>
              </w:rPr>
              <w:t>工作描述：</w:t>
            </w:r>
          </w:p>
          <w:p w14:paraId="0A87FFBF">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我负责招聘评分与智能面试排期两个核心算法模块的设计、实现和前后端接入。</w:t>
            </w:r>
          </w:p>
          <w:p w14:paraId="074B2EEF">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在招聘评分模块中，我根据岗位核心技能、工作经验、教育背景、岗位要求和候选人简历信息设计评分规则，将原有固定展示的候选人评分改为基于PostgreSQL真实数据的动态计算结果。同时，我将评分算法作为独立的确定性算法模块进行封装，明确大模型只能解释评分依据，不能直接修改评分结果和候选人排序。</w:t>
            </w:r>
          </w:p>
          <w:p w14:paraId="2BF056F0">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在智能面试排期模块中，我综合考虑候选人可用时间、面试官空闲时间、岗位优先级和时间冲突等因素，为候选人生成面试时间推荐结果。我还完成了排期算法与后端Service、数据库数据以及前端面试日历页面之间的调用关系梳理。</w:t>
            </w:r>
          </w:p>
          <w:p w14:paraId="5B54C92F">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开发过程中，我检查了候选人池、面试日历、招聘评分接口和排期推荐接口之间的数据传递，修复了候选人无法获取智能评估、评分固定以及面试日历加载异常等问题。</w:t>
            </w:r>
          </w:p>
          <w:p w14:paraId="4436816B">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（2）</w:t>
            </w:r>
            <w:r>
              <w:rPr>
                <w:rStyle w:val="9"/>
                <w:rFonts w:hint="eastAsia" w:ascii="宋体" w:hAnsi="宋体" w:eastAsia="宋体" w:cs="宋体"/>
                <w:b w:val="0"/>
                <w:bCs w:val="0"/>
                <w:sz w:val="24"/>
                <w:szCs w:val="24"/>
              </w:rPr>
              <w:t>交付成果：</w:t>
            </w:r>
          </w:p>
          <w:p w14:paraId="1B35C8E2">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完成招聘评分算法和智能面试排期算法两个核心模块。</w:t>
            </w:r>
          </w:p>
          <w:p w14:paraId="0037305A">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完成候选人池智能评分接口、面试排期推荐接口及相关Service调用逻辑。</w:t>
            </w:r>
          </w:p>
          <w:p w14:paraId="5ABD9EF1">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完成候选人池和面试日历前端页面的功能接入，使候选人评分能够随岗位和候选人数据变化动态更新，并能够在面试日历中展示排期推荐结果。</w:t>
            </w:r>
          </w:p>
          <w:p w14:paraId="7E8FF974">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完成核心算法调用边界设计，保证大模型不会修改确定性评分、候选人排序和排期结果。</w:t>
            </w:r>
          </w:p>
          <w:p w14:paraId="76623624">
            <w:pPr>
              <w:pStyle w:val="3"/>
              <w:keepNext w:val="0"/>
              <w:keepLines w:val="0"/>
              <w:widowControl/>
              <w:suppressLineNumbers w:val="0"/>
              <w:rPr>
                <w:rFonts w:hint="eastAsia" w:ascii="宋体" w:hAnsi="宋体" w:eastAsia="宋体" w:cs="宋体"/>
                <w:b w:val="0"/>
                <w:bCs w:val="0"/>
                <w:sz w:val="24"/>
                <w:szCs w:val="24"/>
              </w:rPr>
            </w:pPr>
            <w:r>
              <w:rPr>
                <w:rFonts w:hint="eastAsia" w:ascii="宋体" w:hAnsi="宋体" w:eastAsia="宋体" w:cs="宋体"/>
                <w:b w:val="0"/>
                <w:bCs w:val="0"/>
                <w:sz w:val="24"/>
                <w:szCs w:val="24"/>
              </w:rPr>
              <w:t>1.2 任务2：多Agent招聘流程开发与系统联调</w:t>
            </w:r>
          </w:p>
          <w:p w14:paraId="1B81DEC1">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（1）</w:t>
            </w:r>
            <w:r>
              <w:rPr>
                <w:rStyle w:val="9"/>
                <w:rFonts w:hint="eastAsia" w:ascii="宋体" w:hAnsi="宋体" w:eastAsia="宋体" w:cs="宋体"/>
                <w:b w:val="0"/>
                <w:bCs w:val="0"/>
                <w:sz w:val="24"/>
                <w:szCs w:val="24"/>
              </w:rPr>
              <w:t>任务描述：</w:t>
            </w:r>
          </w:p>
          <w:p w14:paraId="5E1306FA">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我负责多Agent招聘架构的设计、后端流程串联和前端执行过程展示。</w:t>
            </w:r>
          </w:p>
          <w:p w14:paraId="7B8419A4">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我将招聘业务划分为招聘策略、企业知识检索与简历解析、岗位匹配、面试评估、决策审查和HR最终报告等多个协作节点，并完成以下多Agent执行链路的串联：</w:t>
            </w:r>
          </w:p>
          <w:p w14:paraId="41FB7E0A">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Style w:val="9"/>
                <w:rFonts w:hint="eastAsia" w:ascii="宋体" w:hAnsi="宋体" w:eastAsia="宋体" w:cs="宋体"/>
                <w:b w:val="0"/>
                <w:bCs w:val="0"/>
                <w:sz w:val="24"/>
                <w:szCs w:val="24"/>
              </w:rPr>
              <w:t>招聘策略Agent → 企业知识检索与简历解析 → 岗位匹配 → 面试评估 → 决策审查 → HR最终报告。</w:t>
            </w:r>
          </w:p>
          <w:p w14:paraId="0EB89252">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在后端实现中，我统一了Agent、Tool、Service、核心算法、Agent Run持久化和SSE事件推送之间的调用关系。其中，Agent负责流程编排和结果组织，Tool负责封装可调用能力，Service负责处理具体业务，核心算法负责确定性计算，Agent Run负责记录执行过程，SSE负责向前端实时推送节点状态和执行结果。</w:t>
            </w:r>
          </w:p>
          <w:p w14:paraId="52CC2DF3">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我还区分了多Agent完整招聘评估与候选人池单次智能评分两类流程，分别明确其接口入口、后端处理方式和结果返回结构，避免完整Agent流程与单次评分功能相互混用。</w:t>
            </w:r>
          </w:p>
          <w:p w14:paraId="405C22D0">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在前端方面，我完成了多Agent工作流看板、节点状态、节点详情、实时事件流、候选人进度、岗位匹配结果、决策审查结果和HR最终报告等内容的设计与联动，使用户能够查看招聘评估的完整执行过程。</w:t>
            </w:r>
          </w:p>
          <w:p w14:paraId="30F97BDC">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（2）</w:t>
            </w:r>
            <w:r>
              <w:rPr>
                <w:rStyle w:val="9"/>
                <w:rFonts w:hint="eastAsia" w:ascii="宋体" w:hAnsi="宋体" w:eastAsia="宋体" w:cs="宋体"/>
                <w:b w:val="0"/>
                <w:bCs w:val="0"/>
                <w:sz w:val="24"/>
                <w:szCs w:val="24"/>
              </w:rPr>
              <w:t>交付成果：</w:t>
            </w:r>
          </w:p>
          <w:p w14:paraId="73ADD5B6">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完成多Agent招聘流程的后端整体串联，实现多个Agent节点按照既定顺序协同执行。</w:t>
            </w:r>
          </w:p>
          <w:p w14:paraId="33834573">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完成Agent、Tool、Service、核心算法和数据库持久化之间的调用关系设计。</w:t>
            </w:r>
          </w:p>
          <w:p w14:paraId="73B8ED4D">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完成Agent Run运行记录和SSE实时事件推送功能，使前端能够实时展示等待、运行、完成和异常等节点状态。</w:t>
            </w:r>
          </w:p>
          <w:p w14:paraId="07538E0E">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完成多Agent招聘评估前端看板及结果展示区域的主要设计与实现。</w:t>
            </w:r>
          </w:p>
          <w:p w14:paraId="6AE3BF6C">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完成HR最终报告生成流程，报告能够展示岗位匹配结果、评分依据、风险提示和决策审查结果，同时保留HR的最终录用决定权。</w:t>
            </w:r>
          </w:p>
          <w:p w14:paraId="3A62FCF9">
            <w:pPr>
              <w:pStyle w:val="3"/>
              <w:keepNext w:val="0"/>
              <w:keepLines w:val="0"/>
              <w:widowControl/>
              <w:suppressLineNumbers w:val="0"/>
              <w:rPr>
                <w:rFonts w:hint="eastAsia" w:ascii="宋体" w:hAnsi="宋体" w:eastAsia="宋体" w:cs="宋体"/>
                <w:b w:val="0"/>
                <w:bCs w:val="0"/>
                <w:sz w:val="24"/>
                <w:szCs w:val="24"/>
              </w:rPr>
            </w:pPr>
            <w:r>
              <w:rPr>
                <w:rFonts w:hint="eastAsia" w:ascii="宋体" w:hAnsi="宋体" w:eastAsia="宋体" w:cs="宋体"/>
                <w:b w:val="0"/>
                <w:bCs w:val="0"/>
                <w:sz w:val="24"/>
                <w:szCs w:val="24"/>
              </w:rPr>
              <w:t>1.3 其他任务与贡献</w:t>
            </w:r>
          </w:p>
          <w:p w14:paraId="576EE451">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除上述两个主要任务外，我还承担了以下工作：</w:t>
            </w:r>
          </w:p>
          <w:p w14:paraId="101AD858">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作为组长，我负责确定项目最终范围，完成成员任务分配、Sprint计划制定、项目进度检查和模块集成协调。</w:t>
            </w:r>
          </w:p>
          <w:p w14:paraId="3ED118AC">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我参与统一项目整体架构，明确使用一套FastAPI后端，由Web端、小程序端和Agent展示界面共同调用，并按照“API—Service—Repository—PostgreSQL”进行后端分层。</w:t>
            </w:r>
          </w:p>
          <w:p w14:paraId="0929A616">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我完成了本地招聘知识库的建设和精简，将原有知识文档调整为1份公司招聘规则和3份岗位标准，统一三个岗位的编号、所属部门、核心技能、经验要求和面试维度，并删除重复或相互矛盾的知识内容。</w:t>
            </w:r>
          </w:p>
          <w:p w14:paraId="3A698E39">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我优化了招聘策略、简历解析、岗位匹配和HR最终报告等环节的Prompt，强化结构化输出、真实证据引用和来源约束，禁止模型虚构候选人经历、修改确定性评分或直接作出录用决定。</w:t>
            </w:r>
          </w:p>
          <w:p w14:paraId="3DCE76E9">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我将候选人池、智能面试排期和招聘报告等功能改为基于PostgreSQL真实数据计算，避免前端使用固定评分、静态报表和模拟数据。</w:t>
            </w:r>
          </w:p>
          <w:p w14:paraId="53AD7CC8">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我检查了招聘评估相关代码结构，重点Review前端组件事件传递、SSE消息接收、后端Agent调度、Tool与Service边界以及大模型与确定性算法之间的职责划分。</w:t>
            </w:r>
          </w:p>
          <w:p w14:paraId="038F99EF">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我负责梳理Git分支使用规范，明确日常开发在dev分支进行，稳定版本再合并到main分支，并协助处理代码合并、远程仓库同步和提交记录等问题。</w:t>
            </w:r>
          </w:p>
          <w:p w14:paraId="7F8A1AB2">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我还参与修改AI抗性挑战完成报告和质量门禁完成报告，使项目文档与当前系统架构和实际实现情况保持一致。</w:t>
            </w:r>
          </w:p>
          <w:p w14:paraId="19A8142E">
            <w:pPr>
              <w:pStyle w:val="2"/>
              <w:keepNext w:val="0"/>
              <w:keepLines w:val="0"/>
              <w:widowControl/>
              <w:suppressLineNumbers w:val="0"/>
              <w:rPr>
                <w:rFonts w:hint="eastAsia" w:ascii="宋体" w:hAnsi="宋体" w:eastAsia="宋体" w:cs="宋体"/>
                <w:b w:val="0"/>
                <w:bCs w:val="0"/>
                <w:sz w:val="24"/>
                <w:szCs w:val="24"/>
              </w:rPr>
            </w:pPr>
            <w:r>
              <w:rPr>
                <w:rFonts w:hint="eastAsia" w:ascii="宋体" w:hAnsi="宋体" w:eastAsia="宋体" w:cs="宋体"/>
                <w:b w:val="0"/>
                <w:bCs w:val="0"/>
                <w:sz w:val="24"/>
                <w:szCs w:val="24"/>
              </w:rPr>
              <w:t>2. 解决实际问题情况</w:t>
            </w:r>
          </w:p>
          <w:p w14:paraId="4E8994E1">
            <w:pPr>
              <w:pStyle w:val="3"/>
              <w:keepNext w:val="0"/>
              <w:keepLines w:val="0"/>
              <w:widowControl/>
              <w:suppressLineNumbers w:val="0"/>
              <w:rPr>
                <w:rFonts w:hint="eastAsia" w:ascii="宋体" w:hAnsi="宋体" w:eastAsia="宋体" w:cs="宋体"/>
                <w:b w:val="0"/>
                <w:bCs w:val="0"/>
                <w:sz w:val="24"/>
                <w:szCs w:val="24"/>
              </w:rPr>
            </w:pPr>
            <w:r>
              <w:rPr>
                <w:rFonts w:hint="eastAsia" w:ascii="宋体" w:hAnsi="宋体" w:eastAsia="宋体" w:cs="宋体"/>
                <w:b w:val="0"/>
                <w:bCs w:val="0"/>
                <w:sz w:val="24"/>
                <w:szCs w:val="24"/>
              </w:rPr>
              <w:t>2.1 挑战一：候选人评估与面试日历无法正常联调</w:t>
            </w:r>
          </w:p>
          <w:p w14:paraId="1B35EDED">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（1）</w:t>
            </w:r>
            <w:r>
              <w:rPr>
                <w:rStyle w:val="9"/>
                <w:rFonts w:hint="eastAsia" w:ascii="宋体" w:hAnsi="宋体" w:eastAsia="宋体" w:cs="宋体"/>
                <w:b w:val="0"/>
                <w:bCs w:val="0"/>
                <w:sz w:val="24"/>
                <w:szCs w:val="24"/>
              </w:rPr>
              <w:t>问题分析：</w:t>
            </w:r>
          </w:p>
          <w:p w14:paraId="3980106F">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在前后端联调过程中，候选人池页面出现无法获取智能评估的问题，部分候选人的评分长期固定为81%，无法根据候选人简历和岗位要求发生变化。同时，面试日历页面曾出现长时间加载、空白页面、数据无法显示和页面状态不一致等现象。</w:t>
            </w:r>
          </w:p>
          <w:p w14:paraId="5AA391FC">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首先通过浏览器开发者工具检查前端请求和接口响应，发现部分请求存在返回失败、空数据或字段结构不一致的问题。随后，我进一步检查后端API、Service、Repository、数据库连接和算法调用链，发现问题并不是由单一模块导致，而是与数据库连接配置、种子数据、接口数据结构和前端静态数据同时存在有关。</w:t>
            </w:r>
          </w:p>
          <w:p w14:paraId="575D8BC0">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部分功能仍然使用固定评分或模拟数据，部分接口读取的数据库数据为空；同时，数据库宿主端口和后端连接地址曾存在不一致，导致后端无法正确读取真实数据。</w:t>
            </w:r>
          </w:p>
          <w:p w14:paraId="334D7B2A">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（2）</w:t>
            </w:r>
            <w:r>
              <w:rPr>
                <w:rStyle w:val="9"/>
                <w:rFonts w:hint="eastAsia" w:ascii="宋体" w:hAnsi="宋体" w:eastAsia="宋体" w:cs="宋体"/>
                <w:b w:val="0"/>
                <w:bCs w:val="0"/>
                <w:sz w:val="24"/>
                <w:szCs w:val="24"/>
              </w:rPr>
              <w:t>解决过程：</w:t>
            </w:r>
          </w:p>
          <w:p w14:paraId="5DE52ED6">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我按照“前端请求—后端API—Service—Repository—数据库—核心算法”的顺序逐层排查问题。</w:t>
            </w:r>
          </w:p>
          <w:p w14:paraId="5576FB77">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首先，统一后端数据库连接配置，保证FastAPI后端能够正常连接PostgreSQL数据库。</w:t>
            </w:r>
          </w:p>
          <w:p w14:paraId="6FF1F057">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其次，检查并补充数据库种子数据，统一岗位编号、岗位要求和候选人数据，确保评分和排期算法拥有可用输入。</w:t>
            </w:r>
          </w:p>
          <w:p w14:paraId="40ED3200">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随后，将候选人池中的固定评分和招聘报告中的静态数据替换为后端实时计算结果，使前端通过接口获取真实评分和统计数据。</w:t>
            </w:r>
          </w:p>
          <w:p w14:paraId="11784F57">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对于面试日历，我检查了前端请求参数、接口返回字段和页面状态更新逻辑，并统一排期接口的数据结构，使前端能够正确识别排期结果、空数据和异常状态。</w:t>
            </w:r>
          </w:p>
          <w:p w14:paraId="163B7230">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最后，我对候选人评分、排期推荐和前端页面进行整体联调，确认数据库数据变化后，页面展示结果也能够同步变化。</w:t>
            </w:r>
          </w:p>
          <w:p w14:paraId="448D1386">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（3）</w:t>
            </w:r>
            <w:r>
              <w:rPr>
                <w:rStyle w:val="9"/>
                <w:rFonts w:hint="eastAsia" w:ascii="宋体" w:hAnsi="宋体" w:eastAsia="宋体" w:cs="宋体"/>
                <w:b w:val="0"/>
                <w:bCs w:val="0"/>
                <w:sz w:val="24"/>
                <w:szCs w:val="24"/>
              </w:rPr>
              <w:t>结果与反思：</w:t>
            </w:r>
          </w:p>
          <w:p w14:paraId="0ABE687F">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问题解决后，候选人池能够正常获取智能评分，不同候选人的评分能够根据岗位要求和个人条件动态变化，不再全部显示相同结果。</w:t>
            </w:r>
          </w:p>
          <w:p w14:paraId="735D2F07">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面试日历能够正常加载数据库中的面试数据，并展示智能排期推荐结果。招聘报告中的统计数据也能够随数据库内容变化实时更新。</w:t>
            </w:r>
          </w:p>
          <w:p w14:paraId="3D0D234D">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解决该问题</w:t>
            </w:r>
            <w:r>
              <w:rPr>
                <w:rFonts w:hint="eastAsia" w:ascii="宋体" w:hAnsi="宋体" w:eastAsia="宋体" w:cs="宋体"/>
                <w:b w:val="0"/>
                <w:bCs w:val="0"/>
                <w:sz w:val="24"/>
                <w:szCs w:val="24"/>
                <w:lang w:val="en-US" w:eastAsia="zh-CN"/>
              </w:rPr>
              <w:t>后</w:t>
            </w:r>
            <w:r>
              <w:rPr>
                <w:rFonts w:hint="eastAsia" w:ascii="宋体" w:hAnsi="宋体" w:eastAsia="宋体" w:cs="宋体"/>
                <w:b w:val="0"/>
                <w:bCs w:val="0"/>
                <w:sz w:val="24"/>
                <w:szCs w:val="24"/>
              </w:rPr>
              <w:t>，我认识到前后端联调问题应</w:t>
            </w:r>
            <w:r>
              <w:rPr>
                <w:rFonts w:hint="eastAsia" w:ascii="宋体" w:hAnsi="宋体" w:eastAsia="宋体" w:cs="宋体"/>
                <w:b w:val="0"/>
                <w:bCs w:val="0"/>
                <w:sz w:val="24"/>
                <w:szCs w:val="24"/>
                <w:lang w:val="en-US" w:eastAsia="zh-CN"/>
              </w:rPr>
              <w:t>该</w:t>
            </w:r>
            <w:r>
              <w:rPr>
                <w:rFonts w:hint="eastAsia" w:ascii="宋体" w:hAnsi="宋体" w:eastAsia="宋体" w:cs="宋体"/>
                <w:b w:val="0"/>
                <w:bCs w:val="0"/>
                <w:sz w:val="24"/>
                <w:szCs w:val="24"/>
              </w:rPr>
              <w:t>沿着完整调用链逐层检查</w:t>
            </w:r>
            <w:r>
              <w:rPr>
                <w:rFonts w:hint="eastAsia" w:ascii="宋体" w:hAnsi="宋体" w:eastAsia="宋体" w:cs="宋体"/>
                <w:b w:val="0"/>
                <w:bCs w:val="0"/>
                <w:sz w:val="24"/>
                <w:szCs w:val="24"/>
                <w:lang w:eastAsia="zh-CN"/>
              </w:rPr>
              <w:t>，</w:t>
            </w:r>
            <w:r>
              <w:rPr>
                <w:rFonts w:hint="eastAsia" w:ascii="宋体" w:hAnsi="宋体" w:eastAsia="宋体" w:cs="宋体"/>
                <w:b w:val="0"/>
                <w:bCs w:val="0"/>
                <w:sz w:val="24"/>
                <w:szCs w:val="24"/>
                <w:lang w:val="en-US" w:eastAsia="zh-CN"/>
              </w:rPr>
              <w:t>优先检查接口路由问题</w:t>
            </w:r>
            <w:r>
              <w:rPr>
                <w:rFonts w:hint="eastAsia" w:ascii="宋体" w:hAnsi="宋体" w:eastAsia="宋体" w:cs="宋体"/>
                <w:b w:val="0"/>
                <w:bCs w:val="0"/>
                <w:sz w:val="24"/>
                <w:szCs w:val="24"/>
              </w:rPr>
              <w:t>。</w:t>
            </w:r>
            <w:r>
              <w:rPr>
                <w:rFonts w:hint="eastAsia" w:ascii="宋体" w:hAnsi="宋体" w:eastAsia="宋体" w:cs="宋体"/>
                <w:b w:val="0"/>
                <w:bCs w:val="0"/>
                <w:sz w:val="24"/>
                <w:szCs w:val="24"/>
                <w:lang w:val="en-US" w:eastAsia="zh-CN"/>
              </w:rPr>
              <w:t>而</w:t>
            </w:r>
            <w:r>
              <w:rPr>
                <w:rFonts w:hint="eastAsia" w:ascii="宋体" w:hAnsi="宋体" w:eastAsia="宋体" w:cs="宋体"/>
                <w:b w:val="0"/>
                <w:bCs w:val="0"/>
                <w:sz w:val="24"/>
                <w:szCs w:val="24"/>
              </w:rPr>
              <w:t>前端显示异常可能同时与接口结构、业务逻辑、数据库数据和环境配置有关，</w:t>
            </w:r>
            <w:r>
              <w:rPr>
                <w:rFonts w:hint="eastAsia" w:ascii="宋体" w:hAnsi="宋体" w:eastAsia="宋体" w:cs="宋体"/>
                <w:b w:val="0"/>
                <w:bCs w:val="0"/>
                <w:sz w:val="24"/>
                <w:szCs w:val="24"/>
                <w:lang w:val="en-US" w:eastAsia="zh-CN"/>
              </w:rPr>
              <w:t>所以</w:t>
            </w:r>
            <w:r>
              <w:rPr>
                <w:rFonts w:hint="eastAsia" w:ascii="宋体" w:hAnsi="宋体" w:eastAsia="宋体" w:cs="宋体"/>
                <w:b w:val="0"/>
                <w:bCs w:val="0"/>
                <w:sz w:val="24"/>
                <w:szCs w:val="24"/>
              </w:rPr>
              <w:t>统一数据来源和接口契约十分重要。</w:t>
            </w:r>
          </w:p>
          <w:p w14:paraId="05A42AB6">
            <w:pPr>
              <w:pStyle w:val="3"/>
              <w:keepNext w:val="0"/>
              <w:keepLines w:val="0"/>
              <w:widowControl/>
              <w:suppressLineNumbers w:val="0"/>
              <w:rPr>
                <w:rFonts w:hint="eastAsia" w:ascii="宋体" w:hAnsi="宋体" w:eastAsia="宋体" w:cs="宋体"/>
                <w:b w:val="0"/>
                <w:bCs w:val="0"/>
                <w:sz w:val="24"/>
                <w:szCs w:val="24"/>
              </w:rPr>
            </w:pPr>
            <w:r>
              <w:rPr>
                <w:rFonts w:hint="eastAsia" w:ascii="宋体" w:hAnsi="宋体" w:eastAsia="宋体" w:cs="宋体"/>
                <w:b w:val="0"/>
                <w:bCs w:val="0"/>
                <w:sz w:val="24"/>
                <w:szCs w:val="24"/>
              </w:rPr>
              <w:t>2.2 挑战二：多Agent调用链复杂且前后端状态不同步</w:t>
            </w:r>
          </w:p>
          <w:p w14:paraId="4BB603DB">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（1）</w:t>
            </w:r>
            <w:r>
              <w:rPr>
                <w:rStyle w:val="9"/>
                <w:rFonts w:hint="eastAsia" w:ascii="宋体" w:hAnsi="宋体" w:eastAsia="宋体" w:cs="宋体"/>
                <w:b w:val="0"/>
                <w:bCs w:val="0"/>
                <w:sz w:val="24"/>
                <w:szCs w:val="24"/>
              </w:rPr>
              <w:t>问题分析：</w:t>
            </w:r>
          </w:p>
          <w:p w14:paraId="2853C20C">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多Agent招聘流程涉及招聘策略、知识检索、简历解析、岗位匹配、面试评估、决策审查和HR最终报告等多个节点，同时还需要调用Tool、Service、核心算法、数据库持久化和SSE实时推送。</w:t>
            </w:r>
          </w:p>
          <w:p w14:paraId="5152BB4A">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在初期设计中，各模块之间的职责边界不够清晰，出现Agent直接处理业务逻辑、重复调用评分算法、大模型覆盖确定性评分以及前端节点状态无法与后端运行状态对应等问题。</w:t>
            </w:r>
          </w:p>
          <w:p w14:paraId="21B8E356">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此外，多Agent流程会持续产生SSE事件。如果前后端使用的节点名称、事件类型和状态值不一致，就可能出现后端已经执行完成，但前端节点仍然显示“运行中”的情况。</w:t>
            </w:r>
          </w:p>
          <w:p w14:paraId="6062A766">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（2）</w:t>
            </w:r>
            <w:r>
              <w:rPr>
                <w:rStyle w:val="9"/>
                <w:rFonts w:hint="eastAsia" w:ascii="宋体" w:hAnsi="宋体" w:eastAsia="宋体" w:cs="宋体"/>
                <w:b w:val="0"/>
                <w:bCs w:val="0"/>
                <w:sz w:val="24"/>
                <w:szCs w:val="24"/>
              </w:rPr>
              <w:t>解决过程：</w:t>
            </w:r>
          </w:p>
          <w:p w14:paraId="6DF59BD6">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我重新梳理了完整的多Agen</w:t>
            </w:r>
            <w:r>
              <w:rPr>
                <w:rFonts w:hint="eastAsia" w:ascii="宋体" w:hAnsi="宋体" w:eastAsia="宋体" w:cs="宋体"/>
                <w:b w:val="0"/>
                <w:bCs w:val="0"/>
                <w:sz w:val="24"/>
                <w:szCs w:val="24"/>
                <w:lang w:val="en-US" w:eastAsia="zh-CN"/>
              </w:rPr>
              <w:t>t</w:t>
            </w:r>
            <w:r>
              <w:rPr>
                <w:rFonts w:hint="eastAsia" w:ascii="宋体" w:hAnsi="宋体" w:eastAsia="宋体" w:cs="宋体"/>
                <w:b w:val="0"/>
                <w:bCs w:val="0"/>
                <w:sz w:val="24"/>
                <w:szCs w:val="24"/>
              </w:rPr>
              <w:t>招聘调用链，明确每一层的职责。</w:t>
            </w:r>
          </w:p>
          <w:p w14:paraId="38D7AEC9">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Agent只负责流程调度和结果组织，Tool负责封装Agent可以调用的业务能力，Service负责具体业务逻辑，核心算法负责招聘评分和面试排期等确定性计算，Agent Run负责保存每次执行记录，SSE负责将节点状态和结果实时推送到前端。</w:t>
            </w:r>
          </w:p>
          <w:p w14:paraId="5C33A210">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对于大模型和核心算法之间的关系，我在Prompt和代码调用边界中同时进行限制，明确大模型不得修改确定性评分、候选人排序和面试结论，只能基于真实数据进行分析、解释和报告生成。</w:t>
            </w:r>
          </w:p>
          <w:p w14:paraId="5B4C116F">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在实时状态展示方面，我统一后端SSE事件结构，明确节点标识、运行状态、执行结果和错误信息等字段，并检查前端事件监听、组件传递和状态映射逻辑。</w:t>
            </w:r>
          </w:p>
          <w:p w14:paraId="6481FB86">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我还将节点状态统一划分为等待、运行、完成和异常等类型，使前端工作流看板能够根据后端事件进行实时更新。</w:t>
            </w:r>
          </w:p>
          <w:p w14:paraId="3F39E0B0">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（3）</w:t>
            </w:r>
            <w:r>
              <w:rPr>
                <w:rStyle w:val="9"/>
                <w:rFonts w:hint="eastAsia" w:ascii="宋体" w:hAnsi="宋体" w:eastAsia="宋体" w:cs="宋体"/>
                <w:b w:val="0"/>
                <w:bCs w:val="0"/>
                <w:sz w:val="24"/>
                <w:szCs w:val="24"/>
              </w:rPr>
              <w:t>结果与反思：</w:t>
            </w:r>
          </w:p>
          <w:p w14:paraId="3D3E2B93">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完成调整后，多Agent招聘流程能够按照“招聘策略—知识检索与简历解析—岗位匹配—面试评估—决策审查—HR最终报告”的顺序执行。</w:t>
            </w:r>
          </w:p>
          <w:p w14:paraId="7FFF4DA0">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前端能够实时展示各Agent节点的执行状态、输入输出和评估结果，用户不仅能够看到最终报告，还可以查看完整的处理过程和决策依据。</w:t>
            </w:r>
          </w:p>
          <w:p w14:paraId="4F750406">
            <w:pPr>
              <w:pStyle w:val="6"/>
              <w:keepNext w:val="0"/>
              <w:keepLines w:val="0"/>
              <w:widowControl/>
              <w:suppressLineNumbers w:val="0"/>
              <w:rPr>
                <w:rFonts w:hint="eastAsia" w:ascii="宋体" w:hAnsi="宋体" w:eastAsia="宋体" w:cs="宋体"/>
                <w:b w:val="0"/>
                <w:bCs w:val="0"/>
                <w:sz w:val="24"/>
                <w:szCs w:val="24"/>
              </w:rPr>
            </w:pPr>
            <w:r>
              <w:rPr>
                <w:rFonts w:hint="eastAsia" w:ascii="宋体" w:hAnsi="宋体" w:eastAsia="宋体" w:cs="宋体"/>
                <w:b w:val="0"/>
                <w:bCs w:val="0"/>
                <w:sz w:val="24"/>
                <w:szCs w:val="24"/>
              </w:rPr>
              <w:t>解决该问题</w:t>
            </w:r>
            <w:r>
              <w:rPr>
                <w:rFonts w:hint="eastAsia" w:ascii="宋体" w:hAnsi="宋体" w:eastAsia="宋体" w:cs="宋体"/>
                <w:b w:val="0"/>
                <w:bCs w:val="0"/>
                <w:sz w:val="24"/>
                <w:szCs w:val="24"/>
                <w:lang w:val="en-US" w:eastAsia="zh-CN"/>
              </w:rPr>
              <w:t>后</w:t>
            </w:r>
            <w:r>
              <w:rPr>
                <w:rFonts w:hint="eastAsia" w:ascii="宋体" w:hAnsi="宋体" w:eastAsia="宋体" w:cs="宋体"/>
                <w:b w:val="0"/>
                <w:bCs w:val="0"/>
                <w:sz w:val="24"/>
                <w:szCs w:val="24"/>
              </w:rPr>
              <w:t>，我进一步认识到，多Agent系统的关键在于职责划分、数据传递和流程编排。对于具有明确业务规则的评分、排序和排期任务，应由确定性算法负责；大模型更适合进行知识理解、信息提取、原因解释和报告组织。只有明确各模块边界，才能提高系统的稳定性、可解释性和可维护性。</w:t>
            </w:r>
          </w:p>
          <w:p w14:paraId="2BA2E482">
            <w:pPr>
              <w:widowControl/>
              <w:rPr>
                <w:rFonts w:hint="eastAsia" w:ascii="宋体" w:hAnsi="宋体" w:eastAsia="宋体" w:cs="宋体"/>
                <w:color w:val="000000"/>
                <w:kern w:val="0"/>
                <w:sz w:val="24"/>
                <w:szCs w:val="24"/>
              </w:rPr>
            </w:pPr>
            <w:r>
              <w:rPr>
                <w:rFonts w:hint="eastAsia" w:ascii="宋体" w:hAnsi="宋体" w:eastAsia="宋体" w:cs="宋体"/>
                <w:color w:val="000000"/>
                <w:kern w:val="0"/>
                <w:sz w:val="24"/>
                <w:szCs w:val="24"/>
              </w:rPr>
              <w:t>三、</w:t>
            </w:r>
            <w:r>
              <w:rPr>
                <w:rFonts w:ascii="宋体" w:hAnsi="宋体" w:eastAsia="宋体" w:cs="宋体"/>
                <w:color w:val="000000"/>
                <w:kern w:val="0"/>
                <w:sz w:val="24"/>
                <w:szCs w:val="24"/>
              </w:rPr>
              <w:t>心得体会与学习收获</w:t>
            </w:r>
          </w:p>
          <w:p w14:paraId="344810D5">
            <w:pPr>
              <w:pStyle w:val="2"/>
              <w:keepNext w:val="0"/>
              <w:keepLines w:val="0"/>
              <w:widowControl/>
              <w:suppressLineNumbers w:val="0"/>
              <w:rPr>
                <w:rFonts w:hint="eastAsia" w:ascii="宋体" w:hAnsi="宋体" w:eastAsia="宋体" w:cs="宋体"/>
                <w:b w:val="0"/>
                <w:bCs w:val="0"/>
                <w:sz w:val="24"/>
                <w:szCs w:val="24"/>
              </w:rPr>
            </w:pPr>
            <w:r>
              <w:rPr>
                <w:rFonts w:hint="eastAsia" w:ascii="宋体" w:hAnsi="宋体" w:eastAsia="宋体" w:cs="宋体"/>
                <w:b w:val="0"/>
                <w:bCs w:val="0"/>
                <w:sz w:val="24"/>
                <w:szCs w:val="24"/>
              </w:rPr>
              <w:t>1. 专业知识与技能</w:t>
            </w:r>
          </w:p>
          <w:p w14:paraId="45A0ADCF">
            <w:pPr>
              <w:pStyle w:val="3"/>
              <w:keepNext w:val="0"/>
              <w:keepLines w:val="0"/>
              <w:widowControl/>
              <w:suppressLineNumbers w:val="0"/>
              <w:rPr>
                <w:rFonts w:hint="eastAsia" w:ascii="宋体" w:hAnsi="宋体" w:eastAsia="宋体" w:cs="宋体"/>
                <w:b w:val="0"/>
                <w:bCs w:val="0"/>
                <w:sz w:val="24"/>
                <w:szCs w:val="24"/>
              </w:rPr>
            </w:pPr>
            <w:r>
              <w:rPr>
                <w:rFonts w:hint="eastAsia" w:ascii="宋体" w:hAnsi="宋体" w:eastAsia="宋体" w:cs="宋体"/>
                <w:b w:val="0"/>
                <w:bCs w:val="0"/>
                <w:sz w:val="24"/>
                <w:szCs w:val="24"/>
              </w:rPr>
              <w:t>（1）</w:t>
            </w:r>
            <w:r>
              <w:rPr>
                <w:rFonts w:hint="eastAsia" w:cs="宋体"/>
                <w:b w:val="0"/>
                <w:bCs w:val="0"/>
                <w:sz w:val="24"/>
                <w:szCs w:val="24"/>
                <w:lang w:val="en-US" w:eastAsia="zh-CN"/>
              </w:rPr>
              <w:t>更加熟练</w:t>
            </w:r>
            <w:r>
              <w:rPr>
                <w:rFonts w:hint="eastAsia" w:ascii="宋体" w:hAnsi="宋体" w:eastAsia="宋体" w:cs="宋体"/>
                <w:b w:val="0"/>
                <w:bCs w:val="0"/>
                <w:sz w:val="24"/>
                <w:szCs w:val="24"/>
              </w:rPr>
              <w:t>前后端分离与模块化开发方法</w:t>
            </w:r>
          </w:p>
          <w:p w14:paraId="4F40F301">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本次项目实践，我将课堂中学习的前后端分离思想应用到了完整项目中。项目后端采用FastAPI框架，前端通过统一的API接口访问后端服务，后端按照“API—Service—Repository—PostgreSQL”进行分层，将接口处理、业务逻辑、数据访问和数据存储相互分离。</w:t>
            </w:r>
          </w:p>
          <w:p w14:paraId="51379223">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在开发过程中，招聘、员工服务、考勤、薪资预审、权限审计和企业知识检索等功能被划分为相对独立的业务模块，各模块通过统一接口和数据结构进行协作。这种设计能够降低代码之间的耦合程度，也便于团队成员并行开发、功能扩展和后续维护。</w:t>
            </w:r>
          </w:p>
          <w:p w14:paraId="29F5D757">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lang w:val="en-US" w:eastAsia="zh-CN"/>
              </w:rPr>
              <w:t>在</w:t>
            </w:r>
            <w:r>
              <w:rPr>
                <w:rFonts w:hint="eastAsia" w:ascii="宋体" w:hAnsi="宋体" w:eastAsia="宋体" w:cs="宋体"/>
                <w:b w:val="0"/>
                <w:bCs w:val="0"/>
                <w:sz w:val="24"/>
                <w:szCs w:val="24"/>
              </w:rPr>
              <w:t>候选人池、面试日历和招聘报告等模块的前后端联调</w:t>
            </w:r>
            <w:r>
              <w:rPr>
                <w:rFonts w:hint="eastAsia" w:ascii="宋体" w:hAnsi="宋体" w:eastAsia="宋体" w:cs="宋体"/>
                <w:b w:val="0"/>
                <w:bCs w:val="0"/>
                <w:sz w:val="24"/>
                <w:szCs w:val="24"/>
                <w:lang w:val="en-US" w:eastAsia="zh-CN"/>
              </w:rPr>
              <w:t>后</w:t>
            </w:r>
            <w:r>
              <w:rPr>
                <w:rFonts w:hint="eastAsia" w:ascii="宋体" w:hAnsi="宋体" w:eastAsia="宋体" w:cs="宋体"/>
                <w:b w:val="0"/>
                <w:bCs w:val="0"/>
                <w:sz w:val="24"/>
                <w:szCs w:val="24"/>
              </w:rPr>
              <w:t>，我进一步掌握了接口参数设计、返回数据结构统一、数据库实时数据处理以及前端状态更新等技术。</w:t>
            </w:r>
          </w:p>
          <w:p w14:paraId="6255E6F3">
            <w:pPr>
              <w:pStyle w:val="3"/>
              <w:keepNext w:val="0"/>
              <w:keepLines w:val="0"/>
              <w:widowControl/>
              <w:suppressLineNumbers w:val="0"/>
              <w:rPr>
                <w:rFonts w:hint="eastAsia" w:ascii="宋体" w:hAnsi="宋体" w:eastAsia="宋体" w:cs="宋体"/>
                <w:b w:val="0"/>
                <w:bCs w:val="0"/>
                <w:sz w:val="24"/>
                <w:szCs w:val="24"/>
              </w:rPr>
            </w:pPr>
            <w:r>
              <w:rPr>
                <w:rFonts w:hint="eastAsia" w:ascii="宋体" w:hAnsi="宋体" w:eastAsia="宋体" w:cs="宋体"/>
                <w:b w:val="0"/>
                <w:bCs w:val="0"/>
                <w:sz w:val="24"/>
                <w:szCs w:val="24"/>
              </w:rPr>
              <w:t>（2）掌握了多Agent系统的设计与流程编排方法</w:t>
            </w:r>
          </w:p>
          <w:p w14:paraId="25C73730">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在技术实现中，我掌握了按照“Agent—Tool—Service—核心算法”的方式组织智能业务。Agent负责流程调度和结果组织，Tool负责封装可调用能力，Service负责具体业务逻辑，核心算法负责招聘评分和面试排期等确定性计算。</w:t>
            </w:r>
          </w:p>
          <w:p w14:paraId="2B969763">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我还学习了使用Agent Run记录每次流程的执行情况，并通过SSE将节点状态和执行结果实时推送到前端，使用户能够看到各Agent节点的等待、运行、完成和异常状态。</w:t>
            </w:r>
          </w:p>
          <w:p w14:paraId="164678EC">
            <w:pPr>
              <w:pStyle w:val="3"/>
              <w:keepNext w:val="0"/>
              <w:keepLines w:val="0"/>
              <w:widowControl/>
              <w:suppressLineNumbers w:val="0"/>
              <w:rPr>
                <w:rFonts w:hint="eastAsia" w:ascii="宋体" w:hAnsi="宋体" w:eastAsia="宋体" w:cs="宋体"/>
                <w:b w:val="0"/>
                <w:bCs w:val="0"/>
                <w:sz w:val="24"/>
                <w:szCs w:val="24"/>
              </w:rPr>
            </w:pPr>
            <w:r>
              <w:rPr>
                <w:rFonts w:hint="eastAsia" w:ascii="宋体" w:hAnsi="宋体" w:eastAsia="宋体" w:cs="宋体"/>
                <w:b w:val="0"/>
                <w:bCs w:val="0"/>
                <w:sz w:val="24"/>
                <w:szCs w:val="24"/>
              </w:rPr>
              <w:t>（3）加深了对确定性算法、RAG和大模型能力边界的理解</w:t>
            </w:r>
          </w:p>
          <w:p w14:paraId="43E7C93D">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在招聘评分和智能面试排期模块开发中，我将业务规则转化为确定性算法，根据岗位要求、候选人技能、工作经验、时间安排和冲突情况生成评分及排期结果。</w:t>
            </w:r>
            <w:r>
              <w:rPr>
                <w:rFonts w:hint="eastAsia" w:ascii="宋体" w:hAnsi="宋体" w:eastAsia="宋体" w:cs="宋体"/>
                <w:b w:val="0"/>
                <w:bCs w:val="0"/>
                <w:sz w:val="24"/>
                <w:szCs w:val="24"/>
                <w:lang w:val="en-US" w:eastAsia="zh-CN"/>
              </w:rPr>
              <w:t>我还明白了</w:t>
            </w:r>
            <w:r>
              <w:rPr>
                <w:rFonts w:hint="eastAsia" w:ascii="宋体" w:hAnsi="宋体" w:eastAsia="宋体" w:cs="宋体"/>
                <w:b w:val="0"/>
                <w:bCs w:val="0"/>
                <w:sz w:val="24"/>
                <w:szCs w:val="24"/>
              </w:rPr>
              <w:t>确定性算法能够保证结果稳定、可复现和可解释，而大模型更适合完成知识理解、简历信息提取、原因分析和报告组织。</w:t>
            </w:r>
          </w:p>
          <w:p w14:paraId="4E804A14">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在企业知识检索方面，我完成了本地招聘知识库的精简和统一，将公司招聘规则及岗位标准作为Agent分析的知识来源。我进一步理解了RAG系统中知识文档质量、字段统一和来源约束的重要性。只有知识库内容准确且结构一致，模型才能生成可信的分析结果。</w:t>
            </w:r>
          </w:p>
          <w:p w14:paraId="5E29B595">
            <w:pPr>
              <w:pStyle w:val="2"/>
              <w:keepNext w:val="0"/>
              <w:keepLines w:val="0"/>
              <w:widowControl/>
              <w:suppressLineNumbers w:val="0"/>
              <w:rPr>
                <w:rFonts w:hint="eastAsia" w:ascii="宋体" w:hAnsi="宋体" w:eastAsia="宋体" w:cs="宋体"/>
                <w:b w:val="0"/>
                <w:bCs w:val="0"/>
                <w:sz w:val="24"/>
                <w:szCs w:val="24"/>
              </w:rPr>
            </w:pPr>
            <w:r>
              <w:rPr>
                <w:rFonts w:hint="eastAsia" w:ascii="宋体" w:hAnsi="宋体" w:eastAsia="宋体" w:cs="宋体"/>
                <w:b w:val="0"/>
                <w:bCs w:val="0"/>
                <w:sz w:val="24"/>
                <w:szCs w:val="24"/>
              </w:rPr>
              <w:t>2. 软件工程实践</w:t>
            </w:r>
          </w:p>
          <w:p w14:paraId="6E021EE6">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lang w:val="en-US" w:eastAsia="zh-CN"/>
              </w:rPr>
              <w:t>开发完</w:t>
            </w:r>
            <w:r>
              <w:rPr>
                <w:rFonts w:hint="eastAsia" w:ascii="宋体" w:hAnsi="宋体" w:eastAsia="宋体" w:cs="宋体"/>
                <w:b w:val="0"/>
                <w:bCs w:val="0"/>
                <w:sz w:val="24"/>
                <w:szCs w:val="24"/>
              </w:rPr>
              <w:t>本次项目</w:t>
            </w:r>
            <w:r>
              <w:rPr>
                <w:rFonts w:hint="eastAsia" w:ascii="宋体" w:hAnsi="宋体" w:eastAsia="宋体" w:cs="宋体"/>
                <w:b w:val="0"/>
                <w:bCs w:val="0"/>
                <w:sz w:val="24"/>
                <w:szCs w:val="24"/>
                <w:lang w:val="en-US" w:eastAsia="zh-CN"/>
              </w:rPr>
              <w:t>后</w:t>
            </w:r>
            <w:r>
              <w:rPr>
                <w:rFonts w:hint="eastAsia" w:ascii="宋体" w:hAnsi="宋体" w:eastAsia="宋体" w:cs="宋体"/>
                <w:b w:val="0"/>
                <w:bCs w:val="0"/>
                <w:sz w:val="24"/>
                <w:szCs w:val="24"/>
              </w:rPr>
              <w:t>，我对完整的软件开发流程有了更加深入的认识。在项目初期，我们首先确定了系统的功能范围和整体架构，并对招聘、员工服务、考勤、薪资预审和权限审计等模块进行划分。这</w:t>
            </w:r>
            <w:r>
              <w:rPr>
                <w:rFonts w:hint="eastAsia" w:ascii="宋体" w:hAnsi="宋体" w:eastAsia="宋体" w:cs="宋体"/>
                <w:b w:val="0"/>
                <w:bCs w:val="0"/>
                <w:sz w:val="24"/>
                <w:szCs w:val="24"/>
                <w:lang w:val="en-US" w:eastAsia="zh-CN"/>
              </w:rPr>
              <w:t>让</w:t>
            </w:r>
            <w:r>
              <w:rPr>
                <w:rFonts w:hint="eastAsia" w:ascii="宋体" w:hAnsi="宋体" w:eastAsia="宋体" w:cs="宋体"/>
                <w:b w:val="0"/>
                <w:bCs w:val="0"/>
                <w:sz w:val="24"/>
                <w:szCs w:val="24"/>
              </w:rPr>
              <w:t>我认识到，清晰的需求分析和模块边界是项目顺利推进的基础。如果前期没有统一功能范围、接口规范和数据结构，后期就容易出现重复开发、接口不兼容和大量返工。</w:t>
            </w:r>
          </w:p>
          <w:p w14:paraId="14955DA6">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在前后端联调过程中，我进一步认识到统一数据来源和接口契约的重要性。候选人池无法获取智能评分、面试日历加载异常和招聘报告数据固定等问题，表面上是页面显示异常，实际可能与前端请求、后端接口、Service逻辑、数据库配置和算法调用等多个环节有关。</w:t>
            </w:r>
          </w:p>
          <w:p w14:paraId="0E19CFD6">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因此，在排查问题时，我逐渐形成了按照“前端请求—后端API—Service—Repository—数据库—核心算法”的顺序逐层检查的方法。这种方式能够更准确地定位问题根源，也能够减少只修改表面现象而没有解决实际问题的情况。</w:t>
            </w:r>
          </w:p>
          <w:p w14:paraId="72DA8393">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本次项目也让我认识到，软件还需要考虑空数据、网络异常、数据库连接失败、模型调用异常和SSE连接中断等边界情况</w:t>
            </w:r>
            <w:r>
              <w:rPr>
                <w:rFonts w:hint="eastAsia" w:ascii="宋体" w:hAnsi="宋体" w:eastAsia="宋体" w:cs="宋体"/>
                <w:b w:val="0"/>
                <w:bCs w:val="0"/>
                <w:sz w:val="24"/>
                <w:szCs w:val="24"/>
                <w:lang w:eastAsia="zh-CN"/>
              </w:rPr>
              <w:t>，</w:t>
            </w:r>
            <w:r>
              <w:rPr>
                <w:rFonts w:hint="eastAsia" w:ascii="宋体" w:hAnsi="宋体" w:eastAsia="宋体" w:cs="宋体"/>
                <w:b w:val="0"/>
                <w:bCs w:val="0"/>
                <w:sz w:val="24"/>
                <w:szCs w:val="24"/>
              </w:rPr>
              <w:t>异常处理和稳定性验证是工程实践中需要持续加强的部分。</w:t>
            </w:r>
          </w:p>
          <w:p w14:paraId="5A3E7ED3">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此外，我进一步理解了Git分支管理和提交记录的重要性。通过使用dev分支进行日常开发、使用main分支保存稳定版本，并规范代码提交和合并流程，可以降低多人协作时代码冲突和版本混乱的风险，也便于在出现问题时查看历史记录或回退版本。</w:t>
            </w:r>
          </w:p>
          <w:p w14:paraId="13E49DAA">
            <w:pPr>
              <w:pStyle w:val="2"/>
              <w:keepNext w:val="0"/>
              <w:keepLines w:val="0"/>
              <w:widowControl/>
              <w:suppressLineNumbers w:val="0"/>
              <w:rPr>
                <w:rFonts w:hint="eastAsia" w:ascii="宋体" w:hAnsi="宋体" w:eastAsia="宋体" w:cs="宋体"/>
                <w:b w:val="0"/>
                <w:bCs w:val="0"/>
                <w:sz w:val="24"/>
                <w:szCs w:val="24"/>
              </w:rPr>
            </w:pPr>
            <w:r>
              <w:rPr>
                <w:rFonts w:hint="eastAsia" w:ascii="宋体" w:hAnsi="宋体" w:eastAsia="宋体" w:cs="宋体"/>
                <w:b w:val="0"/>
                <w:bCs w:val="0"/>
                <w:sz w:val="24"/>
                <w:szCs w:val="24"/>
              </w:rPr>
              <w:t>3. 团队协作与沟通</w:t>
            </w:r>
          </w:p>
          <w:p w14:paraId="0C4AA7D2">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在本次项目中，我担任组长，除了完成个人负责的招聘评分、智能面试排期和多Agent招聘流程等任务外，还负责项目范围确定、成员任务分配、开发进度检查和模块集成协调。</w:t>
            </w:r>
          </w:p>
          <w:p w14:paraId="156016C1">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lang w:val="en-US" w:eastAsia="zh-CN"/>
              </w:rPr>
              <w:t>在开发中</w:t>
            </w:r>
            <w:r>
              <w:rPr>
                <w:rFonts w:hint="eastAsia" w:ascii="宋体" w:hAnsi="宋体" w:eastAsia="宋体" w:cs="宋体"/>
                <w:b w:val="0"/>
                <w:bCs w:val="0"/>
                <w:sz w:val="24"/>
                <w:szCs w:val="24"/>
              </w:rPr>
              <w:t>，我认识到任务分工需要明确每个成员负责的接口、数据表、业务逻辑和交付成果。如果模块之间的边界不清晰，就容易出现多个成员修改同一部分代码，或者每个人都完成了自己的功能，但最终无法集成的问题。</w:t>
            </w:r>
          </w:p>
          <w:p w14:paraId="69EFC90A">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还认识到，定期同步项目进度和问题能够帮助团队及时调整开发计划。对于影响多个模块的问题，应尽早在团队中说明，而不能等到最终联调阶段再集中处理。通过制定Sprint任务、检查成员完成情况和及时调整后续计划，可以使团队始终保持一致的开发方向。</w:t>
            </w:r>
          </w:p>
          <w:p w14:paraId="1CDB2CCE">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作为组长，我也认识到团队管理并不意味着一个人承担所有困难任务。组长需要合理分配工作，明确验收标准，并帮助成员分析问题，但同时也应鼓励每位成员独立完成和排查自己负责的模块。今后我会进一步加强任务边界管理和沟通效率，使团队成员能够更加主动地发现问题、同步问题并解决问题。</w:t>
            </w:r>
          </w:p>
          <w:p w14:paraId="5207B628">
            <w:pPr>
              <w:pStyle w:val="6"/>
              <w:keepNext w:val="0"/>
              <w:keepLines w:val="0"/>
              <w:widowControl/>
              <w:suppressLineNumbers w:val="0"/>
              <w:rPr>
                <w:rFonts w:hint="eastAsia" w:ascii="宋体" w:hAnsi="宋体" w:eastAsia="宋体" w:cs="宋体"/>
                <w:b w:val="0"/>
                <w:bCs w:val="0"/>
                <w:sz w:val="24"/>
                <w:szCs w:val="24"/>
              </w:rPr>
            </w:pPr>
            <w:r>
              <w:rPr>
                <w:rFonts w:hint="eastAsia" w:ascii="宋体" w:hAnsi="宋体" w:eastAsia="宋体" w:cs="宋体"/>
                <w:b w:val="0"/>
                <w:bCs w:val="0"/>
                <w:sz w:val="24"/>
                <w:szCs w:val="24"/>
              </w:rPr>
              <w:t>本次实训，我不仅提升了技术开发能力，也提高了任务规划、进度管理、问题沟通和团队协调能力。我更加深刻地认识到，一个项目的成功既依赖个人技术能力，也依赖团队成员之间清晰、及时和有效的协作。</w:t>
            </w:r>
          </w:p>
          <w:p w14:paraId="509A761C">
            <w:pPr>
              <w:pStyle w:val="15"/>
              <w:rPr>
                <w:rFonts w:hint="eastAsia" w:ascii="宋体" w:hAnsi="宋体" w:eastAsia="宋体"/>
                <w:sz w:val="24"/>
                <w:szCs w:val="24"/>
              </w:rPr>
            </w:pPr>
          </w:p>
          <w:p w14:paraId="50B1F39A">
            <w:pPr>
              <w:pStyle w:val="16"/>
              <w:rPr>
                <w:rFonts w:hint="eastAsia" w:ascii="宋体" w:hAnsi="宋体" w:eastAsia="宋体"/>
              </w:rPr>
            </w:pPr>
            <w:r>
              <w:rPr>
                <w:rStyle w:val="14"/>
                <w:rFonts w:hint="eastAsia" w:ascii="宋体" w:hAnsi="宋体" w:eastAsia="宋体"/>
                <w:b w:val="0"/>
                <w:bCs w:val="0"/>
              </w:rPr>
              <w:t>四</w:t>
            </w:r>
            <w:r>
              <w:rPr>
                <w:rStyle w:val="14"/>
                <w:rFonts w:ascii="宋体" w:hAnsi="宋体" w:eastAsia="宋体"/>
                <w:b w:val="0"/>
                <w:bCs w:val="0"/>
              </w:rPr>
              <w:t>、 总结与展望</w:t>
            </w:r>
          </w:p>
          <w:p w14:paraId="67F1333A">
            <w:pPr>
              <w:pStyle w:val="2"/>
              <w:keepNext w:val="0"/>
              <w:keepLines w:val="0"/>
              <w:widowControl/>
              <w:suppressLineNumbers w:val="0"/>
              <w:rPr>
                <w:rFonts w:hint="eastAsia" w:ascii="宋体" w:hAnsi="宋体" w:eastAsia="宋体" w:cs="宋体"/>
                <w:b w:val="0"/>
                <w:bCs w:val="0"/>
                <w:sz w:val="24"/>
                <w:szCs w:val="24"/>
              </w:rPr>
            </w:pPr>
            <w:r>
              <w:rPr>
                <w:rFonts w:hint="eastAsia" w:ascii="宋体" w:hAnsi="宋体" w:eastAsia="宋体" w:cs="宋体"/>
                <w:b w:val="0"/>
                <w:bCs w:val="0"/>
                <w:sz w:val="24"/>
                <w:szCs w:val="24"/>
              </w:rPr>
              <w:t>1. 自我评价</w:t>
            </w:r>
          </w:p>
          <w:p w14:paraId="3EB7F32E">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我较好地完成了个人负责的开发任务和组长工作，基本达到了将软件工程、数据库、前后端开发和人工智能相关知识应用于完整项目的目标。</w:t>
            </w:r>
          </w:p>
          <w:p w14:paraId="5D9BF110">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在专业技术方面，我独立完成了招聘评分与智能面试排期两个核心算法模块，并将算法接入候选人池、面试日历等实际业务页面。我还参与完成了多Agent招聘流程的设计与串联，对前后端分离、模块化开发、多Agent流程编排、RAG知识检索和实时状态推送等技术有了较深入的理解。</w:t>
            </w:r>
          </w:p>
          <w:p w14:paraId="553BCA9F">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在问题解决方面，我能够从完整调用链出发分析问题。例如，面对候选人评分固定、智能评估无法获取、面试日历加载异常和Agent节点状态不同步等问题，我没有只修改页面显示，而是按照前端请求、后端接口、业务服务、数据库查询和算法调用的顺序逐层排查，最终解决了数据来源不统一、接口结构不一致和环境配置错误等问题。这一过程提高了我分析复杂工程问题和定位问题根源的能力。</w:t>
            </w:r>
          </w:p>
          <w:p w14:paraId="635C62A9">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在团队工作方面，我作为组长完成了项目范围确定、成员任务分配、Sprint计划制定、进度检查、模块协调和版本管理等工作。我根据项目进展及时调整任务安排，并推动不同成员负责的模块完成集成，保证项目能够形成统一、完整的系统。</w:t>
            </w:r>
          </w:p>
          <w:p w14:paraId="65D6B949">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总体而言，我较好地完成了个人核心任务和团队管理任务，在技术开发、工程实践、问题解决和团队协调等方面均取得了进步，但仍需要继续提高系统设计深度、异常场景处理能力和团队管理效率。</w:t>
            </w:r>
          </w:p>
          <w:p w14:paraId="18907785">
            <w:pPr>
              <w:pStyle w:val="2"/>
              <w:keepNext w:val="0"/>
              <w:keepLines w:val="0"/>
              <w:widowControl/>
              <w:suppressLineNumbers w:val="0"/>
              <w:rPr>
                <w:rFonts w:hint="eastAsia" w:ascii="宋体" w:hAnsi="宋体" w:eastAsia="宋体" w:cs="宋体"/>
                <w:b w:val="0"/>
                <w:bCs w:val="0"/>
                <w:sz w:val="24"/>
                <w:szCs w:val="24"/>
              </w:rPr>
            </w:pPr>
            <w:r>
              <w:rPr>
                <w:rFonts w:hint="eastAsia" w:ascii="宋体" w:hAnsi="宋体" w:eastAsia="宋体" w:cs="宋体"/>
                <w:b w:val="0"/>
                <w:bCs w:val="0"/>
                <w:sz w:val="24"/>
                <w:szCs w:val="24"/>
              </w:rPr>
              <w:t>2. 未来学习规划</w:t>
            </w:r>
          </w:p>
          <w:p w14:paraId="02C1FDA8">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结合本次实训中积累的经验和发现的不足，我计划从系统架构、人工智能应用、工程质量和团队协作四个方面继续学习和提升。</w:t>
            </w:r>
          </w:p>
          <w:p w14:paraId="0BDA2151">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首先，我将进一步学习后端系统架构和数据库优化知识。在本次项目中，我已经掌握了FastAPI分层开发、PostgreSQL数据访问和接口联调的基本方法，后续计划深入学习异步任务处理、缓存机制、数据库索引、SQL查询优化、事务管理和高并发场景下的系统设计，提高后端服务的性能和稳定性。</w:t>
            </w:r>
          </w:p>
          <w:p w14:paraId="62978028">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其次，我将继续学习多Agent、RAG和大模型应用开发技术。重点研究Agent流程编排、工具调用、上下文管理、结构化输出、知识检索质量评估和模型异常处理等内容。同时，我会继续探索如何划分确定性算法与大模型的职责，使大模型主要负责知识理解、信息提取和结果解释，而核心评分、排序和权限判断等业务继续由稳定、可验证的程序完成。</w:t>
            </w:r>
          </w:p>
          <w:p w14:paraId="3C8DBC91">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再次，我将加强软件测试和工程质量方面的学习。本次实训主要通过功能联调和手动验收检查系统，后续计划系统学习单元测试、接口测试、集成测试和异常场景测试方法，并进一步了解持续集成、自动化部署、日志监控和错误追踪等工程技术，提高项目的可测试性、可维护性和交付质量。</w:t>
            </w:r>
          </w:p>
          <w:p w14:paraId="19CB8AFF">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此外，我还计划提高前端工程化和交互设计能力。通过本次多Agent工作流看板开发，我认识到系统不仅要实现功能，还需要清晰地展示执行状态、处理过程和决策依据。后续我将进一步学习前端组件化、状态管理、实时数据展示和交互设计，使</w:t>
            </w:r>
            <w:bookmarkStart w:id="0" w:name="_GoBack"/>
            <w:bookmarkEnd w:id="0"/>
            <w:r>
              <w:rPr>
                <w:rFonts w:hint="eastAsia" w:ascii="宋体" w:hAnsi="宋体" w:eastAsia="宋体" w:cs="宋体"/>
                <w:b w:val="0"/>
                <w:bCs w:val="0"/>
                <w:sz w:val="24"/>
                <w:szCs w:val="24"/>
              </w:rPr>
              <w:t>功能能够以更加直观、协调的方式呈现给用户。</w:t>
            </w:r>
          </w:p>
          <w:p w14:paraId="121D0720">
            <w:pPr>
              <w:pStyle w:val="6"/>
              <w:keepNext w:val="0"/>
              <w:keepLines w:val="0"/>
              <w:widowControl/>
              <w:suppressLineNumbers w:val="0"/>
              <w:spacing w:before="0" w:beforeAutospacing="1" w:after="0" w:afterAutospacing="1"/>
              <w:ind w:left="0" w:right="0"/>
              <w:rPr>
                <w:rFonts w:hint="eastAsia" w:ascii="宋体" w:hAnsi="宋体" w:eastAsia="宋体" w:cs="宋体"/>
                <w:b w:val="0"/>
                <w:bCs w:val="0"/>
                <w:sz w:val="24"/>
                <w:szCs w:val="24"/>
              </w:rPr>
            </w:pPr>
            <w:r>
              <w:rPr>
                <w:rFonts w:hint="eastAsia" w:ascii="宋体" w:hAnsi="宋体" w:eastAsia="宋体" w:cs="宋体"/>
                <w:b w:val="0"/>
                <w:bCs w:val="0"/>
                <w:sz w:val="24"/>
                <w:szCs w:val="24"/>
              </w:rPr>
              <w:t>在团队协作方面，我将继续提升任务拆分、进度管理和沟通协调能力。未来参与团队项目时，我会在开发前进一步明确需求范围、模块边界、接口契约和验收标准，并鼓励成员独立分析和解决自己负责模块的问题。同时，通过更加及时的进度同步和问题反馈，减少集中联调阶段的冲突和返工。</w:t>
            </w:r>
          </w:p>
          <w:p w14:paraId="017D2C30">
            <w:pPr>
              <w:pStyle w:val="6"/>
              <w:keepNext w:val="0"/>
              <w:keepLines w:val="0"/>
              <w:widowControl/>
              <w:suppressLineNumbers w:val="0"/>
              <w:rPr>
                <w:rFonts w:hint="eastAsia" w:ascii="宋体" w:hAnsi="宋体" w:eastAsia="宋体" w:cs="宋体"/>
                <w:b w:val="0"/>
                <w:bCs w:val="0"/>
                <w:sz w:val="24"/>
                <w:szCs w:val="24"/>
              </w:rPr>
            </w:pPr>
            <w:r>
              <w:rPr>
                <w:rFonts w:hint="eastAsia" w:ascii="宋体" w:hAnsi="宋体" w:eastAsia="宋体" w:cs="宋体"/>
                <w:b w:val="0"/>
                <w:bCs w:val="0"/>
                <w:sz w:val="24"/>
                <w:szCs w:val="24"/>
              </w:rPr>
              <w:t>通过以上学习规划，我希望在现有开发能力的基础上，逐步提高自己在系统架构、人工智能工程、软件质量和项目管理方面的综合能力，为后续课程项目和实际软件开发工作打下更加扎实的基础。</w:t>
            </w:r>
          </w:p>
          <w:p w14:paraId="71073F60">
            <w:pPr>
              <w:pStyle w:val="13"/>
              <w:ind w:left="390" w:firstLine="0"/>
              <w:rPr>
                <w:rFonts w:hint="eastAsia" w:ascii="宋体" w:hAnsi="宋体" w:eastAsia="宋体"/>
              </w:rPr>
            </w:pPr>
          </w:p>
        </w:tc>
      </w:tr>
      <w:tr w14:paraId="0E6C3238">
        <w:tblPrEx>
          <w:tblCellMar>
            <w:top w:w="0" w:type="dxa"/>
            <w:left w:w="108" w:type="dxa"/>
            <w:bottom w:w="0" w:type="dxa"/>
            <w:right w:w="108" w:type="dxa"/>
          </w:tblCellMar>
        </w:tblPrEx>
        <w:trPr>
          <w:trHeight w:val="624" w:hRule="atLeast"/>
        </w:trPr>
        <w:tc>
          <w:tcPr>
            <w:tcW w:w="836" w:type="dxa"/>
            <w:vMerge w:val="continue"/>
            <w:tcBorders>
              <w:top w:val="nil"/>
              <w:left w:val="single" w:color="auto" w:sz="12" w:space="0"/>
              <w:bottom w:val="single" w:color="000000" w:sz="12" w:space="0"/>
              <w:right w:val="single" w:color="auto" w:sz="4" w:space="0"/>
            </w:tcBorders>
            <w:vAlign w:val="center"/>
          </w:tcPr>
          <w:p w14:paraId="1D446676">
            <w:pPr>
              <w:widowControl/>
              <w:jc w:val="left"/>
              <w:rPr>
                <w:rFonts w:hint="eastAsia" w:ascii="等线" w:hAnsi="等线" w:eastAsia="等线" w:cs="宋体"/>
                <w:b/>
                <w:bCs/>
                <w:color w:val="000000"/>
                <w:kern w:val="0"/>
                <w:sz w:val="44"/>
                <w:szCs w:val="44"/>
              </w:rPr>
            </w:pPr>
          </w:p>
        </w:tc>
        <w:tc>
          <w:tcPr>
            <w:tcW w:w="8505" w:type="dxa"/>
            <w:gridSpan w:val="5"/>
            <w:vMerge w:val="continue"/>
            <w:tcBorders>
              <w:top w:val="single" w:color="000000" w:sz="12" w:space="0"/>
              <w:left w:val="single" w:color="auto" w:sz="4" w:space="0"/>
              <w:bottom w:val="single" w:color="000000" w:sz="12" w:space="0"/>
              <w:right w:val="single" w:color="A5A5A5" w:themeColor="accent3" w:sz="12" w:space="0"/>
            </w:tcBorders>
            <w:vAlign w:val="center"/>
          </w:tcPr>
          <w:p w14:paraId="641B828C">
            <w:pPr>
              <w:widowControl/>
              <w:jc w:val="left"/>
              <w:rPr>
                <w:rFonts w:hint="eastAsia" w:ascii="等线" w:hAnsi="等线" w:eastAsia="等线" w:cs="宋体"/>
                <w:color w:val="000000"/>
                <w:kern w:val="0"/>
                <w:sz w:val="22"/>
              </w:rPr>
            </w:pPr>
          </w:p>
        </w:tc>
      </w:tr>
      <w:tr w14:paraId="269ADD36">
        <w:tblPrEx>
          <w:tblCellMar>
            <w:top w:w="0" w:type="dxa"/>
            <w:left w:w="108" w:type="dxa"/>
            <w:bottom w:w="0" w:type="dxa"/>
            <w:right w:w="108" w:type="dxa"/>
          </w:tblCellMar>
        </w:tblPrEx>
        <w:trPr>
          <w:trHeight w:val="624" w:hRule="atLeast"/>
        </w:trPr>
        <w:tc>
          <w:tcPr>
            <w:tcW w:w="836" w:type="dxa"/>
            <w:vMerge w:val="continue"/>
            <w:tcBorders>
              <w:top w:val="nil"/>
              <w:left w:val="single" w:color="auto" w:sz="12" w:space="0"/>
              <w:bottom w:val="single" w:color="000000" w:sz="12" w:space="0"/>
              <w:right w:val="single" w:color="auto" w:sz="4" w:space="0"/>
            </w:tcBorders>
            <w:vAlign w:val="center"/>
          </w:tcPr>
          <w:p w14:paraId="67CF3D66">
            <w:pPr>
              <w:widowControl/>
              <w:jc w:val="left"/>
              <w:rPr>
                <w:rFonts w:hint="eastAsia" w:ascii="等线" w:hAnsi="等线" w:eastAsia="等线" w:cs="宋体"/>
                <w:b/>
                <w:bCs/>
                <w:color w:val="000000"/>
                <w:kern w:val="0"/>
                <w:sz w:val="44"/>
                <w:szCs w:val="44"/>
              </w:rPr>
            </w:pPr>
          </w:p>
        </w:tc>
        <w:tc>
          <w:tcPr>
            <w:tcW w:w="8505" w:type="dxa"/>
            <w:gridSpan w:val="5"/>
            <w:vMerge w:val="continue"/>
            <w:tcBorders>
              <w:top w:val="single" w:color="000000" w:sz="12" w:space="0"/>
              <w:left w:val="single" w:color="auto" w:sz="4" w:space="0"/>
              <w:bottom w:val="single" w:color="000000" w:sz="12" w:space="0"/>
              <w:right w:val="single" w:color="A5A5A5" w:themeColor="accent3" w:sz="12" w:space="0"/>
            </w:tcBorders>
            <w:vAlign w:val="center"/>
          </w:tcPr>
          <w:p w14:paraId="14734E98">
            <w:pPr>
              <w:widowControl/>
              <w:jc w:val="left"/>
              <w:rPr>
                <w:rFonts w:hint="eastAsia" w:ascii="等线" w:hAnsi="等线" w:eastAsia="等线" w:cs="宋体"/>
                <w:color w:val="000000"/>
                <w:kern w:val="0"/>
                <w:sz w:val="22"/>
              </w:rPr>
            </w:pPr>
          </w:p>
        </w:tc>
      </w:tr>
      <w:tr w14:paraId="0BBCB0F1">
        <w:tblPrEx>
          <w:tblCellMar>
            <w:top w:w="0" w:type="dxa"/>
            <w:left w:w="108" w:type="dxa"/>
            <w:bottom w:w="0" w:type="dxa"/>
            <w:right w:w="108" w:type="dxa"/>
          </w:tblCellMar>
        </w:tblPrEx>
        <w:trPr>
          <w:trHeight w:val="624" w:hRule="atLeast"/>
        </w:trPr>
        <w:tc>
          <w:tcPr>
            <w:tcW w:w="836" w:type="dxa"/>
            <w:vMerge w:val="continue"/>
            <w:tcBorders>
              <w:top w:val="nil"/>
              <w:left w:val="single" w:color="auto" w:sz="12" w:space="0"/>
              <w:bottom w:val="single" w:color="000000" w:sz="12" w:space="0"/>
              <w:right w:val="single" w:color="auto" w:sz="4" w:space="0"/>
            </w:tcBorders>
            <w:vAlign w:val="center"/>
          </w:tcPr>
          <w:p w14:paraId="1E2518BE">
            <w:pPr>
              <w:widowControl/>
              <w:jc w:val="left"/>
              <w:rPr>
                <w:rFonts w:hint="eastAsia" w:ascii="等线" w:hAnsi="等线" w:eastAsia="等线" w:cs="宋体"/>
                <w:b/>
                <w:bCs/>
                <w:color w:val="000000"/>
                <w:kern w:val="0"/>
                <w:sz w:val="44"/>
                <w:szCs w:val="44"/>
              </w:rPr>
            </w:pPr>
          </w:p>
        </w:tc>
        <w:tc>
          <w:tcPr>
            <w:tcW w:w="8505" w:type="dxa"/>
            <w:gridSpan w:val="5"/>
            <w:vMerge w:val="continue"/>
            <w:tcBorders>
              <w:top w:val="single" w:color="000000" w:sz="12" w:space="0"/>
              <w:left w:val="single" w:color="auto" w:sz="4" w:space="0"/>
              <w:bottom w:val="single" w:color="000000" w:sz="12" w:space="0"/>
              <w:right w:val="single" w:color="A5A5A5" w:themeColor="accent3" w:sz="12" w:space="0"/>
            </w:tcBorders>
            <w:vAlign w:val="center"/>
          </w:tcPr>
          <w:p w14:paraId="1032E660">
            <w:pPr>
              <w:widowControl/>
              <w:jc w:val="left"/>
              <w:rPr>
                <w:rFonts w:hint="eastAsia" w:ascii="等线" w:hAnsi="等线" w:eastAsia="等线" w:cs="宋体"/>
                <w:color w:val="000000"/>
                <w:kern w:val="0"/>
                <w:sz w:val="22"/>
              </w:rPr>
            </w:pPr>
          </w:p>
        </w:tc>
      </w:tr>
      <w:tr w14:paraId="4985636C">
        <w:tblPrEx>
          <w:tblCellMar>
            <w:top w:w="0" w:type="dxa"/>
            <w:left w:w="108" w:type="dxa"/>
            <w:bottom w:w="0" w:type="dxa"/>
            <w:right w:w="108" w:type="dxa"/>
          </w:tblCellMar>
        </w:tblPrEx>
        <w:trPr>
          <w:trHeight w:val="624" w:hRule="atLeast"/>
        </w:trPr>
        <w:tc>
          <w:tcPr>
            <w:tcW w:w="836" w:type="dxa"/>
            <w:vMerge w:val="continue"/>
            <w:tcBorders>
              <w:top w:val="nil"/>
              <w:left w:val="single" w:color="auto" w:sz="12" w:space="0"/>
              <w:bottom w:val="single" w:color="000000" w:sz="12" w:space="0"/>
              <w:right w:val="single" w:color="auto" w:sz="4" w:space="0"/>
            </w:tcBorders>
            <w:vAlign w:val="center"/>
          </w:tcPr>
          <w:p w14:paraId="60DCCCA4">
            <w:pPr>
              <w:widowControl/>
              <w:jc w:val="left"/>
              <w:rPr>
                <w:rFonts w:hint="eastAsia" w:ascii="等线" w:hAnsi="等线" w:eastAsia="等线" w:cs="宋体"/>
                <w:b/>
                <w:bCs/>
                <w:color w:val="000000"/>
                <w:kern w:val="0"/>
                <w:sz w:val="44"/>
                <w:szCs w:val="44"/>
              </w:rPr>
            </w:pPr>
          </w:p>
        </w:tc>
        <w:tc>
          <w:tcPr>
            <w:tcW w:w="8505" w:type="dxa"/>
            <w:gridSpan w:val="5"/>
            <w:vMerge w:val="continue"/>
            <w:tcBorders>
              <w:top w:val="single" w:color="000000" w:sz="12" w:space="0"/>
              <w:left w:val="single" w:color="auto" w:sz="4" w:space="0"/>
              <w:bottom w:val="single" w:color="000000" w:sz="12" w:space="0"/>
              <w:right w:val="single" w:color="A5A5A5" w:themeColor="accent3" w:sz="12" w:space="0"/>
            </w:tcBorders>
            <w:vAlign w:val="center"/>
          </w:tcPr>
          <w:p w14:paraId="11A3872C">
            <w:pPr>
              <w:widowControl/>
              <w:jc w:val="left"/>
              <w:rPr>
                <w:rFonts w:hint="eastAsia" w:ascii="等线" w:hAnsi="等线" w:eastAsia="等线" w:cs="宋体"/>
                <w:color w:val="000000"/>
                <w:kern w:val="0"/>
                <w:sz w:val="22"/>
              </w:rPr>
            </w:pPr>
          </w:p>
        </w:tc>
      </w:tr>
      <w:tr w14:paraId="77284EFB">
        <w:tblPrEx>
          <w:tblCellMar>
            <w:top w:w="0" w:type="dxa"/>
            <w:left w:w="108" w:type="dxa"/>
            <w:bottom w:w="0" w:type="dxa"/>
            <w:right w:w="108" w:type="dxa"/>
          </w:tblCellMar>
        </w:tblPrEx>
        <w:trPr>
          <w:trHeight w:val="624" w:hRule="atLeast"/>
        </w:trPr>
        <w:tc>
          <w:tcPr>
            <w:tcW w:w="836" w:type="dxa"/>
            <w:vMerge w:val="continue"/>
            <w:tcBorders>
              <w:top w:val="nil"/>
              <w:left w:val="single" w:color="auto" w:sz="12" w:space="0"/>
              <w:bottom w:val="single" w:color="000000" w:sz="12" w:space="0"/>
              <w:right w:val="single" w:color="auto" w:sz="4" w:space="0"/>
            </w:tcBorders>
            <w:vAlign w:val="center"/>
          </w:tcPr>
          <w:p w14:paraId="1D44082B">
            <w:pPr>
              <w:widowControl/>
              <w:jc w:val="left"/>
              <w:rPr>
                <w:rFonts w:hint="eastAsia" w:ascii="等线" w:hAnsi="等线" w:eastAsia="等线" w:cs="宋体"/>
                <w:b/>
                <w:bCs/>
                <w:color w:val="000000"/>
                <w:kern w:val="0"/>
                <w:sz w:val="44"/>
                <w:szCs w:val="44"/>
              </w:rPr>
            </w:pPr>
          </w:p>
        </w:tc>
        <w:tc>
          <w:tcPr>
            <w:tcW w:w="8505" w:type="dxa"/>
            <w:gridSpan w:val="5"/>
            <w:vMerge w:val="continue"/>
            <w:tcBorders>
              <w:top w:val="single" w:color="000000" w:sz="12" w:space="0"/>
              <w:left w:val="single" w:color="auto" w:sz="4" w:space="0"/>
              <w:bottom w:val="single" w:color="000000" w:sz="12" w:space="0"/>
              <w:right w:val="single" w:color="A5A5A5" w:themeColor="accent3" w:sz="12" w:space="0"/>
            </w:tcBorders>
            <w:vAlign w:val="center"/>
          </w:tcPr>
          <w:p w14:paraId="55FA1C9B">
            <w:pPr>
              <w:widowControl/>
              <w:jc w:val="left"/>
              <w:rPr>
                <w:rFonts w:hint="eastAsia" w:ascii="等线" w:hAnsi="等线" w:eastAsia="等线" w:cs="宋体"/>
                <w:color w:val="000000"/>
                <w:kern w:val="0"/>
                <w:sz w:val="22"/>
              </w:rPr>
            </w:pPr>
          </w:p>
        </w:tc>
      </w:tr>
      <w:tr w14:paraId="506C347D">
        <w:tblPrEx>
          <w:tblCellMar>
            <w:top w:w="0" w:type="dxa"/>
            <w:left w:w="108" w:type="dxa"/>
            <w:bottom w:w="0" w:type="dxa"/>
            <w:right w:w="108" w:type="dxa"/>
          </w:tblCellMar>
        </w:tblPrEx>
        <w:trPr>
          <w:trHeight w:val="624" w:hRule="atLeast"/>
        </w:trPr>
        <w:tc>
          <w:tcPr>
            <w:tcW w:w="836" w:type="dxa"/>
            <w:vMerge w:val="continue"/>
            <w:tcBorders>
              <w:top w:val="nil"/>
              <w:left w:val="single" w:color="auto" w:sz="12" w:space="0"/>
              <w:bottom w:val="single" w:color="000000" w:sz="12" w:space="0"/>
              <w:right w:val="single" w:color="auto" w:sz="4" w:space="0"/>
            </w:tcBorders>
            <w:vAlign w:val="center"/>
          </w:tcPr>
          <w:p w14:paraId="606AE9DE">
            <w:pPr>
              <w:widowControl/>
              <w:jc w:val="left"/>
              <w:rPr>
                <w:rFonts w:hint="eastAsia" w:ascii="等线" w:hAnsi="等线" w:eastAsia="等线" w:cs="宋体"/>
                <w:b/>
                <w:bCs/>
                <w:color w:val="000000"/>
                <w:kern w:val="0"/>
                <w:sz w:val="44"/>
                <w:szCs w:val="44"/>
              </w:rPr>
            </w:pPr>
          </w:p>
        </w:tc>
        <w:tc>
          <w:tcPr>
            <w:tcW w:w="8505" w:type="dxa"/>
            <w:gridSpan w:val="5"/>
            <w:vMerge w:val="continue"/>
            <w:tcBorders>
              <w:top w:val="single" w:color="000000" w:sz="12" w:space="0"/>
              <w:left w:val="single" w:color="auto" w:sz="4" w:space="0"/>
              <w:bottom w:val="single" w:color="000000" w:sz="12" w:space="0"/>
              <w:right w:val="single" w:color="A5A5A5" w:themeColor="accent3" w:sz="12" w:space="0"/>
            </w:tcBorders>
            <w:vAlign w:val="center"/>
          </w:tcPr>
          <w:p w14:paraId="009ADF11">
            <w:pPr>
              <w:widowControl/>
              <w:jc w:val="left"/>
              <w:rPr>
                <w:rFonts w:hint="eastAsia" w:ascii="等线" w:hAnsi="等线" w:eastAsia="等线" w:cs="宋体"/>
                <w:color w:val="000000"/>
                <w:kern w:val="0"/>
                <w:sz w:val="22"/>
              </w:rPr>
            </w:pPr>
          </w:p>
        </w:tc>
      </w:tr>
      <w:tr w14:paraId="526296C0">
        <w:tblPrEx>
          <w:tblCellMar>
            <w:top w:w="0" w:type="dxa"/>
            <w:left w:w="108" w:type="dxa"/>
            <w:bottom w:w="0" w:type="dxa"/>
            <w:right w:w="108" w:type="dxa"/>
          </w:tblCellMar>
        </w:tblPrEx>
        <w:trPr>
          <w:trHeight w:val="624" w:hRule="atLeast"/>
        </w:trPr>
        <w:tc>
          <w:tcPr>
            <w:tcW w:w="836" w:type="dxa"/>
            <w:vMerge w:val="continue"/>
            <w:tcBorders>
              <w:top w:val="nil"/>
              <w:left w:val="single" w:color="auto" w:sz="12" w:space="0"/>
              <w:bottom w:val="single" w:color="000000" w:sz="12" w:space="0"/>
              <w:right w:val="single" w:color="auto" w:sz="4" w:space="0"/>
            </w:tcBorders>
            <w:vAlign w:val="center"/>
          </w:tcPr>
          <w:p w14:paraId="62268AC8">
            <w:pPr>
              <w:widowControl/>
              <w:jc w:val="left"/>
              <w:rPr>
                <w:rFonts w:hint="eastAsia" w:ascii="等线" w:hAnsi="等线" w:eastAsia="等线" w:cs="宋体"/>
                <w:b/>
                <w:bCs/>
                <w:color w:val="000000"/>
                <w:kern w:val="0"/>
                <w:sz w:val="44"/>
                <w:szCs w:val="44"/>
              </w:rPr>
            </w:pPr>
          </w:p>
        </w:tc>
        <w:tc>
          <w:tcPr>
            <w:tcW w:w="8505" w:type="dxa"/>
            <w:gridSpan w:val="5"/>
            <w:vMerge w:val="continue"/>
            <w:tcBorders>
              <w:top w:val="single" w:color="000000" w:sz="12" w:space="0"/>
              <w:left w:val="single" w:color="auto" w:sz="4" w:space="0"/>
              <w:bottom w:val="single" w:color="000000" w:sz="12" w:space="0"/>
              <w:right w:val="single" w:color="A5A5A5" w:themeColor="accent3" w:sz="12" w:space="0"/>
            </w:tcBorders>
            <w:vAlign w:val="center"/>
          </w:tcPr>
          <w:p w14:paraId="7BA70B1F">
            <w:pPr>
              <w:widowControl/>
              <w:jc w:val="left"/>
              <w:rPr>
                <w:rFonts w:hint="eastAsia" w:ascii="等线" w:hAnsi="等线" w:eastAsia="等线" w:cs="宋体"/>
                <w:color w:val="000000"/>
                <w:kern w:val="0"/>
                <w:sz w:val="22"/>
              </w:rPr>
            </w:pPr>
          </w:p>
        </w:tc>
      </w:tr>
      <w:tr w14:paraId="491F14D1">
        <w:tblPrEx>
          <w:tblCellMar>
            <w:top w:w="0" w:type="dxa"/>
            <w:left w:w="108" w:type="dxa"/>
            <w:bottom w:w="0" w:type="dxa"/>
            <w:right w:w="108" w:type="dxa"/>
          </w:tblCellMar>
        </w:tblPrEx>
        <w:trPr>
          <w:trHeight w:val="624" w:hRule="atLeast"/>
        </w:trPr>
        <w:tc>
          <w:tcPr>
            <w:tcW w:w="836" w:type="dxa"/>
            <w:vMerge w:val="continue"/>
            <w:tcBorders>
              <w:top w:val="nil"/>
              <w:left w:val="single" w:color="auto" w:sz="12" w:space="0"/>
              <w:bottom w:val="single" w:color="000000" w:sz="12" w:space="0"/>
              <w:right w:val="single" w:color="auto" w:sz="4" w:space="0"/>
            </w:tcBorders>
            <w:vAlign w:val="center"/>
          </w:tcPr>
          <w:p w14:paraId="2B3E3292">
            <w:pPr>
              <w:widowControl/>
              <w:jc w:val="left"/>
              <w:rPr>
                <w:rFonts w:hint="eastAsia" w:ascii="等线" w:hAnsi="等线" w:eastAsia="等线" w:cs="宋体"/>
                <w:b/>
                <w:bCs/>
                <w:color w:val="000000"/>
                <w:kern w:val="0"/>
                <w:sz w:val="44"/>
                <w:szCs w:val="44"/>
              </w:rPr>
            </w:pPr>
          </w:p>
        </w:tc>
        <w:tc>
          <w:tcPr>
            <w:tcW w:w="8505" w:type="dxa"/>
            <w:gridSpan w:val="5"/>
            <w:vMerge w:val="continue"/>
            <w:tcBorders>
              <w:top w:val="single" w:color="000000" w:sz="12" w:space="0"/>
              <w:left w:val="single" w:color="auto" w:sz="4" w:space="0"/>
              <w:bottom w:val="single" w:color="000000" w:sz="12" w:space="0"/>
              <w:right w:val="single" w:color="A5A5A5" w:themeColor="accent3" w:sz="12" w:space="0"/>
            </w:tcBorders>
            <w:vAlign w:val="center"/>
          </w:tcPr>
          <w:p w14:paraId="0C26D752">
            <w:pPr>
              <w:widowControl/>
              <w:jc w:val="left"/>
              <w:rPr>
                <w:rFonts w:hint="eastAsia" w:ascii="等线" w:hAnsi="等线" w:eastAsia="等线" w:cs="宋体"/>
                <w:color w:val="000000"/>
                <w:kern w:val="0"/>
                <w:sz w:val="22"/>
              </w:rPr>
            </w:pPr>
          </w:p>
        </w:tc>
      </w:tr>
      <w:tr w14:paraId="27136B9A">
        <w:tblPrEx>
          <w:tblCellMar>
            <w:top w:w="0" w:type="dxa"/>
            <w:left w:w="108" w:type="dxa"/>
            <w:bottom w:w="0" w:type="dxa"/>
            <w:right w:w="108" w:type="dxa"/>
          </w:tblCellMar>
        </w:tblPrEx>
        <w:trPr>
          <w:trHeight w:val="624" w:hRule="atLeast"/>
        </w:trPr>
        <w:tc>
          <w:tcPr>
            <w:tcW w:w="836" w:type="dxa"/>
            <w:vMerge w:val="continue"/>
            <w:tcBorders>
              <w:top w:val="nil"/>
              <w:left w:val="single" w:color="auto" w:sz="12" w:space="0"/>
              <w:bottom w:val="single" w:color="000000" w:sz="12" w:space="0"/>
              <w:right w:val="single" w:color="auto" w:sz="4" w:space="0"/>
            </w:tcBorders>
            <w:vAlign w:val="center"/>
          </w:tcPr>
          <w:p w14:paraId="486E8053">
            <w:pPr>
              <w:widowControl/>
              <w:jc w:val="left"/>
              <w:rPr>
                <w:rFonts w:hint="eastAsia" w:ascii="等线" w:hAnsi="等线" w:eastAsia="等线" w:cs="宋体"/>
                <w:b/>
                <w:bCs/>
                <w:color w:val="000000"/>
                <w:kern w:val="0"/>
                <w:sz w:val="44"/>
                <w:szCs w:val="44"/>
              </w:rPr>
            </w:pPr>
          </w:p>
        </w:tc>
        <w:tc>
          <w:tcPr>
            <w:tcW w:w="8505" w:type="dxa"/>
            <w:gridSpan w:val="5"/>
            <w:vMerge w:val="continue"/>
            <w:tcBorders>
              <w:top w:val="single" w:color="000000" w:sz="12" w:space="0"/>
              <w:left w:val="single" w:color="auto" w:sz="4" w:space="0"/>
              <w:bottom w:val="single" w:color="000000" w:sz="12" w:space="0"/>
              <w:right w:val="single" w:color="A5A5A5" w:themeColor="accent3" w:sz="12" w:space="0"/>
            </w:tcBorders>
            <w:vAlign w:val="center"/>
          </w:tcPr>
          <w:p w14:paraId="523DC74B">
            <w:pPr>
              <w:widowControl/>
              <w:jc w:val="left"/>
              <w:rPr>
                <w:rFonts w:hint="eastAsia" w:ascii="等线" w:hAnsi="等线" w:eastAsia="等线" w:cs="宋体"/>
                <w:color w:val="000000"/>
                <w:kern w:val="0"/>
                <w:sz w:val="22"/>
              </w:rPr>
            </w:pPr>
          </w:p>
        </w:tc>
      </w:tr>
      <w:tr w14:paraId="412D1FC8">
        <w:tblPrEx>
          <w:tblCellMar>
            <w:top w:w="0" w:type="dxa"/>
            <w:left w:w="108" w:type="dxa"/>
            <w:bottom w:w="0" w:type="dxa"/>
            <w:right w:w="108" w:type="dxa"/>
          </w:tblCellMar>
        </w:tblPrEx>
        <w:trPr>
          <w:trHeight w:val="624" w:hRule="atLeast"/>
        </w:trPr>
        <w:tc>
          <w:tcPr>
            <w:tcW w:w="836" w:type="dxa"/>
            <w:vMerge w:val="continue"/>
            <w:tcBorders>
              <w:top w:val="nil"/>
              <w:left w:val="single" w:color="auto" w:sz="12" w:space="0"/>
              <w:bottom w:val="single" w:color="000000" w:sz="12" w:space="0"/>
              <w:right w:val="single" w:color="auto" w:sz="4" w:space="0"/>
            </w:tcBorders>
            <w:vAlign w:val="center"/>
          </w:tcPr>
          <w:p w14:paraId="2F13C73E">
            <w:pPr>
              <w:widowControl/>
              <w:jc w:val="left"/>
              <w:rPr>
                <w:rFonts w:hint="eastAsia" w:ascii="等线" w:hAnsi="等线" w:eastAsia="等线" w:cs="宋体"/>
                <w:b/>
                <w:bCs/>
                <w:color w:val="000000"/>
                <w:kern w:val="0"/>
                <w:sz w:val="44"/>
                <w:szCs w:val="44"/>
              </w:rPr>
            </w:pPr>
          </w:p>
        </w:tc>
        <w:tc>
          <w:tcPr>
            <w:tcW w:w="8505" w:type="dxa"/>
            <w:gridSpan w:val="5"/>
            <w:vMerge w:val="continue"/>
            <w:tcBorders>
              <w:top w:val="single" w:color="000000" w:sz="12" w:space="0"/>
              <w:left w:val="single" w:color="auto" w:sz="4" w:space="0"/>
              <w:bottom w:val="single" w:color="000000" w:sz="12" w:space="0"/>
              <w:right w:val="single" w:color="A5A5A5" w:themeColor="accent3" w:sz="12" w:space="0"/>
            </w:tcBorders>
            <w:vAlign w:val="center"/>
          </w:tcPr>
          <w:p w14:paraId="24CF5643">
            <w:pPr>
              <w:widowControl/>
              <w:jc w:val="left"/>
              <w:rPr>
                <w:rFonts w:hint="eastAsia" w:ascii="等线" w:hAnsi="等线" w:eastAsia="等线" w:cs="宋体"/>
                <w:color w:val="000000"/>
                <w:kern w:val="0"/>
                <w:sz w:val="22"/>
              </w:rPr>
            </w:pPr>
          </w:p>
        </w:tc>
      </w:tr>
      <w:tr w14:paraId="4922D016">
        <w:tblPrEx>
          <w:tblCellMar>
            <w:top w:w="0" w:type="dxa"/>
            <w:left w:w="108" w:type="dxa"/>
            <w:bottom w:w="0" w:type="dxa"/>
            <w:right w:w="108" w:type="dxa"/>
          </w:tblCellMar>
        </w:tblPrEx>
        <w:trPr>
          <w:trHeight w:val="624" w:hRule="atLeast"/>
        </w:trPr>
        <w:tc>
          <w:tcPr>
            <w:tcW w:w="836" w:type="dxa"/>
            <w:vMerge w:val="continue"/>
            <w:tcBorders>
              <w:top w:val="nil"/>
              <w:left w:val="single" w:color="auto" w:sz="12" w:space="0"/>
              <w:bottom w:val="single" w:color="000000" w:sz="12" w:space="0"/>
              <w:right w:val="single" w:color="auto" w:sz="4" w:space="0"/>
            </w:tcBorders>
            <w:vAlign w:val="center"/>
          </w:tcPr>
          <w:p w14:paraId="7B291485">
            <w:pPr>
              <w:widowControl/>
              <w:jc w:val="left"/>
              <w:rPr>
                <w:rFonts w:hint="eastAsia" w:ascii="等线" w:hAnsi="等线" w:eastAsia="等线" w:cs="宋体"/>
                <w:b/>
                <w:bCs/>
                <w:color w:val="000000"/>
                <w:kern w:val="0"/>
                <w:sz w:val="44"/>
                <w:szCs w:val="44"/>
              </w:rPr>
            </w:pPr>
          </w:p>
        </w:tc>
        <w:tc>
          <w:tcPr>
            <w:tcW w:w="8505" w:type="dxa"/>
            <w:gridSpan w:val="5"/>
            <w:vMerge w:val="continue"/>
            <w:tcBorders>
              <w:top w:val="single" w:color="000000" w:sz="12" w:space="0"/>
              <w:left w:val="single" w:color="auto" w:sz="4" w:space="0"/>
              <w:bottom w:val="single" w:color="000000" w:sz="12" w:space="0"/>
              <w:right w:val="single" w:color="A5A5A5" w:themeColor="accent3" w:sz="12" w:space="0"/>
            </w:tcBorders>
            <w:vAlign w:val="center"/>
          </w:tcPr>
          <w:p w14:paraId="72051C7D">
            <w:pPr>
              <w:widowControl/>
              <w:jc w:val="left"/>
              <w:rPr>
                <w:rFonts w:hint="eastAsia" w:ascii="等线" w:hAnsi="等线" w:eastAsia="等线" w:cs="宋体"/>
                <w:color w:val="000000"/>
                <w:kern w:val="0"/>
                <w:sz w:val="22"/>
              </w:rPr>
            </w:pPr>
          </w:p>
        </w:tc>
      </w:tr>
      <w:tr w14:paraId="2DE173E4">
        <w:tblPrEx>
          <w:tblCellMar>
            <w:top w:w="0" w:type="dxa"/>
            <w:left w:w="108" w:type="dxa"/>
            <w:bottom w:w="0" w:type="dxa"/>
            <w:right w:w="108" w:type="dxa"/>
          </w:tblCellMar>
        </w:tblPrEx>
        <w:trPr>
          <w:trHeight w:val="624" w:hRule="atLeast"/>
        </w:trPr>
        <w:tc>
          <w:tcPr>
            <w:tcW w:w="836" w:type="dxa"/>
            <w:vMerge w:val="continue"/>
            <w:tcBorders>
              <w:top w:val="nil"/>
              <w:left w:val="single" w:color="auto" w:sz="12" w:space="0"/>
              <w:bottom w:val="single" w:color="000000" w:sz="12" w:space="0"/>
              <w:right w:val="single" w:color="auto" w:sz="4" w:space="0"/>
            </w:tcBorders>
            <w:vAlign w:val="center"/>
          </w:tcPr>
          <w:p w14:paraId="5795AC64">
            <w:pPr>
              <w:widowControl/>
              <w:jc w:val="left"/>
              <w:rPr>
                <w:rFonts w:hint="eastAsia" w:ascii="等线" w:hAnsi="等线" w:eastAsia="等线" w:cs="宋体"/>
                <w:b/>
                <w:bCs/>
                <w:color w:val="000000"/>
                <w:kern w:val="0"/>
                <w:sz w:val="44"/>
                <w:szCs w:val="44"/>
              </w:rPr>
            </w:pPr>
          </w:p>
        </w:tc>
        <w:tc>
          <w:tcPr>
            <w:tcW w:w="8505" w:type="dxa"/>
            <w:gridSpan w:val="5"/>
            <w:vMerge w:val="continue"/>
            <w:tcBorders>
              <w:top w:val="single" w:color="000000" w:sz="12" w:space="0"/>
              <w:left w:val="single" w:color="auto" w:sz="4" w:space="0"/>
              <w:bottom w:val="single" w:color="000000" w:sz="12" w:space="0"/>
              <w:right w:val="single" w:color="A5A5A5" w:themeColor="accent3" w:sz="12" w:space="0"/>
            </w:tcBorders>
            <w:vAlign w:val="center"/>
          </w:tcPr>
          <w:p w14:paraId="24034E59">
            <w:pPr>
              <w:widowControl/>
              <w:jc w:val="left"/>
              <w:rPr>
                <w:rFonts w:hint="eastAsia" w:ascii="等线" w:hAnsi="等线" w:eastAsia="等线" w:cs="宋体"/>
                <w:color w:val="000000"/>
                <w:kern w:val="0"/>
                <w:sz w:val="22"/>
              </w:rPr>
            </w:pPr>
          </w:p>
        </w:tc>
      </w:tr>
      <w:tr w14:paraId="6DEEC8FB">
        <w:tblPrEx>
          <w:tblCellMar>
            <w:top w:w="0" w:type="dxa"/>
            <w:left w:w="108" w:type="dxa"/>
            <w:bottom w:w="0" w:type="dxa"/>
            <w:right w:w="108" w:type="dxa"/>
          </w:tblCellMar>
        </w:tblPrEx>
        <w:trPr>
          <w:trHeight w:val="624" w:hRule="atLeast"/>
        </w:trPr>
        <w:tc>
          <w:tcPr>
            <w:tcW w:w="836" w:type="dxa"/>
            <w:vMerge w:val="continue"/>
            <w:tcBorders>
              <w:top w:val="nil"/>
              <w:left w:val="single" w:color="auto" w:sz="12" w:space="0"/>
              <w:bottom w:val="single" w:color="000000" w:sz="12" w:space="0"/>
              <w:right w:val="single" w:color="auto" w:sz="4" w:space="0"/>
            </w:tcBorders>
            <w:vAlign w:val="center"/>
          </w:tcPr>
          <w:p w14:paraId="3D27B736">
            <w:pPr>
              <w:widowControl/>
              <w:jc w:val="left"/>
              <w:rPr>
                <w:rFonts w:hint="eastAsia" w:ascii="等线" w:hAnsi="等线" w:eastAsia="等线" w:cs="宋体"/>
                <w:b/>
                <w:bCs/>
                <w:color w:val="000000"/>
                <w:kern w:val="0"/>
                <w:sz w:val="44"/>
                <w:szCs w:val="44"/>
              </w:rPr>
            </w:pPr>
          </w:p>
        </w:tc>
        <w:tc>
          <w:tcPr>
            <w:tcW w:w="8505" w:type="dxa"/>
            <w:gridSpan w:val="5"/>
            <w:vMerge w:val="continue"/>
            <w:tcBorders>
              <w:top w:val="single" w:color="000000" w:sz="12" w:space="0"/>
              <w:left w:val="single" w:color="auto" w:sz="4" w:space="0"/>
              <w:bottom w:val="single" w:color="000000" w:sz="12" w:space="0"/>
              <w:right w:val="single" w:color="A5A5A5" w:themeColor="accent3" w:sz="12" w:space="0"/>
            </w:tcBorders>
            <w:vAlign w:val="center"/>
          </w:tcPr>
          <w:p w14:paraId="37AC741A">
            <w:pPr>
              <w:widowControl/>
              <w:jc w:val="left"/>
              <w:rPr>
                <w:rFonts w:hint="eastAsia" w:ascii="等线" w:hAnsi="等线" w:eastAsia="等线" w:cs="宋体"/>
                <w:color w:val="000000"/>
                <w:kern w:val="0"/>
                <w:sz w:val="22"/>
              </w:rPr>
            </w:pPr>
          </w:p>
        </w:tc>
      </w:tr>
    </w:tbl>
    <w:p w14:paraId="7CA14695">
      <w:pPr>
        <w:rPr>
          <w:rFonts w:hint="eastAsi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D11019"/>
    <w:multiLevelType w:val="multilevel"/>
    <w:tmpl w:val="12D11019"/>
    <w:lvl w:ilvl="0" w:tentative="0">
      <w:start w:val="1"/>
      <w:numFmt w:val="decimal"/>
      <w:lvlText w:val="%1."/>
      <w:lvlJc w:val="left"/>
      <w:pPr>
        <w:ind w:left="360" w:hanging="360"/>
      </w:pPr>
      <w:rPr>
        <w:rFonts w:hint="default"/>
      </w:rPr>
    </w:lvl>
    <w:lvl w:ilvl="1" w:tentative="0">
      <w:start w:val="1"/>
      <w:numFmt w:val="decimal"/>
      <w:isLgl/>
      <w:lvlText w:val="%1.%2"/>
      <w:lvlJc w:val="left"/>
      <w:pPr>
        <w:ind w:left="390" w:hanging="39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1">
    <w:nsid w:val="6F107976"/>
    <w:multiLevelType w:val="multilevel"/>
    <w:tmpl w:val="6F107976"/>
    <w:lvl w:ilvl="0" w:tentative="0">
      <w:start w:val="1"/>
      <w:numFmt w:val="decimal"/>
      <w:lvlText w:val="%1."/>
      <w:lvlJc w:val="left"/>
      <w:pPr>
        <w:ind w:left="360" w:hanging="360"/>
      </w:pPr>
      <w:rPr>
        <w:rFonts w:hint="default"/>
      </w:rPr>
    </w:lvl>
    <w:lvl w:ilvl="1" w:tentative="0">
      <w:start w:val="1"/>
      <w:numFmt w:val="decimal"/>
      <w:isLgl/>
      <w:lvlText w:val="%1.%2"/>
      <w:lvlJc w:val="left"/>
      <w:pPr>
        <w:ind w:left="390" w:hanging="39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Y0ZjQ1ZmNiZTljZThmYzBjM2U4MmFmMjQ5ZGNhZjIifQ=="/>
  </w:docVars>
  <w:rsids>
    <w:rsidRoot w:val="00D9452F"/>
    <w:rsid w:val="000C1435"/>
    <w:rsid w:val="00154B54"/>
    <w:rsid w:val="001615DF"/>
    <w:rsid w:val="002466D1"/>
    <w:rsid w:val="002714AF"/>
    <w:rsid w:val="002D52BE"/>
    <w:rsid w:val="002E268C"/>
    <w:rsid w:val="003C178C"/>
    <w:rsid w:val="0053778C"/>
    <w:rsid w:val="00987CF3"/>
    <w:rsid w:val="00A31C01"/>
    <w:rsid w:val="00A5485D"/>
    <w:rsid w:val="00A56661"/>
    <w:rsid w:val="00A96ADC"/>
    <w:rsid w:val="00AE7BC0"/>
    <w:rsid w:val="00C81018"/>
    <w:rsid w:val="00CB660B"/>
    <w:rsid w:val="00CB7358"/>
    <w:rsid w:val="00D9452F"/>
    <w:rsid w:val="00E13D68"/>
    <w:rsid w:val="00EE2BF9"/>
    <w:rsid w:val="00F73AA9"/>
    <w:rsid w:val="4CF8556A"/>
    <w:rsid w:val="60FE2A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3"/>
    <w:basedOn w:val="1"/>
    <w:next w:val="1"/>
    <w:semiHidden/>
    <w:unhideWhenUsed/>
    <w:qFormat/>
    <w:uiPriority w:val="9"/>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9"/>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unhideWhenUsed/>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11"/>
    <w:unhideWhenUsed/>
    <w:qFormat/>
    <w:uiPriority w:val="99"/>
    <w:pPr>
      <w:tabs>
        <w:tab w:val="center" w:pos="4153"/>
        <w:tab w:val="right" w:pos="8306"/>
      </w:tabs>
      <w:snapToGrid w:val="0"/>
      <w:jc w:val="left"/>
    </w:pPr>
    <w:rPr>
      <w:sz w:val="18"/>
      <w:szCs w:val="18"/>
    </w:rPr>
  </w:style>
  <w:style w:type="paragraph" w:styleId="5">
    <w:name w:val="header"/>
    <w:basedOn w:val="1"/>
    <w:link w:val="10"/>
    <w:unhideWhenUsed/>
    <w:qFormat/>
    <w:uiPriority w:val="99"/>
    <w:pPr>
      <w:tabs>
        <w:tab w:val="center" w:pos="4153"/>
        <w:tab w:val="right" w:pos="8306"/>
      </w:tabs>
      <w:snapToGrid w:val="0"/>
      <w:jc w:val="center"/>
    </w:pPr>
    <w:rPr>
      <w:sz w:val="18"/>
      <w:szCs w:val="18"/>
    </w:rPr>
  </w:style>
  <w:style w:type="paragraph" w:styleId="6">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character" w:styleId="9">
    <w:name w:val="Strong"/>
    <w:basedOn w:val="8"/>
    <w:qFormat/>
    <w:uiPriority w:val="22"/>
    <w:rPr>
      <w:b/>
    </w:rPr>
  </w:style>
  <w:style w:type="character" w:customStyle="1" w:styleId="10">
    <w:name w:val="页眉 字符"/>
    <w:basedOn w:val="8"/>
    <w:link w:val="5"/>
    <w:qFormat/>
    <w:uiPriority w:val="99"/>
    <w:rPr>
      <w:sz w:val="18"/>
      <w:szCs w:val="18"/>
    </w:rPr>
  </w:style>
  <w:style w:type="character" w:customStyle="1" w:styleId="11">
    <w:name w:val="页脚 字符"/>
    <w:basedOn w:val="8"/>
    <w:link w:val="4"/>
    <w:qFormat/>
    <w:uiPriority w:val="99"/>
    <w:rPr>
      <w:sz w:val="18"/>
      <w:szCs w:val="18"/>
    </w:rPr>
  </w:style>
  <w:style w:type="paragraph" w:styleId="12">
    <w:name w:val="List Paragraph"/>
    <w:basedOn w:val="1"/>
    <w:qFormat/>
    <w:uiPriority w:val="99"/>
    <w:pPr>
      <w:ind w:firstLine="420" w:firstLineChars="200"/>
    </w:pPr>
  </w:style>
  <w:style w:type="paragraph" w:customStyle="1" w:styleId="13">
    <w:name w:val="MdListItem"/>
    <w:qFormat/>
    <w:uiPriority w:val="0"/>
    <w:pPr>
      <w:spacing w:before="60" w:after="60"/>
      <w:ind w:left="720" w:hanging="360"/>
    </w:pPr>
    <w:rPr>
      <w:rFonts w:asciiTheme="minorHAnsi" w:hAnsiTheme="minorHAnsi" w:eastAsiaTheme="minorEastAsia" w:cstheme="minorBidi"/>
      <w:sz w:val="24"/>
      <w:szCs w:val="24"/>
      <w:lang w:val="en-US" w:eastAsia="zh-CN" w:bidi="ar-SA"/>
    </w:rPr>
  </w:style>
  <w:style w:type="character" w:customStyle="1" w:styleId="14">
    <w:name w:val="MdStrong"/>
    <w:unhideWhenUsed/>
    <w:qFormat/>
    <w:uiPriority w:val="99"/>
    <w:rPr>
      <w:b/>
      <w:bCs/>
    </w:rPr>
  </w:style>
  <w:style w:type="paragraph" w:customStyle="1" w:styleId="15">
    <w:name w:val="MdSpace"/>
    <w:qFormat/>
    <w:uiPriority w:val="0"/>
    <w:rPr>
      <w:rFonts w:asciiTheme="minorHAnsi" w:hAnsiTheme="minorHAnsi" w:eastAsiaTheme="minorEastAsia" w:cstheme="minorBidi"/>
      <w:sz w:val="12"/>
      <w:szCs w:val="12"/>
      <w:lang w:val="en-US" w:eastAsia="zh-CN" w:bidi="ar-SA"/>
    </w:rPr>
  </w:style>
  <w:style w:type="paragraph" w:customStyle="1" w:styleId="16">
    <w:name w:val="MdParagraph"/>
    <w:qFormat/>
    <w:uiPriority w:val="0"/>
    <w:pPr>
      <w:spacing w:before="120" w:after="120"/>
    </w:pPr>
    <w:rPr>
      <w:rFonts w:asciiTheme="minorHAnsi" w:hAnsiTheme="minorHAnsi" w:eastAsiaTheme="minorEastAsia" w:cstheme="minorBidi"/>
      <w:sz w:val="24"/>
      <w:szCs w:val="24"/>
      <w:lang w:val="en-US" w:eastAsia="zh-C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FD2985-7C5D-4F41-B363-AC3B46DFC89D}">
  <ds:schemaRefs/>
</ds:datastoreItem>
</file>

<file path=docProps/app.xml><?xml version="1.0" encoding="utf-8"?>
<Properties xmlns="http://schemas.openxmlformats.org/officeDocument/2006/extended-properties" xmlns:vt="http://schemas.openxmlformats.org/officeDocument/2006/docPropsVTypes">
  <Template>Normal</Template>
  <Pages>10</Pages>
  <Words>1230</Words>
  <Characters>1347</Characters>
  <Lines>10</Lines>
  <Paragraphs>2</Paragraphs>
  <TotalTime>57</TotalTime>
  <ScaleCrop>false</ScaleCrop>
  <LinksUpToDate>false</LinksUpToDate>
  <CharactersWithSpaces>1357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2026-07-14T08:26:00Z</dcterms:created>
  <dc:creator>马 思晟</dc:creator>
  <cp:lastModifiedBy>黄钧</cp:lastModifiedBy>
  <dcterms:modified xsi:type="dcterms:W3CDTF">2026-07-17T03:27:44Z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CC1154B0ABA240A392324FFC2E50749B_12</vt:lpwstr>
  </property>
  <property fmtid="{D5CDD505-2E9C-101B-9397-08002B2CF9AE}" pid="4" name="KSOTemplateDocerSaveRecord">
    <vt:lpwstr>eyJoZGlkIjoiNzdmNDllNDA1OWI3NjgwZTIzOGI0ODc0ZjViM2QwYjAiLCJ1c2VySWQiOiIxNjYyNTI1NjM5In0=</vt:lpwstr>
  </property>
</Properties>
</file>