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b/>
          <w:bCs/>
          <w:sz w:val="28"/>
          <w:szCs w:val="28"/>
        </w:rPr>
        <w:t xml:space="preserve">KKF 電波地図に基づく能動的ハンドオーバーの有用性</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22"/>
          <w:szCs w:val="22"/>
        </w:rPr>
        <w:t xml:space="preserve">都市部 2 車線・論理 RSU 8 基における 48 走行の評価</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2026-08-13 / feat/urban-2lane / 内部資料</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主張</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本資料が扱う問題は次のものである．ミリ波（60 GHz）で路側機（RSU）と走行車両が通信するとき，1 基の RSU に同時に接続できる車両は 1 台に限られる（802.15.3e のペアネット方式）．さらに，接続していない相手については，割当の判断に足るだけの受信電力を継続して測ることができない．規格の受動アソシエーションで分かるのは，つなげる見込みがあるかどうかの粗い判定にとどまる．どの車両をどの RSU にいつ接続するかを決めるには，測っていない相手の電波状況を何らかの方法で補う必要がある．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提案手法は，過去の走行から学習した電波地図でこれを補い，接続先を能動的に決める．地図の学習には Kriged Kalman Filter（以下 KKF）を用いる．これは，位置どうしの空間相関を使って未観測の地点を補間する手法（クリギング）と，観測が入るたびに推定を更新する手法（カルマンフィルタ）を組み合わせたもので，位置を入力すると受信電力の予測値と，その予測がどれだけ不確かか（σ）を返す．</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本シミュレーション環境の配置 d70 において，KKF 電波地図に基づく能動的ハンドオーバーは，802.15.3e 準拠の受動接続に対し総配信量で +22.6% ± 1.3 pt 優位である（48 走行，95% 信頼区間）．48 走行すべてで提案手法が上回り，最も差が小さい走行でも +9.2% である．この優位性は事前学習した電波地図に由来し，地図は規格上観測できないペアの現在値を代替する役割を担う．全ペアの現在値を雑音なしで与えた理想反応型に対する到達率は 89.7% 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本稿で「能動的」とは，規格上観測できないペアの現在値を地図で推定して切替の判断を行うことを指し，将来時刻の予測は含まない（1 段先，すなわち現時刻しか見ない）．</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評価の方法</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事後再計算による評価</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全手法を事後再計算（replay）で評価する．軌跡と全ペアの受信電力を 1 回記録し，同一のチャネル実現の上で通信とスケジューリングだけを再計算するため，同じ交通・同じ電波の実現の上で手法だけを差し替えることになり，条件差が完全に打ち消される．</w:t>
      </w:r>
    </w:p>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再計算は決定論的である．本資料の作成にあたって 1 走行を再実行し，記録済みの値と小数点以下まで一致することを確認した．</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表1　評価条件</w:t>
      </w:r>
    </w:p>
    <w:tbl>
      <w:tblPr>
        <w:tblStyle w:val="af4"/>
        <w:tblW w:type="auto" w:w="0"/>
        <w:jc w:val="center"/>
        <w:tblLayout w:type="fixed"/>
        <w:tblLook w:firstColumn="1" w:firstRow="1" w:lastColumn="0" w:lastRow="0" w:noHBand="0" w:noVBand="1" w:val="04A0"/>
      </w:tblPr>
      <w:tblGrid>
        <w:gridCol w:w="4819"/>
        <w:gridCol w:w="4819"/>
      </w:tblGrid>
      <w:tr>
        <w:tc>
          <w:tcPr>
            <w:tcW w:type="dxa" w:w="1474"/>
          </w:tcPr>
          <w:p>
            <w:pPr>
              <w:spacing w:after="0" w:line="240" w:lineRule="auto"/>
              <w:jc w:val="center"/>
            </w:pPr>
            <w:r>
              <w:rPr>
                <w:rFonts w:ascii="Times New Roman" w:hAnsi="Times New Roman" w:cs="Times New Roman"/>
                <w:b/>
                <w:bCs/>
                <w:sz w:val="17"/>
                <w:szCs w:val="17"/>
              </w:rPr>
              <w:t>項目</w:t>
            </w:r>
          </w:p>
        </w:tc>
        <w:tc>
          <w:tcPr>
            <w:tcW w:type="dxa" w:w="8164"/>
          </w:tcPr>
          <w:p>
            <w:pPr>
              <w:spacing w:after="0" w:line="240" w:lineRule="auto"/>
              <w:jc w:val="center"/>
            </w:pPr>
            <w:r>
              <w:rPr>
                <w:rFonts w:ascii="Times New Roman" w:hAnsi="Times New Roman" w:cs="Times New Roman"/>
                <w:b/>
                <w:bCs/>
                <w:sz w:val="17"/>
                <w:szCs w:val="17"/>
              </w:rPr>
              <w:t>設定</w:t>
            </w:r>
          </w:p>
        </w:tc>
      </w:tr>
      <w:tr>
        <w:tc>
          <w:tcPr>
            <w:tcW w:type="dxa" w:w="1474"/>
          </w:tcPr>
          <w:p>
            <w:pPr>
              <w:spacing w:after="0" w:line="240" w:lineRule="auto"/>
            </w:pPr>
            <w:r>
              <w:rPr>
                <w:rFonts w:ascii="Times New Roman" w:hAnsi="Times New Roman" w:cs="Times New Roman"/>
                <w:sz w:val="17"/>
                <w:szCs w:val="17"/>
              </w:rPr>
              <w:t>道路・RSU</w:t>
            </w:r>
          </w:p>
        </w:tc>
        <w:tc>
          <w:tcPr>
            <w:tcW w:type="dxa" w:w="8164"/>
          </w:tcPr>
          <w:p>
            <w:pPr>
              <w:spacing w:after="0" w:line="240" w:lineRule="auto"/>
            </w:pPr>
            <w:r>
              <w:rPr>
                <w:rFonts w:ascii="Times New Roman" w:hAnsi="Times New Roman" w:cs="Times New Roman"/>
                <w:sz w:val="17"/>
                <w:szCs w:val="17"/>
              </w:rPr>
              <w:t>都市部 2 車線（各方向 1 車線），論理 RSU 8 基（ポール 4 本 × 上流/下流 2 面，ポール間隔 20 m，路側 y = 6 m，高さ 2.5 m）．アンテナ傾き δ_rsu = 70°，車載 δ_veh = 20°（互いの正面が向き合う向き）．以下これを配置 d70 と呼ぶ</w:t>
            </w:r>
          </w:p>
        </w:tc>
      </w:tr>
      <w:tr>
        <w:tc>
          <w:tcPr>
            <w:tcW w:type="dxa" w:w="1474"/>
          </w:tcPr>
          <w:p>
            <w:pPr>
              <w:spacing w:after="0" w:line="240" w:lineRule="auto"/>
            </w:pPr>
            <w:r>
              <w:rPr>
                <w:rFonts w:ascii="Times New Roman" w:hAnsi="Times New Roman" w:cs="Times New Roman"/>
                <w:sz w:val="17"/>
                <w:szCs w:val="17"/>
              </w:rPr>
              <w:t>車両</w:t>
            </w:r>
          </w:p>
        </w:tc>
        <w:tc>
          <w:tcPr>
            <w:tcW w:type="dxa" w:w="8164"/>
          </w:tcPr>
          <w:p>
            <w:pPr>
              <w:spacing w:after="0" w:line="240" w:lineRule="auto"/>
            </w:pPr>
            <w:r>
              <w:rPr>
                <w:rFonts w:ascii="Times New Roman" w:hAnsi="Times New Roman" w:cs="Times New Roman"/>
                <w:sz w:val="17"/>
                <w:szCs w:val="17"/>
              </w:rPr>
              <w:t>平均 36.8 台/走行（21〜45），速度 7.0 m/s，車頭時間 平均 2.0 s，前後 2 アンテナ（高さ 1.35 m）</w:t>
            </w:r>
          </w:p>
        </w:tc>
      </w:tr>
      <w:tr>
        <w:tc>
          <w:tcPr>
            <w:tcW w:type="dxa" w:w="1474"/>
          </w:tcPr>
          <w:p>
            <w:pPr>
              <w:spacing w:after="0" w:line="240" w:lineRule="auto"/>
            </w:pPr>
            <w:r>
              <w:rPr>
                <w:rFonts w:ascii="Times New Roman" w:hAnsi="Times New Roman" w:cs="Times New Roman"/>
                <w:sz w:val="17"/>
                <w:szCs w:val="17"/>
              </w:rPr>
              <w:t>無線</w:t>
            </w:r>
          </w:p>
        </w:tc>
        <w:tc>
          <w:tcPr>
            <w:tcW w:type="dxa" w:w="8164"/>
          </w:tcPr>
          <w:p>
            <w:pPr>
              <w:spacing w:after="0" w:line="240" w:lineRule="auto"/>
            </w:pPr>
            <w:r>
              <w:rPr>
                <w:rFonts w:ascii="Times New Roman" w:hAnsi="Times New Roman" w:cs="Times New Roman"/>
                <w:sz w:val="17"/>
                <w:szCs w:val="17"/>
              </w:rPr>
              <w:t>60 GHz，送信電力 −7 dBm，接続閾値 −78.5 dBm，帯域 100 MHz，排他接続．観測レポートは 20 Hz，観測雑音 σ = 2.0 dB</w:t>
            </w:r>
          </w:p>
        </w:tc>
      </w:tr>
      <w:tr>
        <w:tc>
          <w:tcPr>
            <w:tcW w:type="dxa" w:w="1474"/>
          </w:tcPr>
          <w:p>
            <w:pPr>
              <w:spacing w:after="0" w:line="240" w:lineRule="auto"/>
            </w:pPr>
            <w:r>
              <w:rPr>
                <w:rFonts w:ascii="Times New Roman" w:hAnsi="Times New Roman" w:cs="Times New Roman"/>
                <w:sz w:val="17"/>
                <w:szCs w:val="17"/>
              </w:rPr>
              <w:t>チャネル</w:t>
            </w:r>
          </w:p>
        </w:tc>
        <w:tc>
          <w:tcPr>
            <w:tcW w:type="dxa" w:w="8164"/>
          </w:tcPr>
          <w:p>
            <w:pPr>
              <w:spacing w:after="0" w:line="240" w:lineRule="auto"/>
            </w:pPr>
            <w:r>
              <w:rPr>
                <w:rFonts w:ascii="Times New Roman" w:hAnsi="Times New Roman" w:cs="Times New Roman"/>
                <w:sz w:val="17"/>
                <w:szCs w:val="17"/>
              </w:rPr>
              <w:t>自由空間経路損失 + 持続シャドウイング（σ = 4 dB，相関長 6 m）+ 路上駐車 2 台による遮蔽．フェージング無効．シャドウイングの場と駐車位置は environment_seed = 1 で固定（本節末を参照）</w:t>
            </w:r>
          </w:p>
        </w:tc>
      </w:tr>
      <w:tr>
        <w:tc>
          <w:tcPr>
            <w:tcW w:type="dxa" w:w="1474"/>
          </w:tcPr>
          <w:p>
            <w:pPr>
              <w:spacing w:after="0" w:line="240" w:lineRule="auto"/>
            </w:pPr>
            <w:r>
              <w:rPr>
                <w:rFonts w:ascii="Times New Roman" w:hAnsi="Times New Roman" w:cs="Times New Roman"/>
                <w:sz w:val="17"/>
                <w:szCs w:val="17"/>
              </w:rPr>
              <w:t>走行</w:t>
            </w:r>
          </w:p>
        </w:tc>
        <w:tc>
          <w:tcPr>
            <w:tcW w:type="dxa" w:w="8164"/>
          </w:tcPr>
          <w:p>
            <w:pPr>
              <w:spacing w:after="0" w:line="240" w:lineRule="auto"/>
            </w:pPr>
            <w:r>
              <w:rPr>
                <w:rFonts w:ascii="Times New Roman" w:hAnsi="Times New Roman" w:cs="Times New Roman"/>
                <w:sz w:val="17"/>
                <w:szCs w:val="17"/>
              </w:rPr>
              <w:t>交通生成窓 35 s，走行のシム時刻は約 78 s（上限 90 s），記録周期 5 ms</w:t>
            </w:r>
          </w:p>
        </w:tc>
      </w:tr>
      <w:tr>
        <w:tc>
          <w:tcPr>
            <w:tcW w:type="dxa" w:w="1474"/>
          </w:tcPr>
          <w:p>
            <w:pPr>
              <w:spacing w:after="0" w:line="240" w:lineRule="auto"/>
            </w:pPr>
            <w:r>
              <w:rPr>
                <w:rFonts w:ascii="Times New Roman" w:hAnsi="Times New Roman" w:cs="Times New Roman"/>
                <w:sz w:val="17"/>
                <w:szCs w:val="17"/>
              </w:rPr>
              <w:t>レート</w:t>
            </w:r>
          </w:p>
        </w:tc>
        <w:tc>
          <w:tcPr>
            <w:tcW w:type="dxa" w:w="8164"/>
          </w:tcPr>
          <w:p>
            <w:pPr>
              <w:spacing w:after="0" w:line="240" w:lineRule="auto"/>
            </w:pPr>
            <w:r>
              <w:rPr>
                <w:rFonts w:ascii="Times New Roman" w:hAnsi="Times New Roman" w:cs="Times New Roman"/>
                <w:sz w:val="17"/>
                <w:szCs w:val="17"/>
              </w:rPr>
              <w:t>Shannon 式（帯域 100 MHz，雑音床 −95 dBm，効率 1.0，SNR 上限 50 dB）．802.15.3e に準拠するのは接続手順（受動アソシエーションと排他接続）であり，チャネル帯域は規格の 2.16 GHz ではない</w:t>
            </w:r>
          </w:p>
        </w:tc>
      </w:tr>
      <w:tr>
        <w:tc>
          <w:tcPr>
            <w:tcW w:type="dxa" w:w="1474"/>
          </w:tcPr>
          <w:p>
            <w:pPr>
              <w:spacing w:after="0" w:line="240" w:lineRule="auto"/>
            </w:pPr>
            <w:r>
              <w:rPr>
                <w:rFonts w:ascii="Times New Roman" w:hAnsi="Times New Roman" w:cs="Times New Roman"/>
                <w:sz w:val="17"/>
                <w:szCs w:val="17"/>
              </w:rPr>
              <w:t>KKF 地図</w:t>
            </w:r>
          </w:p>
        </w:tc>
        <w:tc>
          <w:tcPr>
            <w:tcW w:type="dxa" w:w="8164"/>
          </w:tcPr>
          <w:p>
            <w:pPr>
              <w:spacing w:after="0" w:line="240" w:lineRule="auto"/>
            </w:pPr>
            <w:r>
              <w:rPr>
                <w:rFonts w:ascii="Times New Roman" w:hAnsi="Times New Roman" w:cs="Times New Roman"/>
                <w:sz w:val="17"/>
                <w:szCs w:val="17"/>
              </w:rPr>
              <w:t>道路に沿って等間隔に置いた山型の関数（RBF 基底）40 個の重み付き和で受信電力を表す（道路に沿った距離で 0〜210 m）．地図は（RSU，走行方向，車載アンテナ）ごとに独立 = 32 枚．学習 30 走行（base_seed 512345，評価とシード域を分離）．学習相の交通は素のシナリオの設定（速度 16.7 m/s，車頭 5.0 s，生成窓 60 s）で評価相とは異なるが，走行車両は遮蔽体として扱わないため伝搬そのものには影響せず，道路に沿った標本の分布のみが変わる</w:t>
            </w:r>
          </w:p>
        </w:tc>
      </w:tr>
      <w:tr>
        <w:tc>
          <w:tcPr>
            <w:tcW w:type="dxa" w:w="1474"/>
          </w:tcPr>
          <w:p>
            <w:pPr>
              <w:spacing w:after="0" w:line="240" w:lineRule="auto"/>
            </w:pPr>
            <w:r>
              <w:rPr>
                <w:rFonts w:ascii="Times New Roman" w:hAnsi="Times New Roman" w:cs="Times New Roman"/>
                <w:sz w:val="17"/>
                <w:szCs w:val="17"/>
              </w:rPr>
              <w:t>評価</w:t>
            </w:r>
          </w:p>
        </w:tc>
        <w:tc>
          <w:tcPr>
            <w:tcW w:type="dxa" w:w="8164"/>
          </w:tcPr>
          <w:p>
            <w:pPr>
              <w:spacing w:after="0" w:line="240" w:lineRule="auto"/>
            </w:pPr>
            <w:r>
              <w:rPr>
                <w:rFonts w:ascii="Times New Roman" w:hAnsi="Times New Roman" w:cs="Times New Roman"/>
                <w:sz w:val="17"/>
                <w:szCs w:val="17"/>
              </w:rPr>
              <w:t>記録 50 走行のうち 48 走行（base_seed 12345，シード刻み 1000）．対比較 Wilcoxon 符号順位検定，信頼区間は対差の t 区間</w:t>
            </w:r>
          </w:p>
        </w:tc>
      </w:tr>
      <w:tr>
        <w:tc>
          <w:tcPr>
            <w:tcW w:type="dxa" w:w="1474"/>
          </w:tcPr>
          <w:p>
            <w:pPr>
              <w:spacing w:after="0" w:line="240" w:lineRule="auto"/>
            </w:pPr>
            <w:r>
              <w:rPr>
                <w:rFonts w:ascii="Times New Roman" w:hAnsi="Times New Roman" w:cs="Times New Roman"/>
                <w:sz w:val="17"/>
                <w:szCs w:val="17"/>
              </w:rPr>
              <w:t>再現</w:t>
            </w:r>
          </w:p>
        </w:tc>
        <w:tc>
          <w:tcPr>
            <w:tcW w:type="dxa" w:w="8164"/>
          </w:tcPr>
          <w:p>
            <w:pPr>
              <w:spacing w:after="0" w:line="240" w:lineRule="auto"/>
            </w:pPr>
            <w:r>
              <w:rPr>
                <w:rFonts w:ascii="Times New Roman" w:hAnsi="Times New Roman" w:cs="Times New Roman"/>
                <w:sz w:val="17"/>
                <w:szCs w:val="17"/>
              </w:rPr>
              <w:t>コードと設定は feat/urban-2lane の 789996b / ef7b8b7．記録時の作業差分は sim_results/rec_d70_n50/sweep/config/workspace.patch．実行環境と手順は付録 D</w:t>
            </w:r>
          </w:p>
        </w:tc>
      </w:tr>
    </w:tbl>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持続シャドウイングの場と路上駐車の位置は，学習相と評価相で同一である．これは環境に固有の減衰を学習対象とする電波地図の前提そのものであり，走行ごとに変わるのは交通実現と観測雑音である．したがって本評価が示すのは「同じ環境を走り続けた場合に地図が持つ価値」であって，環境が変わったときの地図の陳腐化は評価していない（第 5 章）．</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記録した 50 走行のうち 2 走行は評価に載っていない．原因は記録側の書き出しが途中で打ち切られたことである．記録は全手法で共有するため，この脱落は手法の優劣に対して選択的ではない．詳細は付録 B に示す．</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用語</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表2　本資料で使う用語</w:t>
      </w:r>
    </w:p>
    <w:tbl>
      <w:tblPr>
        <w:tblStyle w:val="af4"/>
        <w:tblW w:type="auto" w:w="0"/>
        <w:jc w:val="center"/>
        <w:tblLayout w:type="fixed"/>
        <w:tblLook w:firstColumn="1" w:firstRow="1" w:lastColumn="0" w:lastRow="0" w:noHBand="0" w:noVBand="1" w:val="04A0"/>
      </w:tblPr>
      <w:tblGrid>
        <w:gridCol w:w="4819"/>
        <w:gridCol w:w="4819"/>
      </w:tblGrid>
      <w:tr>
        <w:tc>
          <w:tcPr>
            <w:tcW w:type="dxa" w:w="1928"/>
          </w:tcPr>
          <w:p>
            <w:pPr>
              <w:spacing w:after="0" w:line="240" w:lineRule="auto"/>
              <w:jc w:val="center"/>
            </w:pPr>
            <w:r>
              <w:rPr>
                <w:rFonts w:ascii="Times New Roman" w:hAnsi="Times New Roman" w:cs="Times New Roman"/>
                <w:b/>
                <w:bCs/>
                <w:sz w:val="17"/>
                <w:szCs w:val="17"/>
              </w:rPr>
              <w:t>用語</w:t>
            </w:r>
          </w:p>
        </w:tc>
        <w:tc>
          <w:tcPr>
            <w:tcW w:type="dxa" w:w="7710"/>
          </w:tcPr>
          <w:p>
            <w:pPr>
              <w:spacing w:after="0" w:line="240" w:lineRule="auto"/>
              <w:jc w:val="center"/>
            </w:pPr>
            <w:r>
              <w:rPr>
                <w:rFonts w:ascii="Times New Roman" w:hAnsi="Times New Roman" w:cs="Times New Roman"/>
                <w:b/>
                <w:bCs/>
                <w:sz w:val="17"/>
                <w:szCs w:val="17"/>
              </w:rPr>
              <w:t>意味</w:t>
            </w:r>
          </w:p>
        </w:tc>
      </w:tr>
      <w:tr>
        <w:tc>
          <w:tcPr>
            <w:tcW w:type="dxa" w:w="1928"/>
          </w:tcPr>
          <w:p>
            <w:pPr>
              <w:spacing w:after="0" w:line="240" w:lineRule="auto"/>
            </w:pPr>
            <w:r>
              <w:rPr>
                <w:rFonts w:ascii="Times New Roman" w:hAnsi="Times New Roman" w:cs="Times New Roman"/>
                <w:sz w:val="17"/>
                <w:szCs w:val="17"/>
              </w:rPr>
              <w:t>割当（grant）</w:t>
            </w:r>
          </w:p>
        </w:tc>
        <w:tc>
          <w:tcPr>
            <w:tcW w:type="dxa" w:w="7710"/>
          </w:tcPr>
          <w:p>
            <w:pPr>
              <w:spacing w:after="0" w:line="240" w:lineRule="auto"/>
            </w:pPr>
            <w:r>
              <w:rPr>
                <w:rFonts w:ascii="Times New Roman" w:hAnsi="Times New Roman" w:cs="Times New Roman"/>
                <w:sz w:val="17"/>
                <w:szCs w:val="17"/>
              </w:rPr>
              <w:t>ある車両にある RSU を使う権利が与えられている状態．割当があっても電波が弱ければ送れないので，割当時間と接続時間は一致しない</w:t>
            </w:r>
          </w:p>
        </w:tc>
      </w:tr>
      <w:tr>
        <w:tc>
          <w:tcPr>
            <w:tcW w:type="dxa" w:w="1928"/>
          </w:tcPr>
          <w:p>
            <w:pPr>
              <w:spacing w:after="0" w:line="240" w:lineRule="auto"/>
            </w:pPr>
            <w:r>
              <w:rPr>
                <w:rFonts w:ascii="Times New Roman" w:hAnsi="Times New Roman" w:cs="Times New Roman"/>
                <w:sz w:val="17"/>
                <w:szCs w:val="17"/>
              </w:rPr>
              <w:t>接続時間</w:t>
            </w:r>
          </w:p>
        </w:tc>
        <w:tc>
          <w:tcPr>
            <w:tcW w:type="dxa" w:w="7710"/>
          </w:tcPr>
          <w:p>
            <w:pPr>
              <w:spacing w:after="0" w:line="240" w:lineRule="auto"/>
            </w:pPr>
            <w:r>
              <w:rPr>
                <w:rFonts w:ascii="Times New Roman" w:hAnsi="Times New Roman" w:cs="Times New Roman"/>
                <w:sz w:val="17"/>
                <w:szCs w:val="17"/>
              </w:rPr>
              <w:t>割当を得たうえで実際に受信電力が閾値を超え，データを送れていた時間</w:t>
            </w:r>
          </w:p>
        </w:tc>
      </w:tr>
      <w:tr>
        <w:tc>
          <w:tcPr>
            <w:tcW w:type="dxa" w:w="1928"/>
          </w:tcPr>
          <w:p>
            <w:pPr>
              <w:spacing w:after="0" w:line="240" w:lineRule="auto"/>
            </w:pPr>
            <w:r>
              <w:rPr>
                <w:rFonts w:ascii="Times New Roman" w:hAnsi="Times New Roman" w:cs="Times New Roman"/>
                <w:sz w:val="17"/>
                <w:szCs w:val="17"/>
              </w:rPr>
              <w:t>対差</w:t>
            </w:r>
          </w:p>
        </w:tc>
        <w:tc>
          <w:tcPr>
            <w:tcW w:type="dxa" w:w="7710"/>
          </w:tcPr>
          <w:p>
            <w:pPr>
              <w:spacing w:after="0" w:line="240" w:lineRule="auto"/>
            </w:pPr>
            <w:r>
              <w:rPr>
                <w:rFonts w:ascii="Times New Roman" w:hAnsi="Times New Roman" w:cs="Times New Roman"/>
                <w:sz w:val="17"/>
                <w:szCs w:val="17"/>
              </w:rPr>
              <w:t>同じ交通実現（同じ記録）どうしで手法間の値を引き算した差．走行ごとの交通の当たり外れが打ち消されるため，本資料の主指標とする</w:t>
            </w:r>
          </w:p>
        </w:tc>
      </w:tr>
      <w:tr>
        <w:tc>
          <w:tcPr>
            <w:tcW w:type="dxa" w:w="1928"/>
          </w:tcPr>
          <w:p>
            <w:pPr>
              <w:spacing w:after="0" w:line="240" w:lineRule="auto"/>
            </w:pPr>
            <w:r>
              <w:rPr>
                <w:rFonts w:ascii="Times New Roman" w:hAnsi="Times New Roman" w:cs="Times New Roman"/>
                <w:sz w:val="17"/>
                <w:szCs w:val="17"/>
              </w:rPr>
              <w:t>走行ごと相対差</w:t>
            </w:r>
          </w:p>
        </w:tc>
        <w:tc>
          <w:tcPr>
            <w:tcW w:type="dxa" w:w="7710"/>
          </w:tcPr>
          <w:p>
            <w:pPr>
              <w:spacing w:after="0" w:line="240" w:lineRule="auto"/>
            </w:pPr>
            <w:r>
              <w:rPr>
                <w:rFonts w:ascii="Times New Roman" w:hAnsi="Times New Roman" w:cs="Times New Roman"/>
                <w:sz w:val="17"/>
                <w:szCs w:val="17"/>
              </w:rPr>
              <w:t>対差を，その走行の受動接続の値で割ったもの．走行間で規模をそろえた比較</w:t>
            </w:r>
          </w:p>
        </w:tc>
      </w:tr>
      <w:tr>
        <w:tc>
          <w:tcPr>
            <w:tcW w:type="dxa" w:w="1928"/>
          </w:tcPr>
          <w:p>
            <w:pPr>
              <w:spacing w:after="0" w:line="240" w:lineRule="auto"/>
            </w:pPr>
            <w:r>
              <w:rPr>
                <w:rFonts w:ascii="Times New Roman" w:hAnsi="Times New Roman" w:cs="Times New Roman"/>
                <w:sz w:val="17"/>
                <w:szCs w:val="17"/>
              </w:rPr>
              <w:t>到達率</w:t>
            </w:r>
          </w:p>
        </w:tc>
        <w:tc>
          <w:tcPr>
            <w:tcW w:type="dxa" w:w="7710"/>
          </w:tcPr>
          <w:p>
            <w:pPr>
              <w:spacing w:after="0" w:line="240" w:lineRule="auto"/>
            </w:pPr>
            <w:r>
              <w:rPr>
                <w:rFonts w:ascii="Times New Roman" w:hAnsi="Times New Roman" w:cs="Times New Roman"/>
                <w:sz w:val="17"/>
                <w:szCs w:val="17"/>
              </w:rPr>
              <w:t>受動接続との対差のうち，理想反応型（oracle）が得た対差の何 % を提案手法が得たか．地図が完全な計測をどこまで代替できたかを表す</w:t>
            </w:r>
          </w:p>
        </w:tc>
      </w:tr>
      <w:tr>
        <w:tc>
          <w:tcPr>
            <w:tcW w:type="dxa" w:w="1928"/>
          </w:tcPr>
          <w:p>
            <w:pPr>
              <w:spacing w:after="0" w:line="240" w:lineRule="auto"/>
            </w:pPr>
            <w:r>
              <w:rPr>
                <w:rFonts w:ascii="Times New Roman" w:hAnsi="Times New Roman" w:cs="Times New Roman"/>
                <w:sz w:val="17"/>
                <w:szCs w:val="17"/>
              </w:rPr>
              <w:t>LCB（κσ）</w:t>
            </w:r>
          </w:p>
        </w:tc>
        <w:tc>
          <w:tcPr>
            <w:tcW w:type="dxa" w:w="7710"/>
          </w:tcPr>
          <w:p>
            <w:pPr>
              <w:spacing w:after="0" w:line="240" w:lineRule="auto"/>
            </w:pPr>
            <w:r>
              <w:rPr>
                <w:rFonts w:ascii="Times New Roman" w:hAnsi="Times New Roman" w:cs="Times New Roman"/>
                <w:sz w:val="17"/>
                <w:szCs w:val="17"/>
              </w:rPr>
              <w:t>予測値から不確かさ σ の κ 倍を差し引いた値で評価する慎重な選び方．確度の低い予測を高く評価しないための仕組み</w:t>
            </w:r>
          </w:p>
        </w:tc>
      </w:tr>
      <w:tr>
        <w:tc>
          <w:tcPr>
            <w:tcW w:type="dxa" w:w="1928"/>
          </w:tcPr>
          <w:p>
            <w:pPr>
              <w:spacing w:after="0" w:line="240" w:lineRule="auto"/>
            </w:pPr>
            <w:r>
              <w:rPr>
                <w:rFonts w:ascii="Times New Roman" w:hAnsi="Times New Roman" w:cs="Times New Roman"/>
                <w:sz w:val="17"/>
                <w:szCs w:val="17"/>
              </w:rPr>
              <w:t>遮蔽リスク地図 σν²</w:t>
            </w:r>
          </w:p>
        </w:tc>
        <w:tc>
          <w:tcPr>
            <w:tcW w:type="dxa" w:w="7710"/>
          </w:tcPr>
          <w:p>
            <w:pPr>
              <w:spacing w:after="0" w:line="240" w:lineRule="auto"/>
            </w:pPr>
            <w:r>
              <w:rPr>
                <w:rFonts w:ascii="Times New Roman" w:hAnsi="Times New Roman" w:cs="Times New Roman"/>
                <w:sz w:val="17"/>
                <w:szCs w:val="17"/>
              </w:rPr>
              <w:t>同じ位置でも走行ごとに受信電力が揺らぐ量の大きさを別に保持する地図．揺らぎの大きい位置を避けるために使う</w:t>
            </w:r>
          </w:p>
        </w:tc>
      </w:tr>
      <w:tr>
        <w:tc>
          <w:tcPr>
            <w:tcW w:type="dxa" w:w="1928"/>
          </w:tcPr>
          <w:p>
            <w:pPr>
              <w:spacing w:after="0" w:line="240" w:lineRule="auto"/>
            </w:pPr>
            <w:r>
              <w:rPr>
                <w:rFonts w:ascii="Times New Roman" w:hAnsi="Times New Roman" w:cs="Times New Roman"/>
                <w:sz w:val="17"/>
                <w:szCs w:val="17"/>
              </w:rPr>
              <w:t>割当層</w:t>
            </w:r>
          </w:p>
        </w:tc>
        <w:tc>
          <w:tcPr>
            <w:tcW w:type="dxa" w:w="7710"/>
          </w:tcPr>
          <w:p>
            <w:pPr>
              <w:spacing w:after="0" w:line="240" w:lineRule="auto"/>
            </w:pPr>
            <w:r>
              <w:rPr>
                <w:rFonts w:ascii="Times New Roman" w:hAnsi="Times New Roman" w:cs="Times New Roman"/>
                <w:sz w:val="17"/>
                <w:szCs w:val="17"/>
              </w:rPr>
              <w:t>各時刻に「どの車両にどの RSU を与えるか」を決める部分．本資料ではすべての手法で共通に，予測レートの総和を最大にする貪欲な割当を用いる．地図（予測）とは分離されている</w:t>
            </w:r>
          </w:p>
        </w:tc>
      </w:tr>
    </w:tbl>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比較した手法</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表3　比較した手法</w:t>
      </w:r>
    </w:p>
    <w:tbl>
      <w:tblPr>
        <w:tblStyle w:val="af4"/>
        <w:tblW w:type="auto" w:w="0"/>
        <w:jc w:val="center"/>
        <w:tblLayout w:type="fixed"/>
        <w:tblLook w:firstColumn="1" w:firstRow="1" w:lastColumn="0" w:lastRow="0" w:noHBand="0" w:noVBand="1" w:val="04A0"/>
      </w:tblPr>
      <w:tblGrid>
        <w:gridCol w:w="4819"/>
        <w:gridCol w:w="4819"/>
      </w:tblGrid>
      <w:tr>
        <w:tc>
          <w:tcPr>
            <w:tcW w:type="dxa" w:w="1701"/>
          </w:tcPr>
          <w:p>
            <w:pPr>
              <w:spacing w:after="0" w:line="240" w:lineRule="auto"/>
              <w:jc w:val="center"/>
            </w:pPr>
            <w:r>
              <w:rPr>
                <w:rFonts w:ascii="Times New Roman" w:hAnsi="Times New Roman" w:cs="Times New Roman"/>
                <w:b/>
                <w:bCs/>
                <w:sz w:val="17"/>
                <w:szCs w:val="17"/>
              </w:rPr>
              <w:t>手法</w:t>
            </w:r>
          </w:p>
        </w:tc>
        <w:tc>
          <w:tcPr>
            <w:tcW w:type="dxa" w:w="7937"/>
          </w:tcPr>
          <w:p>
            <w:pPr>
              <w:spacing w:after="0" w:line="240" w:lineRule="auto"/>
              <w:jc w:val="center"/>
            </w:pPr>
            <w:r>
              <w:rPr>
                <w:rFonts w:ascii="Times New Roman" w:hAnsi="Times New Roman" w:cs="Times New Roman"/>
                <w:b/>
                <w:bCs/>
                <w:sz w:val="17"/>
                <w:szCs w:val="17"/>
              </w:rPr>
              <w:t>内容</w:t>
            </w:r>
          </w:p>
        </w:tc>
      </w:tr>
      <w:tr>
        <w:tc>
          <w:tcPr>
            <w:tcW w:type="dxa" w:w="1701"/>
          </w:tcPr>
          <w:p>
            <w:pPr>
              <w:spacing w:after="0" w:line="240" w:lineRule="auto"/>
            </w:pPr>
            <w:r>
              <w:rPr>
                <w:rFonts w:ascii="Times New Roman" w:hAnsi="Times New Roman" w:cs="Times New Roman"/>
                <w:sz w:val="17"/>
                <w:szCs w:val="17"/>
              </w:rPr>
              <w:t>assoc_hold</w:t>
            </w:r>
          </w:p>
        </w:tc>
        <w:tc>
          <w:tcPr>
            <w:tcW w:type="dxa" w:w="7937"/>
          </w:tcPr>
          <w:p>
            <w:pPr>
              <w:spacing w:after="0" w:line="240" w:lineRule="auto"/>
            </w:pPr>
            <w:r>
              <w:rPr>
                <w:rFonts w:ascii="Times New Roman" w:hAnsi="Times New Roman" w:cs="Times New Roman"/>
                <w:sz w:val="17"/>
                <w:szCs w:val="17"/>
              </w:rPr>
              <w:t>802.15.3e 準拠の受動接続．閾値を超えた空き RSU に接続し保持する．能動的なハンドオーバーを行わない標準ベースライン</w:t>
            </w:r>
          </w:p>
        </w:tc>
      </w:tr>
      <w:tr>
        <w:tc>
          <w:tcPr>
            <w:tcW w:type="dxa" w:w="1701"/>
          </w:tcPr>
          <w:p>
            <w:pPr>
              <w:spacing w:after="0" w:line="240" w:lineRule="auto"/>
            </w:pPr>
            <w:r>
              <w:rPr>
                <w:rFonts w:ascii="Times New Roman" w:hAnsi="Times New Roman" w:cs="Times New Roman"/>
                <w:sz w:val="17"/>
                <w:szCs w:val="17"/>
              </w:rPr>
              <w:t>kkf_conv</w:t>
            </w:r>
          </w:p>
        </w:tc>
        <w:tc>
          <w:tcPr>
            <w:tcW w:type="dxa" w:w="7937"/>
          </w:tcPr>
          <w:p>
            <w:pPr>
              <w:spacing w:after="0" w:line="240" w:lineRule="auto"/>
            </w:pPr>
            <w:r>
              <w:rPr>
                <w:rFonts w:ascii="Times New Roman" w:hAnsi="Times New Roman" w:cs="Times New Roman"/>
                <w:sz w:val="17"/>
                <w:szCs w:val="17"/>
              </w:rPr>
              <w:t>提案手法．学習済みの電波地図を持ち，観測は grant 中のペアに限る（規格忠実）</w:t>
            </w:r>
          </w:p>
        </w:tc>
      </w:tr>
      <w:tr>
        <w:tc>
          <w:tcPr>
            <w:tcW w:type="dxa" w:w="1701"/>
          </w:tcPr>
          <w:p>
            <w:pPr>
              <w:spacing w:after="0" w:line="240" w:lineRule="auto"/>
            </w:pPr>
            <w:r>
              <w:rPr>
                <w:rFonts w:ascii="Times New Roman" w:hAnsi="Times New Roman" w:cs="Times New Roman"/>
                <w:sz w:val="17"/>
                <w:szCs w:val="17"/>
              </w:rPr>
              <w:t>kkf_cold</w:t>
            </w:r>
          </w:p>
        </w:tc>
        <w:tc>
          <w:tcPr>
            <w:tcW w:type="dxa" w:w="7937"/>
          </w:tcPr>
          <w:p>
            <w:pPr>
              <w:spacing w:after="0" w:line="240" w:lineRule="auto"/>
            </w:pPr>
            <w:r>
              <w:rPr>
                <w:rFonts w:ascii="Times New Roman" w:hAnsi="Times New Roman" w:cs="Times New Roman"/>
                <w:sz w:val="17"/>
                <w:szCs w:val="17"/>
              </w:rPr>
              <w:t>地図を持たず，観測も grant 中のペアに限る．規格忠実な条件で事前学習だけを外した構成</w:t>
            </w:r>
          </w:p>
        </w:tc>
      </w:tr>
      <w:tr>
        <w:tc>
          <w:tcPr>
            <w:tcW w:type="dxa" w:w="1701"/>
          </w:tcPr>
          <w:p>
            <w:pPr>
              <w:spacing w:after="0" w:line="240" w:lineRule="auto"/>
            </w:pPr>
            <w:r>
              <w:rPr>
                <w:rFonts w:ascii="Times New Roman" w:hAnsi="Times New Roman" w:cs="Times New Roman"/>
                <w:sz w:val="17"/>
                <w:szCs w:val="17"/>
              </w:rPr>
              <w:t>kkf_cold_probe</w:t>
            </w:r>
          </w:p>
        </w:tc>
        <w:tc>
          <w:tcPr>
            <w:tcW w:type="dxa" w:w="7937"/>
          </w:tcPr>
          <w:p>
            <w:pPr>
              <w:spacing w:after="0" w:line="240" w:lineRule="auto"/>
            </w:pPr>
            <w:r>
              <w:rPr>
                <w:rFonts w:ascii="Times New Roman" w:hAnsi="Times New Roman" w:cs="Times New Roman"/>
                <w:sz w:val="17"/>
                <w:szCs w:val="17"/>
              </w:rPr>
              <w:t>地図を持たないが，全ペアを観測して走行内で地図を育てる．規格の接続手順では実行できない参照条件</w:t>
            </w:r>
          </w:p>
        </w:tc>
      </w:tr>
      <w:tr>
        <w:tc>
          <w:tcPr>
            <w:tcW w:type="dxa" w:w="1701"/>
          </w:tcPr>
          <w:p>
            <w:pPr>
              <w:spacing w:after="0" w:line="240" w:lineRule="auto"/>
            </w:pPr>
            <w:r>
              <w:rPr>
                <w:rFonts w:ascii="Times New Roman" w:hAnsi="Times New Roman" w:cs="Times New Roman"/>
                <w:sz w:val="17"/>
                <w:szCs w:val="17"/>
              </w:rPr>
              <w:t>kkf_nolcb</w:t>
            </w:r>
          </w:p>
        </w:tc>
        <w:tc>
          <w:tcPr>
            <w:tcW w:type="dxa" w:w="7937"/>
          </w:tcPr>
          <w:p>
            <w:pPr>
              <w:spacing w:after="0" w:line="240" w:lineRule="auto"/>
            </w:pPr>
            <w:r>
              <w:rPr>
                <w:rFonts w:ascii="Times New Roman" w:hAnsi="Times New Roman" w:cs="Times New Roman"/>
                <w:sz w:val="17"/>
                <w:szCs w:val="17"/>
              </w:rPr>
              <w:t>提案手法から不確実性の利用（LCB，κσ）を外した構成</w:t>
            </w:r>
          </w:p>
        </w:tc>
      </w:tr>
      <w:tr>
        <w:tc>
          <w:tcPr>
            <w:tcW w:type="dxa" w:w="1701"/>
          </w:tcPr>
          <w:p>
            <w:pPr>
              <w:spacing w:after="0" w:line="240" w:lineRule="auto"/>
            </w:pPr>
            <w:r>
              <w:rPr>
                <w:rFonts w:ascii="Times New Roman" w:hAnsi="Times New Roman" w:cs="Times New Roman"/>
                <w:sz w:val="17"/>
                <w:szCs w:val="17"/>
              </w:rPr>
              <w:t>kkf_novar</w:t>
            </w:r>
          </w:p>
        </w:tc>
        <w:tc>
          <w:tcPr>
            <w:tcW w:type="dxa" w:w="7937"/>
          </w:tcPr>
          <w:p>
            <w:pPr>
              <w:spacing w:after="0" w:line="240" w:lineRule="auto"/>
            </w:pPr>
            <w:r>
              <w:rPr>
                <w:rFonts w:ascii="Times New Roman" w:hAnsi="Times New Roman" w:cs="Times New Roman"/>
                <w:sz w:val="17"/>
                <w:szCs w:val="17"/>
              </w:rPr>
              <w:t>提案手法から遮蔽リスク地図（σν²）を外した構成</w:t>
            </w:r>
          </w:p>
        </w:tc>
      </w:tr>
      <w:tr>
        <w:tc>
          <w:tcPr>
            <w:tcW w:type="dxa" w:w="1701"/>
          </w:tcPr>
          <w:p>
            <w:pPr>
              <w:spacing w:after="0" w:line="240" w:lineRule="auto"/>
            </w:pPr>
            <w:r>
              <w:rPr>
                <w:rFonts w:ascii="Times New Roman" w:hAnsi="Times New Roman" w:cs="Times New Roman"/>
                <w:sz w:val="17"/>
                <w:szCs w:val="17"/>
              </w:rPr>
              <w:t>oracle</w:t>
            </w:r>
          </w:p>
        </w:tc>
        <w:tc>
          <w:tcPr>
            <w:tcW w:type="dxa" w:w="7937"/>
          </w:tcPr>
          <w:p>
            <w:pPr>
              <w:spacing w:after="0" w:line="240" w:lineRule="auto"/>
            </w:pPr>
            <w:r>
              <w:rPr>
                <w:rFonts w:ascii="Times New Roman" w:hAnsi="Times New Roman" w:cs="Times New Roman"/>
                <w:sz w:val="17"/>
                <w:szCs w:val="17"/>
              </w:rPr>
              <w:t>全ペアの現在の真値を雑音なしで用いる理想反応型．割当層は提案手法と同じ．未来の予測ではなく「完全な計測が得られたらどれだけ配信できるか」を表す</w:t>
            </w:r>
          </w:p>
        </w:tc>
      </w:tr>
    </w:tbl>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主張の根拠</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受動接続に対する優位</w:t>
      </w:r>
    </w:p>
    <w:p>
      <w:pPr>
        <w:spacing w:before="120" w:after="40"/>
        <w:jc w:val="center"/>
      </w:pPr>
      <w:r>
        <w:drawing>
          <wp:inline xmlns:a="http://schemas.openxmlformats.org/drawingml/2006/main" xmlns:pic="http://schemas.openxmlformats.org/drawingml/2006/picture">
            <wp:extent cx="5580000" cy="2582311"/>
            <wp:docPr id="1" name="Picture 1"/>
            <wp:cNvGraphicFramePr>
              <a:graphicFrameLocks noChangeAspect="1"/>
            </wp:cNvGraphicFramePr>
            <a:graphic>
              <a:graphicData uri="http://schemas.openxmlformats.org/drawingml/2006/picture">
                <pic:pic>
                  <pic:nvPicPr>
                    <pic:cNvPr id="0" name="fig1_gain.png"/>
                    <pic:cNvPicPr/>
                  </pic:nvPicPr>
                  <pic:blipFill>
                    <a:blip r:embed="rId14"/>
                    <a:stretch>
                      <a:fillRect/>
                    </a:stretch>
                  </pic:blipFill>
                  <pic:spPr>
                    <a:xfrm>
                      <a:off x="0" y="0"/>
                      <a:ext cx="5580000" cy="2582311"/>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図1　受動接続 (assoc_hold) に対する走行ごと相対差（48 走行）．誤差棒は対応データの 95% 信頼区間，括弧内は対差の絶対量．地図を持たない kkf_cold は全走行 0 MB のため図示していない．数値は付録の表 A1．</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提案手法の対差は +8,055 MB（95% 信頼区間 ±418 MB，Wilcoxon 符号順位検定 p = 1.6e-09）である．全ペアの受信電力が既知の理想反応型に対する到達率は，対差ベースで 8,055 / 8,978 = 89.7% であり，地図が規格上行えない計測をこの水準まで代替できたことを意味する．</w:t>
      </w:r>
    </w:p>
    <w:p>
      <w:pPr>
        <w:spacing w:before="120" w:after="40"/>
        <w:jc w:val="center"/>
      </w:pPr>
      <w:r>
        <w:drawing>
          <wp:inline xmlns:a="http://schemas.openxmlformats.org/drawingml/2006/main" xmlns:pic="http://schemas.openxmlformats.org/drawingml/2006/picture">
            <wp:extent cx="5580000" cy="2412785"/>
            <wp:docPr id="2" name="Picture 2"/>
            <wp:cNvGraphicFramePr>
              <a:graphicFrameLocks noChangeAspect="1"/>
            </wp:cNvGraphicFramePr>
            <a:graphic>
              <a:graphicData uri="http://schemas.openxmlformats.org/drawingml/2006/picture">
                <pic:pic>
                  <pic:nvPicPr>
                    <pic:cNvPr id="0" name="fig2_runs.png"/>
                    <pic:cNvPicPr/>
                  </pic:nvPicPr>
                  <pic:blipFill>
                    <a:blip r:embed="rId15"/>
                    <a:stretch>
                      <a:fillRect/>
                    </a:stretch>
                  </pic:blipFill>
                  <pic:spPr>
                    <a:xfrm>
                      <a:off x="0" y="0"/>
                      <a:ext cx="5580000" cy="2412785"/>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図2　走行ごと相対差の分布．上段が前回の 13 走行，下段が今回の 48 走行．点 1 つが 1 走行で，縦位置のばらつきは重なりを避けるためのゆらぎである．橙は平均と 95% 信頼区間．今回の 48 走行はすべて正側にある．数値は付録の表 A2．</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この優位はばらつきによる上振れではない（図2）．本測定は前回の 13 走行を 48 走行に増やしたものである．点推定は +21.9% から +22.6% とほとんど動かず，信頼区間の半幅は平均の ±13.2% から ±5.7% に縮んだ．有意性の判定が変わったのは後述する不確実性の利用（LCB）の寄与 1 点のみである．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利得の源泉は割当時間の質である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提案手法は受動接続より grant 時間が 9 秒短いにもかかわらず，接続時間は 12 秒長い（いずれも車両 × アンテナで積算した走行あたりの総和）．割当を得ていた時間のうち実際に送れた割合でみると，受動接続の 92.4% に対し提案手法は 98.1% である（図3）．すなわち利得は割当時間を延ばすことではなく，接続できない相手を選ばないことから来ている．1 基の RSU に同時に接続できる車両は 1 台に限られるため，送れていない割当はその RSU を使えたはずの他の車両にとっての損失でもある．</w:t>
      </w:r>
    </w:p>
    <w:p>
      <w:pPr>
        <w:spacing w:before="120" w:after="40"/>
        <w:jc w:val="center"/>
      </w:pPr>
      <w:r>
        <w:drawing>
          <wp:inline xmlns:a="http://schemas.openxmlformats.org/drawingml/2006/main" xmlns:pic="http://schemas.openxmlformats.org/drawingml/2006/picture">
            <wp:extent cx="5580000" cy="2033316"/>
            <wp:docPr id="3" name="Picture 3"/>
            <wp:cNvGraphicFramePr>
              <a:graphicFrameLocks noChangeAspect="1"/>
            </wp:cNvGraphicFramePr>
            <a:graphic>
              <a:graphicData uri="http://schemas.openxmlformats.org/drawingml/2006/picture">
                <pic:pic>
                  <pic:nvPicPr>
                    <pic:cNvPr id="0" name="fig3_time.png"/>
                    <pic:cNvPicPr/>
                  </pic:nvPicPr>
                  <pic:blipFill>
                    <a:blip r:embed="rId16"/>
                    <a:stretch>
                      <a:fillRect/>
                    </a:stretch>
                  </pic:blipFill>
                  <pic:spPr>
                    <a:xfrm>
                      <a:off x="0" y="0"/>
                      <a:ext cx="5580000" cy="2033316"/>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図3　割当を得ていた時間 (grant) のうち，実際に送れた時間 (接続時間) の割合．括弧内は走行あたりの合計秒数（車両 × アンテナで積算）．横軸は 90% 起点．</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優位性は事前学習した地図に由来する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地図を持たない kkf_cold は総配信量 0 MB であった．KKF の割当層は各ペアの見込みレートを必要とするため，割当中のペアしか観測できない規格忠実な条件では，接続しなければ観測できず，観測できなければ割り当てられないという循環に陥る．本実装においてこの循環を断っている機構は事前学習した地図のみ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利得は地図の内部機構ではなく，事前学習した地図を持つこと自体に帰属する．構成要素ごとに切り分けると，遮蔽リスク地図 σν² の寄与が +383 MB（p = 1.6e-09），不確実性を用いた慎重な選択（LCB）の寄与が +63 MB（p = 0.0016）で，いずれも符号は正だが利得全体に占める割合はそれぞれ 4.8%，0.8% にとどまる（図4）．</w:t>
      </w:r>
    </w:p>
    <w:p>
      <w:pPr>
        <w:spacing w:before="120" w:after="40"/>
        <w:jc w:val="center"/>
      </w:pPr>
      <w:r>
        <w:drawing>
          <wp:inline xmlns:a="http://schemas.openxmlformats.org/drawingml/2006/main" xmlns:pic="http://schemas.openxmlformats.org/drawingml/2006/picture">
            <wp:extent cx="5580000" cy="2119606"/>
            <wp:docPr id="4" name="Picture 4"/>
            <wp:cNvGraphicFramePr>
              <a:graphicFrameLocks noChangeAspect="1"/>
            </wp:cNvGraphicFramePr>
            <a:graphic>
              <a:graphicData uri="http://schemas.openxmlformats.org/drawingml/2006/picture">
                <pic:pic>
                  <pic:nvPicPr>
                    <pic:cNvPr id="0" name="fig4_ablation.png"/>
                    <pic:cNvPicPr/>
                  </pic:nvPicPr>
                  <pic:blipFill>
                    <a:blip r:embed="rId17"/>
                    <a:stretch>
                      <a:fillRect/>
                    </a:stretch>
                  </pic:blipFill>
                  <pic:spPr>
                    <a:xfrm>
                      <a:off x="0" y="0"/>
                      <a:ext cx="5580000" cy="2119606"/>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図4　提案手法から機構を 1 つずつ外したときの，kkf_conv との対差（48 走行）．正の値は提案手法が上回ることを意味する．誤差棒は 95% 信頼区間，p は Wilcoxon 符号順位検定（探索的比較であり多重比較の補正は行っていない）．地図そのものを外した kkf_cold（全走行 0 MB）は尺度が違うため図示していない．数値は付録の表 A3．</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全ペアを観測できる kkf_cold_probe は 45,150 MB で，提案手法を 734 MB 上回る．ただし全ペア観測は 802.15.3e の接続手順では実行できないため，これは到達可能な代替案ではなく，規格の枠外に置いた参照条件である．提案手法はこの参照条件の 91.7%（対差ベース）を，規格の枠内で再現している．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車両間の公平性</w:t>
      </w:r>
    </w:p>
    <w:p>
      <w:pPr>
        <w:spacing w:before="120" w:after="40"/>
        <w:jc w:val="center"/>
      </w:pPr>
      <w:r>
        <w:drawing>
          <wp:inline xmlns:a="http://schemas.openxmlformats.org/drawingml/2006/main" xmlns:pic="http://schemas.openxmlformats.org/drawingml/2006/picture">
            <wp:extent cx="5580000" cy="1928745"/>
            <wp:docPr id="5" name="Picture 5"/>
            <wp:cNvGraphicFramePr>
              <a:graphicFrameLocks noChangeAspect="1"/>
            </wp:cNvGraphicFramePr>
            <a:graphic>
              <a:graphicData uri="http://schemas.openxmlformats.org/drawingml/2006/picture">
                <pic:pic>
                  <pic:nvPicPr>
                    <pic:cNvPr id="0" name="fig5_fairness.png"/>
                    <pic:cNvPicPr/>
                  </pic:nvPicPr>
                  <pic:blipFill>
                    <a:blip r:embed="rId18"/>
                    <a:stretch>
                      <a:fillRect/>
                    </a:stretch>
                  </pic:blipFill>
                  <pic:spPr>
                    <a:xfrm>
                      <a:off x="0" y="0"/>
                      <a:ext cx="5580000" cy="1928745"/>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図5　各走行で最も配信量が少なかった車両の配信量（走行平均，48 走行）．括弧内は配信量が 0 だった車両の割合．数値は付録の表 A4．</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提案手法は，最も恵まれない車両の配信量で受動接続の 2.2 倍（233 MB 対 106 MB）であり，配信量が 0 の車両の割合も提案手法だけが 0.00% である．総配信量を増やす一方で取りこぼしを増やしてはいない．</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主張が成り立つ条件</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能動的な割当が利得を生むには，そもそも選ぶ相手が 2 つ以上ある時刻が必要である．この割合を選択余地率と呼び，RSU 配置で制御して，全ペアの受信電力が既知のときの利得（oracle の assoc_hold 比，以下「天井」）がどう変わるかを 9 条件で測った．天井は予測が完璧ならどれだけ配信できるかを表し，地図を改良して取り返せる余地の上限にあたる．</w:t>
      </w:r>
    </w:p>
    <w:p>
      <w:pPr>
        <w:spacing w:before="120" w:after="40"/>
        <w:jc w:val="center"/>
      </w:pPr>
      <w:r>
        <w:drawing>
          <wp:inline xmlns:a="http://schemas.openxmlformats.org/drawingml/2006/main" xmlns:pic="http://schemas.openxmlformats.org/drawingml/2006/picture">
            <wp:extent cx="5940000" cy="2333571"/>
            <wp:docPr id="6" name="Picture 6"/>
            <wp:cNvGraphicFramePr>
              <a:graphicFrameLocks noChangeAspect="1"/>
            </wp:cNvGraphicFramePr>
            <a:graphic>
              <a:graphicData uri="http://schemas.openxmlformats.org/drawingml/2006/picture">
                <pic:pic>
                  <pic:nvPicPr>
                    <pic:cNvPr id="0" name="fig6_ceiling.png"/>
                    <pic:cNvPicPr/>
                  </pic:nvPicPr>
                  <pic:blipFill>
                    <a:blip r:embed="rId19"/>
                    <a:stretch>
                      <a:fillRect/>
                    </a:stretch>
                  </pic:blipFill>
                  <pic:spPr>
                    <a:xfrm>
                      <a:off x="0" y="0"/>
                      <a:ext cx="5940000" cy="2333571"/>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図6　天井（oracle の assoc_hold 比）を，選択余地率（左）とカバレッジ（右）で見たもの．丸は δ_rsu を振った掃引 5 条件，三角は本数と間隔を直交させた 4 条件．カバレッジは受動接続の総配信量で代表させた．数値は付録の表 A5．</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選択余地率 0.155 を境に，天井は 1.7〜4.4% の領域と 13.4〜26.2% の領域に分かれる．境より上では，天井の大小を選択余地率でも（r = -0.01）カバレッジでも（r = -0.28）説明できない．したがって選択余地は必要条件として働くが，それ以上の量的な関係は現時点で認められない．なお境の値 0.155 は 9 条件の分布から事後的に引いたものであり，この値そのものに意味があるとは主張しない．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本評価の配置 d70（余地 0.180，天井 +26.2%）は境より上にある．測定した 9 条件のうち 7 条件が境より上にあり，天井のある領域は特別に選んだ例外的な配置ではない．</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限界</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第一に，提案手法自体の測定は配置 d70 の 1 点に限られる．図6 の天井は全ペアの受信電力が既知のときの利得であって提案手法の利得ではない．条件ごとに地図の学習が必要なため，他の配置での測定は行っていない．境より上の 7 条件のうち d70 を除く 6 条件の少なくとも 1 つで提案手法を測り，到達率が配置に依存しないことを確かめる必要がある．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第二に，能動的な切替を行う非 KKF のベースラインを置いていない．比較対象は受動接続および地図を外した構成のみである．受動接続は閾値を超えた RSU に接続して保持するだけで切替を行わない．閾値割れで解放して再アソシエートする反応型は規格の枠内で構成でき，提案手法の利得のうち「切替を行うこと自体」に帰属する分を切り分けるにはこのベースラインの測定が要る．本評価ではこれを行っていな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第三に，oracle は絶対的な上界ではない．割当層は提案手法と同じ貪欲な総和最大化であり，実際に公平性の指標（図5）では提案手法が oracle を上回っている．割当層を改良すれば天井自体が上がりうる．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第四に，学習した環境と評価する環境が同一である．環境が変わったときに地図がどれだけ陳腐化するか，また学習 30 走行という取得コストが利得に見合うかは評価していない．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第五に，事後再計算では予測計算とスケジュール配信の遅延を 0 と仮定している．また学習相のみ全ペア観測を用いており規格忠実ではない．評価相は割当中のペアに限った観測に戻しているため比較の公正性は保たれるが，現地で地図を育てる運用には初期探索方策が別途必要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第六に，ハンドオーバー回数・ping-pong 率（同じ 2 基の間を往復する切替の割合）・無接続時間の最大連続長を測定していない．接続時間と割当時間で代替しているが，切替コストの直接評価は今後の課題である．</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付録 A：本文の図の数値</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本文の図に対応する数値を示す．</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表 A1　手法ごとの結果（図1・図3，N = 48 走行）</w:t>
      </w:r>
    </w:p>
    <w:tbl>
      <w:tblPr>
        <w:tblStyle w:val="af4"/>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835"/>
          </w:tcPr>
          <w:p>
            <w:pPr>
              <w:spacing w:after="0" w:line="240" w:lineRule="auto"/>
              <w:jc w:val="center"/>
            </w:pPr>
            <w:r>
              <w:rPr>
                <w:rFonts w:ascii="Times New Roman" w:hAnsi="Times New Roman" w:cs="Times New Roman"/>
                <w:b/>
                <w:bCs/>
                <w:sz w:val="17"/>
                <w:szCs w:val="17"/>
              </w:rPr>
              <w:t>手法</w:t>
            </w:r>
          </w:p>
        </w:tc>
        <w:tc>
          <w:tcPr>
            <w:tcW w:type="dxa" w:w="1417"/>
          </w:tcPr>
          <w:p>
            <w:pPr>
              <w:spacing w:after="0" w:line="240" w:lineRule="auto"/>
              <w:jc w:val="center"/>
            </w:pPr>
            <w:r>
              <w:rPr>
                <w:rFonts w:ascii="Times New Roman" w:hAnsi="Times New Roman" w:cs="Times New Roman"/>
                <w:b/>
                <w:bCs/>
                <w:sz w:val="17"/>
                <w:szCs w:val="17"/>
              </w:rPr>
              <w:t>総配信量 [MB]</w:t>
            </w:r>
          </w:p>
        </w:tc>
        <w:tc>
          <w:tcPr>
            <w:tcW w:type="dxa" w:w="1984"/>
          </w:tcPr>
          <w:p>
            <w:pPr>
              <w:spacing w:after="0" w:line="240" w:lineRule="auto"/>
              <w:jc w:val="center"/>
            </w:pPr>
            <w:r>
              <w:rPr>
                <w:rFonts w:ascii="Times New Roman" w:hAnsi="Times New Roman" w:cs="Times New Roman"/>
                <w:b/>
                <w:bCs/>
                <w:sz w:val="17"/>
                <w:szCs w:val="17"/>
              </w:rPr>
              <w:t>assoc_hold との対差 [MB]</w:t>
            </w:r>
          </w:p>
        </w:tc>
        <w:tc>
          <w:tcPr>
            <w:tcW w:type="dxa" w:w="1134"/>
          </w:tcPr>
          <w:p>
            <w:pPr>
              <w:spacing w:after="0" w:line="240" w:lineRule="auto"/>
              <w:jc w:val="center"/>
            </w:pPr>
            <w:r>
              <w:rPr>
                <w:rFonts w:ascii="Times New Roman" w:hAnsi="Times New Roman" w:cs="Times New Roman"/>
                <w:b/>
                <w:bCs/>
                <w:sz w:val="17"/>
                <w:szCs w:val="17"/>
              </w:rPr>
              <w:t>走行ごと相対差 [%]</w:t>
            </w:r>
          </w:p>
        </w:tc>
        <w:tc>
          <w:tcPr>
            <w:tcW w:type="dxa" w:w="1134"/>
          </w:tcPr>
          <w:p>
            <w:pPr>
              <w:spacing w:after="0" w:line="240" w:lineRule="auto"/>
              <w:jc w:val="center"/>
            </w:pPr>
            <w:r>
              <w:rPr>
                <w:rFonts w:ascii="Times New Roman" w:hAnsi="Times New Roman" w:cs="Times New Roman"/>
                <w:b/>
                <w:bCs/>
                <w:sz w:val="17"/>
                <w:szCs w:val="17"/>
              </w:rPr>
              <w:t>接続時間 [s]</w:t>
            </w:r>
          </w:p>
        </w:tc>
        <w:tc>
          <w:tcPr>
            <w:tcW w:type="dxa" w:w="1134"/>
          </w:tcPr>
          <w:p>
            <w:pPr>
              <w:spacing w:after="0" w:line="240" w:lineRule="auto"/>
              <w:jc w:val="center"/>
            </w:pPr>
            <w:r>
              <w:rPr>
                <w:rFonts w:ascii="Times New Roman" w:hAnsi="Times New Roman" w:cs="Times New Roman"/>
                <w:b/>
                <w:bCs/>
                <w:sz w:val="17"/>
                <w:szCs w:val="17"/>
              </w:rPr>
              <w:t>grant 時間 [s]</w:t>
            </w:r>
          </w:p>
        </w:tc>
      </w:tr>
      <w:tr>
        <w:tc>
          <w:tcPr>
            <w:tcW w:type="dxa" w:w="2835"/>
          </w:tcPr>
          <w:p>
            <w:pPr>
              <w:spacing w:after="0" w:line="240" w:lineRule="auto"/>
            </w:pPr>
            <w:r>
              <w:rPr>
                <w:rFonts w:ascii="Times New Roman" w:hAnsi="Times New Roman" w:cs="Times New Roman"/>
                <w:sz w:val="17"/>
                <w:szCs w:val="17"/>
              </w:rPr>
              <w:t>oracle（全ペアの受信電力が既知）</w:t>
            </w:r>
          </w:p>
        </w:tc>
        <w:tc>
          <w:tcPr>
            <w:tcW w:type="dxa" w:w="1417"/>
          </w:tcPr>
          <w:p>
            <w:pPr>
              <w:spacing w:after="0" w:line="240" w:lineRule="auto"/>
              <w:jc w:val="right"/>
            </w:pPr>
            <w:r>
              <w:rPr>
                <w:rFonts w:ascii="Times New Roman" w:hAnsi="Times New Roman" w:cs="Times New Roman"/>
                <w:sz w:val="17"/>
                <w:szCs w:val="17"/>
              </w:rPr>
              <w:t>45,340</w:t>
            </w:r>
          </w:p>
        </w:tc>
        <w:tc>
          <w:tcPr>
            <w:tcW w:type="dxa" w:w="1984"/>
          </w:tcPr>
          <w:p>
            <w:pPr>
              <w:spacing w:after="0" w:line="240" w:lineRule="auto"/>
              <w:jc w:val="right"/>
            </w:pPr>
            <w:r>
              <w:rPr>
                <w:rFonts w:ascii="Times New Roman" w:hAnsi="Times New Roman" w:cs="Times New Roman"/>
                <w:sz w:val="17"/>
                <w:szCs w:val="17"/>
              </w:rPr>
              <w:t>+8,978 ±430</w:t>
            </w:r>
          </w:p>
        </w:tc>
        <w:tc>
          <w:tcPr>
            <w:tcW w:type="dxa" w:w="1134"/>
          </w:tcPr>
          <w:p>
            <w:pPr>
              <w:spacing w:after="0" w:line="240" w:lineRule="auto"/>
              <w:jc w:val="right"/>
            </w:pPr>
            <w:r>
              <w:rPr>
                <w:rFonts w:ascii="Times New Roman" w:hAnsi="Times New Roman" w:cs="Times New Roman"/>
                <w:sz w:val="17"/>
                <w:szCs w:val="17"/>
              </w:rPr>
              <w:t>+25.1</w:t>
            </w:r>
          </w:p>
        </w:tc>
        <w:tc>
          <w:tcPr>
            <w:tcW w:type="dxa" w:w="1134"/>
          </w:tcPr>
          <w:p>
            <w:pPr>
              <w:spacing w:after="0" w:line="240" w:lineRule="auto"/>
              <w:jc w:val="right"/>
            </w:pPr>
            <w:r>
              <w:rPr>
                <w:rFonts w:ascii="Times New Roman" w:hAnsi="Times New Roman" w:cs="Times New Roman"/>
                <w:sz w:val="17"/>
                <w:szCs w:val="17"/>
              </w:rPr>
              <w:t>354</w:t>
            </w:r>
          </w:p>
        </w:tc>
        <w:tc>
          <w:tcPr>
            <w:tcW w:type="dxa" w:w="1134"/>
          </w:tcPr>
          <w:p>
            <w:pPr>
              <w:spacing w:after="0" w:line="240" w:lineRule="auto"/>
              <w:jc w:val="right"/>
            </w:pPr>
            <w:r>
              <w:rPr>
                <w:rFonts w:ascii="Times New Roman" w:hAnsi="Times New Roman" w:cs="Times New Roman"/>
                <w:sz w:val="17"/>
                <w:szCs w:val="17"/>
              </w:rPr>
              <w:t>357</w:t>
            </w:r>
          </w:p>
        </w:tc>
      </w:tr>
      <w:tr>
        <w:tc>
          <w:tcPr>
            <w:tcW w:type="dxa" w:w="2835"/>
          </w:tcPr>
          <w:p>
            <w:pPr>
              <w:spacing w:after="0" w:line="240" w:lineRule="auto"/>
            </w:pPr>
            <w:r>
              <w:rPr>
                <w:rFonts w:ascii="Times New Roman" w:hAnsi="Times New Roman" w:cs="Times New Roman"/>
                <w:sz w:val="17"/>
                <w:szCs w:val="17"/>
              </w:rPr>
              <w:t>kkf_cold_probe（全ペア観測・地図なし）</w:t>
            </w:r>
          </w:p>
        </w:tc>
        <w:tc>
          <w:tcPr>
            <w:tcW w:type="dxa" w:w="1417"/>
          </w:tcPr>
          <w:p>
            <w:pPr>
              <w:spacing w:after="0" w:line="240" w:lineRule="auto"/>
              <w:jc w:val="right"/>
            </w:pPr>
            <w:r>
              <w:rPr>
                <w:rFonts w:ascii="Times New Roman" w:hAnsi="Times New Roman" w:cs="Times New Roman"/>
                <w:sz w:val="17"/>
                <w:szCs w:val="17"/>
              </w:rPr>
              <w:t>45,150</w:t>
            </w:r>
          </w:p>
        </w:tc>
        <w:tc>
          <w:tcPr>
            <w:tcW w:type="dxa" w:w="1984"/>
          </w:tcPr>
          <w:p>
            <w:pPr>
              <w:spacing w:after="0" w:line="240" w:lineRule="auto"/>
              <w:jc w:val="right"/>
            </w:pPr>
            <w:r>
              <w:rPr>
                <w:rFonts w:ascii="Times New Roman" w:hAnsi="Times New Roman" w:cs="Times New Roman"/>
                <w:sz w:val="17"/>
                <w:szCs w:val="17"/>
              </w:rPr>
              <w:t>+8,788 ±431</w:t>
            </w:r>
          </w:p>
        </w:tc>
        <w:tc>
          <w:tcPr>
            <w:tcW w:type="dxa" w:w="1134"/>
          </w:tcPr>
          <w:p>
            <w:pPr>
              <w:spacing w:after="0" w:line="240" w:lineRule="auto"/>
              <w:jc w:val="right"/>
            </w:pPr>
            <w:r>
              <w:rPr>
                <w:rFonts w:ascii="Times New Roman" w:hAnsi="Times New Roman" w:cs="Times New Roman"/>
                <w:sz w:val="17"/>
                <w:szCs w:val="17"/>
              </w:rPr>
              <w:t>+24.6</w:t>
            </w:r>
          </w:p>
        </w:tc>
        <w:tc>
          <w:tcPr>
            <w:tcW w:type="dxa" w:w="1134"/>
          </w:tcPr>
          <w:p>
            <w:pPr>
              <w:spacing w:after="0" w:line="240" w:lineRule="auto"/>
              <w:jc w:val="right"/>
            </w:pPr>
            <w:r>
              <w:rPr>
                <w:rFonts w:ascii="Times New Roman" w:hAnsi="Times New Roman" w:cs="Times New Roman"/>
                <w:sz w:val="17"/>
                <w:szCs w:val="17"/>
              </w:rPr>
              <w:t>354</w:t>
            </w:r>
          </w:p>
        </w:tc>
        <w:tc>
          <w:tcPr>
            <w:tcW w:type="dxa" w:w="1134"/>
          </w:tcPr>
          <w:p>
            <w:pPr>
              <w:spacing w:after="0" w:line="240" w:lineRule="auto"/>
              <w:jc w:val="right"/>
            </w:pPr>
            <w:r>
              <w:rPr>
                <w:rFonts w:ascii="Times New Roman" w:hAnsi="Times New Roman" w:cs="Times New Roman"/>
                <w:sz w:val="17"/>
                <w:szCs w:val="17"/>
              </w:rPr>
              <w:t>364</w:t>
            </w:r>
          </w:p>
        </w:tc>
      </w:tr>
      <w:tr>
        <w:tc>
          <w:tcPr>
            <w:tcW w:type="dxa" w:w="2835"/>
          </w:tcPr>
          <w:p>
            <w:pPr>
              <w:spacing w:after="0" w:line="240" w:lineRule="auto"/>
            </w:pPr>
            <w:r>
              <w:rPr>
                <w:rFonts w:ascii="Times New Roman" w:hAnsi="Times New Roman" w:cs="Times New Roman"/>
                <w:sz w:val="17"/>
                <w:szCs w:val="17"/>
              </w:rPr>
              <w:t>kkf_conv（提案手法）</w:t>
            </w:r>
          </w:p>
        </w:tc>
        <w:tc>
          <w:tcPr>
            <w:tcW w:type="dxa" w:w="1417"/>
          </w:tcPr>
          <w:p>
            <w:pPr>
              <w:spacing w:after="0" w:line="240" w:lineRule="auto"/>
              <w:jc w:val="right"/>
            </w:pPr>
            <w:r>
              <w:rPr>
                <w:rFonts w:ascii="Times New Roman" w:hAnsi="Times New Roman" w:cs="Times New Roman"/>
                <w:sz w:val="17"/>
                <w:szCs w:val="17"/>
              </w:rPr>
              <w:t>44,417</w:t>
            </w:r>
          </w:p>
        </w:tc>
        <w:tc>
          <w:tcPr>
            <w:tcW w:type="dxa" w:w="1984"/>
          </w:tcPr>
          <w:p>
            <w:pPr>
              <w:spacing w:after="0" w:line="240" w:lineRule="auto"/>
              <w:jc w:val="right"/>
            </w:pPr>
            <w:r>
              <w:rPr>
                <w:rFonts w:ascii="Times New Roman" w:hAnsi="Times New Roman" w:cs="Times New Roman"/>
                <w:sz w:val="17"/>
                <w:szCs w:val="17"/>
              </w:rPr>
              <w:t>+8,055 ±418</w:t>
            </w:r>
          </w:p>
        </w:tc>
        <w:tc>
          <w:tcPr>
            <w:tcW w:type="dxa" w:w="1134"/>
          </w:tcPr>
          <w:p>
            <w:pPr>
              <w:spacing w:after="0" w:line="240" w:lineRule="auto"/>
              <w:jc w:val="right"/>
            </w:pPr>
            <w:r>
              <w:rPr>
                <w:rFonts w:ascii="Times New Roman" w:hAnsi="Times New Roman" w:cs="Times New Roman"/>
                <w:sz w:val="17"/>
                <w:szCs w:val="17"/>
              </w:rPr>
              <w:t>+22.6</w:t>
            </w:r>
          </w:p>
        </w:tc>
        <w:tc>
          <w:tcPr>
            <w:tcW w:type="dxa" w:w="1134"/>
          </w:tcPr>
          <w:p>
            <w:pPr>
              <w:spacing w:after="0" w:line="240" w:lineRule="auto"/>
              <w:jc w:val="right"/>
            </w:pPr>
            <w:r>
              <w:rPr>
                <w:rFonts w:ascii="Times New Roman" w:hAnsi="Times New Roman" w:cs="Times New Roman"/>
                <w:sz w:val="17"/>
                <w:szCs w:val="17"/>
              </w:rPr>
              <w:t>349</w:t>
            </w:r>
          </w:p>
        </w:tc>
        <w:tc>
          <w:tcPr>
            <w:tcW w:type="dxa" w:w="1134"/>
          </w:tcPr>
          <w:p>
            <w:pPr>
              <w:spacing w:after="0" w:line="240" w:lineRule="auto"/>
              <w:jc w:val="right"/>
            </w:pPr>
            <w:r>
              <w:rPr>
                <w:rFonts w:ascii="Times New Roman" w:hAnsi="Times New Roman" w:cs="Times New Roman"/>
                <w:sz w:val="17"/>
                <w:szCs w:val="17"/>
              </w:rPr>
              <w:t>355</w:t>
            </w:r>
          </w:p>
        </w:tc>
      </w:tr>
      <w:tr>
        <w:tc>
          <w:tcPr>
            <w:tcW w:type="dxa" w:w="2835"/>
          </w:tcPr>
          <w:p>
            <w:pPr>
              <w:spacing w:after="0" w:line="240" w:lineRule="auto"/>
            </w:pPr>
            <w:r>
              <w:rPr>
                <w:rFonts w:ascii="Times New Roman" w:hAnsi="Times New Roman" w:cs="Times New Roman"/>
                <w:sz w:val="17"/>
                <w:szCs w:val="17"/>
              </w:rPr>
              <w:t>kkf_nolcb（LCB なし）</w:t>
            </w:r>
          </w:p>
        </w:tc>
        <w:tc>
          <w:tcPr>
            <w:tcW w:type="dxa" w:w="1417"/>
          </w:tcPr>
          <w:p>
            <w:pPr>
              <w:spacing w:after="0" w:line="240" w:lineRule="auto"/>
              <w:jc w:val="right"/>
            </w:pPr>
            <w:r>
              <w:rPr>
                <w:rFonts w:ascii="Times New Roman" w:hAnsi="Times New Roman" w:cs="Times New Roman"/>
                <w:sz w:val="17"/>
                <w:szCs w:val="17"/>
              </w:rPr>
              <w:t>44,354</w:t>
            </w:r>
          </w:p>
        </w:tc>
        <w:tc>
          <w:tcPr>
            <w:tcW w:type="dxa" w:w="1984"/>
          </w:tcPr>
          <w:p>
            <w:pPr>
              <w:spacing w:after="0" w:line="240" w:lineRule="auto"/>
              <w:jc w:val="right"/>
            </w:pPr>
            <w:r>
              <w:rPr>
                <w:rFonts w:ascii="Times New Roman" w:hAnsi="Times New Roman" w:cs="Times New Roman"/>
                <w:sz w:val="17"/>
                <w:szCs w:val="17"/>
              </w:rPr>
              <w:t>+7,992 ±417</w:t>
            </w:r>
          </w:p>
        </w:tc>
        <w:tc>
          <w:tcPr>
            <w:tcW w:type="dxa" w:w="1134"/>
          </w:tcPr>
          <w:p>
            <w:pPr>
              <w:spacing w:after="0" w:line="240" w:lineRule="auto"/>
              <w:jc w:val="right"/>
            </w:pPr>
            <w:r>
              <w:rPr>
                <w:rFonts w:ascii="Times New Roman" w:hAnsi="Times New Roman" w:cs="Times New Roman"/>
                <w:sz w:val="17"/>
                <w:szCs w:val="17"/>
              </w:rPr>
              <w:t>+22.4</w:t>
            </w:r>
          </w:p>
        </w:tc>
        <w:tc>
          <w:tcPr>
            <w:tcW w:type="dxa" w:w="1134"/>
          </w:tcPr>
          <w:p>
            <w:pPr>
              <w:spacing w:after="0" w:line="240" w:lineRule="auto"/>
              <w:jc w:val="right"/>
            </w:pPr>
            <w:r>
              <w:rPr>
                <w:rFonts w:ascii="Times New Roman" w:hAnsi="Times New Roman" w:cs="Times New Roman"/>
                <w:sz w:val="17"/>
                <w:szCs w:val="17"/>
              </w:rPr>
              <w:t>346</w:t>
            </w:r>
          </w:p>
        </w:tc>
        <w:tc>
          <w:tcPr>
            <w:tcW w:type="dxa" w:w="1134"/>
          </w:tcPr>
          <w:p>
            <w:pPr>
              <w:spacing w:after="0" w:line="240" w:lineRule="auto"/>
              <w:jc w:val="right"/>
            </w:pPr>
            <w:r>
              <w:rPr>
                <w:rFonts w:ascii="Times New Roman" w:hAnsi="Times New Roman" w:cs="Times New Roman"/>
                <w:sz w:val="17"/>
                <w:szCs w:val="17"/>
              </w:rPr>
              <w:t>355</w:t>
            </w:r>
          </w:p>
        </w:tc>
      </w:tr>
      <w:tr>
        <w:tc>
          <w:tcPr>
            <w:tcW w:type="dxa" w:w="2835"/>
          </w:tcPr>
          <w:p>
            <w:pPr>
              <w:spacing w:after="0" w:line="240" w:lineRule="auto"/>
            </w:pPr>
            <w:r>
              <w:rPr>
                <w:rFonts w:ascii="Times New Roman" w:hAnsi="Times New Roman" w:cs="Times New Roman"/>
                <w:sz w:val="17"/>
                <w:szCs w:val="17"/>
              </w:rPr>
              <w:t>kkf_novar（遮蔽リスク地図なし）</w:t>
            </w:r>
          </w:p>
        </w:tc>
        <w:tc>
          <w:tcPr>
            <w:tcW w:type="dxa" w:w="1417"/>
          </w:tcPr>
          <w:p>
            <w:pPr>
              <w:spacing w:after="0" w:line="240" w:lineRule="auto"/>
              <w:jc w:val="right"/>
            </w:pPr>
            <w:r>
              <w:rPr>
                <w:rFonts w:ascii="Times New Roman" w:hAnsi="Times New Roman" w:cs="Times New Roman"/>
                <w:sz w:val="17"/>
                <w:szCs w:val="17"/>
              </w:rPr>
              <w:t>44,034</w:t>
            </w:r>
          </w:p>
        </w:tc>
        <w:tc>
          <w:tcPr>
            <w:tcW w:type="dxa" w:w="1984"/>
          </w:tcPr>
          <w:p>
            <w:pPr>
              <w:spacing w:after="0" w:line="240" w:lineRule="auto"/>
              <w:jc w:val="right"/>
            </w:pPr>
            <w:r>
              <w:rPr>
                <w:rFonts w:ascii="Times New Roman" w:hAnsi="Times New Roman" w:cs="Times New Roman"/>
                <w:sz w:val="17"/>
                <w:szCs w:val="17"/>
              </w:rPr>
              <w:t>+7,672 ±407</w:t>
            </w:r>
          </w:p>
        </w:tc>
        <w:tc>
          <w:tcPr>
            <w:tcW w:type="dxa" w:w="1134"/>
          </w:tcPr>
          <w:p>
            <w:pPr>
              <w:spacing w:after="0" w:line="240" w:lineRule="auto"/>
              <w:jc w:val="right"/>
            </w:pPr>
            <w:r>
              <w:rPr>
                <w:rFonts w:ascii="Times New Roman" w:hAnsi="Times New Roman" w:cs="Times New Roman"/>
                <w:sz w:val="17"/>
                <w:szCs w:val="17"/>
              </w:rPr>
              <w:t>+21.5</w:t>
            </w:r>
          </w:p>
        </w:tc>
        <w:tc>
          <w:tcPr>
            <w:tcW w:type="dxa" w:w="1134"/>
          </w:tcPr>
          <w:p>
            <w:pPr>
              <w:spacing w:after="0" w:line="240" w:lineRule="auto"/>
              <w:jc w:val="right"/>
            </w:pPr>
            <w:r>
              <w:rPr>
                <w:rFonts w:ascii="Times New Roman" w:hAnsi="Times New Roman" w:cs="Times New Roman"/>
                <w:sz w:val="17"/>
                <w:szCs w:val="17"/>
              </w:rPr>
              <w:t>346</w:t>
            </w:r>
          </w:p>
        </w:tc>
        <w:tc>
          <w:tcPr>
            <w:tcW w:type="dxa" w:w="1134"/>
          </w:tcPr>
          <w:p>
            <w:pPr>
              <w:spacing w:after="0" w:line="240" w:lineRule="auto"/>
              <w:jc w:val="right"/>
            </w:pPr>
            <w:r>
              <w:rPr>
                <w:rFonts w:ascii="Times New Roman" w:hAnsi="Times New Roman" w:cs="Times New Roman"/>
                <w:sz w:val="17"/>
                <w:szCs w:val="17"/>
              </w:rPr>
              <w:t>355</w:t>
            </w:r>
          </w:p>
        </w:tc>
      </w:tr>
      <w:tr>
        <w:tc>
          <w:tcPr>
            <w:tcW w:type="dxa" w:w="2835"/>
          </w:tcPr>
          <w:p>
            <w:pPr>
              <w:spacing w:after="0" w:line="240" w:lineRule="auto"/>
            </w:pPr>
            <w:r>
              <w:rPr>
                <w:rFonts w:ascii="Times New Roman" w:hAnsi="Times New Roman" w:cs="Times New Roman"/>
                <w:sz w:val="17"/>
                <w:szCs w:val="17"/>
              </w:rPr>
              <w:t>assoc_hold（受動接続）</w:t>
            </w:r>
          </w:p>
        </w:tc>
        <w:tc>
          <w:tcPr>
            <w:tcW w:type="dxa" w:w="1417"/>
          </w:tcPr>
          <w:p>
            <w:pPr>
              <w:spacing w:after="0" w:line="240" w:lineRule="auto"/>
              <w:jc w:val="right"/>
            </w:pPr>
            <w:r>
              <w:rPr>
                <w:rFonts w:ascii="Times New Roman" w:hAnsi="Times New Roman" w:cs="Times New Roman"/>
                <w:sz w:val="17"/>
                <w:szCs w:val="17"/>
              </w:rPr>
              <w:t>36,362</w:t>
            </w:r>
          </w:p>
        </w:tc>
        <w:tc>
          <w:tcPr>
            <w:tcW w:type="dxa" w:w="1984"/>
          </w:tcPr>
          <w:p>
            <w:pPr>
              <w:spacing w:after="0" w:line="240" w:lineRule="auto"/>
              <w:jc w:val="right"/>
            </w:pPr>
            <w:r>
              <w:rPr>
                <w:rFonts w:ascii="Times New Roman" w:hAnsi="Times New Roman" w:cs="Times New Roman"/>
                <w:sz w:val="17"/>
                <w:szCs w:val="17"/>
              </w:rPr>
              <w:t>—</w:t>
            </w:r>
          </w:p>
        </w:tc>
        <w:tc>
          <w:tcPr>
            <w:tcW w:type="dxa" w:w="1134"/>
          </w:tcPr>
          <w:p>
            <w:pPr>
              <w:spacing w:after="0" w:line="240" w:lineRule="auto"/>
              <w:jc w:val="right"/>
            </w:pPr>
            <w:r>
              <w:rPr>
                <w:rFonts w:ascii="Times New Roman" w:hAnsi="Times New Roman" w:cs="Times New Roman"/>
                <w:sz w:val="17"/>
                <w:szCs w:val="17"/>
              </w:rPr>
              <w:t>—</w:t>
            </w:r>
          </w:p>
        </w:tc>
        <w:tc>
          <w:tcPr>
            <w:tcW w:type="dxa" w:w="1134"/>
          </w:tcPr>
          <w:p>
            <w:pPr>
              <w:spacing w:after="0" w:line="240" w:lineRule="auto"/>
              <w:jc w:val="right"/>
            </w:pPr>
            <w:r>
              <w:rPr>
                <w:rFonts w:ascii="Times New Roman" w:hAnsi="Times New Roman" w:cs="Times New Roman"/>
                <w:sz w:val="17"/>
                <w:szCs w:val="17"/>
              </w:rPr>
              <w:t>337</w:t>
            </w:r>
          </w:p>
        </w:tc>
        <w:tc>
          <w:tcPr>
            <w:tcW w:type="dxa" w:w="1134"/>
          </w:tcPr>
          <w:p>
            <w:pPr>
              <w:spacing w:after="0" w:line="240" w:lineRule="auto"/>
              <w:jc w:val="right"/>
            </w:pPr>
            <w:r>
              <w:rPr>
                <w:rFonts w:ascii="Times New Roman" w:hAnsi="Times New Roman" w:cs="Times New Roman"/>
                <w:sz w:val="17"/>
                <w:szCs w:val="17"/>
              </w:rPr>
              <w:t>364</w:t>
            </w:r>
          </w:p>
        </w:tc>
      </w:tr>
      <w:tr>
        <w:tc>
          <w:tcPr>
            <w:tcW w:type="dxa" w:w="2835"/>
          </w:tcPr>
          <w:p>
            <w:pPr>
              <w:spacing w:after="0" w:line="240" w:lineRule="auto"/>
            </w:pPr>
            <w:r>
              <w:rPr>
                <w:rFonts w:ascii="Times New Roman" w:hAnsi="Times New Roman" w:cs="Times New Roman"/>
                <w:sz w:val="17"/>
                <w:szCs w:val="17"/>
              </w:rPr>
              <w:t>kkf_cold（地図なし・規格忠実）</w:t>
            </w:r>
          </w:p>
        </w:tc>
        <w:tc>
          <w:tcPr>
            <w:tcW w:type="dxa" w:w="1417"/>
          </w:tcPr>
          <w:p>
            <w:pPr>
              <w:spacing w:after="0" w:line="240" w:lineRule="auto"/>
              <w:jc w:val="right"/>
            </w:pPr>
            <w:r>
              <w:rPr>
                <w:rFonts w:ascii="Times New Roman" w:hAnsi="Times New Roman" w:cs="Times New Roman"/>
                <w:sz w:val="17"/>
                <w:szCs w:val="17"/>
              </w:rPr>
              <w:t>0</w:t>
            </w:r>
          </w:p>
        </w:tc>
        <w:tc>
          <w:tcPr>
            <w:tcW w:type="dxa" w:w="1984"/>
          </w:tcPr>
          <w:p>
            <w:pPr>
              <w:spacing w:after="0" w:line="240" w:lineRule="auto"/>
              <w:jc w:val="right"/>
            </w:pPr>
            <w:r>
              <w:rPr>
                <w:rFonts w:ascii="Times New Roman" w:hAnsi="Times New Roman" w:cs="Times New Roman"/>
                <w:sz w:val="17"/>
                <w:szCs w:val="17"/>
              </w:rPr>
              <w:t>-36,362 ±1,809</w:t>
            </w:r>
          </w:p>
        </w:tc>
        <w:tc>
          <w:tcPr>
            <w:tcW w:type="dxa" w:w="1134"/>
          </w:tcPr>
          <w:p>
            <w:pPr>
              <w:spacing w:after="0" w:line="240" w:lineRule="auto"/>
              <w:jc w:val="right"/>
            </w:pPr>
            <w:r>
              <w:rPr>
                <w:rFonts w:ascii="Times New Roman" w:hAnsi="Times New Roman" w:cs="Times New Roman"/>
                <w:sz w:val="17"/>
                <w:szCs w:val="17"/>
              </w:rPr>
              <w:t>-100.0</w:t>
            </w:r>
          </w:p>
        </w:tc>
        <w:tc>
          <w:tcPr>
            <w:tcW w:type="dxa" w:w="1134"/>
          </w:tcPr>
          <w:p>
            <w:pPr>
              <w:spacing w:after="0" w:line="240" w:lineRule="auto"/>
              <w:jc w:val="right"/>
            </w:pPr>
            <w:r>
              <w:rPr>
                <w:rFonts w:ascii="Times New Roman" w:hAnsi="Times New Roman" w:cs="Times New Roman"/>
                <w:sz w:val="17"/>
                <w:szCs w:val="17"/>
              </w:rPr>
              <w:t>0</w:t>
            </w:r>
          </w:p>
        </w:tc>
        <w:tc>
          <w:tcPr>
            <w:tcW w:type="dxa" w:w="1134"/>
          </w:tcPr>
          <w:p>
            <w:pPr>
              <w:spacing w:after="0" w:line="240" w:lineRule="auto"/>
              <w:jc w:val="right"/>
            </w:pPr>
            <w:r>
              <w:rPr>
                <w:rFonts w:ascii="Times New Roman" w:hAnsi="Times New Roman" w:cs="Times New Roman"/>
                <w:sz w:val="17"/>
                <w:szCs w:val="17"/>
              </w:rPr>
              <w:t>0</w:t>
            </w:r>
          </w:p>
        </w:tc>
      </w:tr>
    </w:tbl>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対差とその 95% 信頼区間が本命の指標である（同一のチャネル実現に対する対応データのため）．総配信量の絶対値は走行ごとの交通実現に大きく左右されるので，単独の信頼区間は参考値．接続時間と grant 時間は車両 × アンテナで積算した総和．kkf_conv 対 assoc_hold の Wilcoxon 符号順位検定は p = 1.6e-09．</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表 A2　N = 13 と N = 48 の比較（図2．いずれも配置 d70，同一の学習済み地図）</w:t>
      </w:r>
    </w:p>
    <w:tbl>
      <w:tblPr>
        <w:tblStyle w:val="af4"/>
        <w:tblW w:type="auto" w:w="0"/>
        <w:jc w:val="center"/>
        <w:tblLayout w:type="fixed"/>
        <w:tblLook w:firstColumn="1" w:firstRow="1" w:lastColumn="0" w:lastRow="0" w:noHBand="0" w:noVBand="1" w:val="04A0"/>
      </w:tblPr>
      <w:tblGrid>
        <w:gridCol w:w="3213"/>
        <w:gridCol w:w="3213"/>
        <w:gridCol w:w="3213"/>
      </w:tblGrid>
      <w:tr>
        <w:tc>
          <w:tcPr>
            <w:tcW w:type="dxa" w:w="2835"/>
          </w:tcPr>
          <w:p>
            <w:pPr>
              <w:spacing w:after="0" w:line="240" w:lineRule="auto"/>
              <w:jc w:val="center"/>
            </w:pPr>
            <w:r>
              <w:rPr>
                <w:rFonts w:ascii="Times New Roman" w:hAnsi="Times New Roman" w:cs="Times New Roman"/>
                <w:b/>
                <w:bCs/>
                <w:sz w:val="17"/>
                <w:szCs w:val="17"/>
              </w:rPr>
              <w:t>項目</w:t>
            </w:r>
          </w:p>
        </w:tc>
        <w:tc>
          <w:tcPr>
            <w:tcW w:type="dxa" w:w="3402"/>
          </w:tcPr>
          <w:p>
            <w:pPr>
              <w:spacing w:after="0" w:line="240" w:lineRule="auto"/>
              <w:jc w:val="center"/>
            </w:pPr>
            <w:r>
              <w:rPr>
                <w:rFonts w:ascii="Times New Roman" w:hAnsi="Times New Roman" w:cs="Times New Roman"/>
                <w:b/>
                <w:bCs/>
                <w:sz w:val="17"/>
                <w:szCs w:val="17"/>
              </w:rPr>
              <w:t>N = 13（前回）</w:t>
            </w:r>
          </w:p>
        </w:tc>
        <w:tc>
          <w:tcPr>
            <w:tcW w:type="dxa" w:w="3402"/>
          </w:tcPr>
          <w:p>
            <w:pPr>
              <w:spacing w:after="0" w:line="240" w:lineRule="auto"/>
              <w:jc w:val="center"/>
            </w:pPr>
            <w:r>
              <w:rPr>
                <w:rFonts w:ascii="Times New Roman" w:hAnsi="Times New Roman" w:cs="Times New Roman"/>
                <w:b/>
                <w:bCs/>
                <w:sz w:val="17"/>
                <w:szCs w:val="17"/>
              </w:rPr>
              <w:t>N = 48（今回）</w:t>
            </w:r>
          </w:p>
        </w:tc>
      </w:tr>
      <w:tr>
        <w:tc>
          <w:tcPr>
            <w:tcW w:type="dxa" w:w="2835"/>
          </w:tcPr>
          <w:p>
            <w:pPr>
              <w:spacing w:after="0" w:line="240" w:lineRule="auto"/>
            </w:pPr>
            <w:r>
              <w:rPr>
                <w:rFonts w:ascii="Times New Roman" w:hAnsi="Times New Roman" w:cs="Times New Roman"/>
                <w:sz w:val="17"/>
                <w:szCs w:val="17"/>
              </w:rPr>
              <w:t>走行ごと相対差</w:t>
            </w:r>
          </w:p>
        </w:tc>
        <w:tc>
          <w:tcPr>
            <w:tcW w:type="dxa" w:w="3402"/>
          </w:tcPr>
          <w:p>
            <w:pPr>
              <w:spacing w:after="0" w:line="240" w:lineRule="auto"/>
              <w:jc w:val="right"/>
            </w:pPr>
            <w:r>
              <w:rPr>
                <w:rFonts w:ascii="Times New Roman" w:hAnsi="Times New Roman" w:cs="Times New Roman"/>
                <w:sz w:val="17"/>
                <w:szCs w:val="17"/>
              </w:rPr>
              <w:t>+21.9% ± 2.9 pt</w:t>
            </w:r>
          </w:p>
        </w:tc>
        <w:tc>
          <w:tcPr>
            <w:tcW w:type="dxa" w:w="3402"/>
          </w:tcPr>
          <w:p>
            <w:pPr>
              <w:spacing w:after="0" w:line="240" w:lineRule="auto"/>
              <w:jc w:val="right"/>
            </w:pPr>
            <w:r>
              <w:rPr>
                <w:rFonts w:ascii="Times New Roman" w:hAnsi="Times New Roman" w:cs="Times New Roman"/>
                <w:sz w:val="17"/>
                <w:szCs w:val="17"/>
              </w:rPr>
              <w:t>+22.6% ± 1.3 pt</w:t>
            </w:r>
          </w:p>
        </w:tc>
      </w:tr>
      <w:tr>
        <w:tc>
          <w:tcPr>
            <w:tcW w:type="dxa" w:w="2835"/>
          </w:tcPr>
          <w:p>
            <w:pPr>
              <w:spacing w:after="0" w:line="240" w:lineRule="auto"/>
            </w:pPr>
            <w:r>
              <w:rPr>
                <w:rFonts w:ascii="Times New Roman" w:hAnsi="Times New Roman" w:cs="Times New Roman"/>
                <w:sz w:val="17"/>
                <w:szCs w:val="17"/>
              </w:rPr>
              <w:t xml:space="preserve">　同上（平均に対する半幅）</w:t>
            </w:r>
          </w:p>
        </w:tc>
        <w:tc>
          <w:tcPr>
            <w:tcW w:type="dxa" w:w="3402"/>
          </w:tcPr>
          <w:p>
            <w:pPr>
              <w:spacing w:after="0" w:line="240" w:lineRule="auto"/>
              <w:jc w:val="right"/>
            </w:pPr>
            <w:r>
              <w:rPr>
                <w:rFonts w:ascii="Times New Roman" w:hAnsi="Times New Roman" w:cs="Times New Roman"/>
                <w:sz w:val="17"/>
                <w:szCs w:val="17"/>
              </w:rPr>
              <w:t>±13.2%</w:t>
            </w:r>
          </w:p>
        </w:tc>
        <w:tc>
          <w:tcPr>
            <w:tcW w:type="dxa" w:w="3402"/>
          </w:tcPr>
          <w:p>
            <w:pPr>
              <w:spacing w:after="0" w:line="240" w:lineRule="auto"/>
              <w:jc w:val="right"/>
            </w:pPr>
            <w:r>
              <w:rPr>
                <w:rFonts w:ascii="Times New Roman" w:hAnsi="Times New Roman" w:cs="Times New Roman"/>
                <w:sz w:val="17"/>
                <w:szCs w:val="17"/>
              </w:rPr>
              <w:t>±5.7%</w:t>
            </w:r>
          </w:p>
        </w:tc>
      </w:tr>
      <w:tr>
        <w:tc>
          <w:tcPr>
            <w:tcW w:type="dxa" w:w="2835"/>
          </w:tcPr>
          <w:p>
            <w:pPr>
              <w:spacing w:after="0" w:line="240" w:lineRule="auto"/>
            </w:pPr>
            <w:r>
              <w:rPr>
                <w:rFonts w:ascii="Times New Roman" w:hAnsi="Times New Roman" w:cs="Times New Roman"/>
                <w:sz w:val="17"/>
                <w:szCs w:val="17"/>
              </w:rPr>
              <w:t>対差</w:t>
            </w:r>
          </w:p>
        </w:tc>
        <w:tc>
          <w:tcPr>
            <w:tcW w:type="dxa" w:w="3402"/>
          </w:tcPr>
          <w:p>
            <w:pPr>
              <w:spacing w:after="0" w:line="240" w:lineRule="auto"/>
              <w:jc w:val="right"/>
            </w:pPr>
            <w:r>
              <w:rPr>
                <w:rFonts w:ascii="Times New Roman" w:hAnsi="Times New Roman" w:cs="Times New Roman"/>
                <w:sz w:val="17"/>
                <w:szCs w:val="17"/>
              </w:rPr>
              <w:t>+7,660 MB ± 777</w:t>
            </w:r>
          </w:p>
        </w:tc>
        <w:tc>
          <w:tcPr>
            <w:tcW w:type="dxa" w:w="3402"/>
          </w:tcPr>
          <w:p>
            <w:pPr>
              <w:spacing w:after="0" w:line="240" w:lineRule="auto"/>
              <w:jc w:val="right"/>
            </w:pPr>
            <w:r>
              <w:rPr>
                <w:rFonts w:ascii="Times New Roman" w:hAnsi="Times New Roman" w:cs="Times New Roman"/>
                <w:sz w:val="17"/>
                <w:szCs w:val="17"/>
              </w:rPr>
              <w:t>+8,055 MB ± 418</w:t>
            </w:r>
          </w:p>
        </w:tc>
      </w:tr>
      <w:tr>
        <w:tc>
          <w:tcPr>
            <w:tcW w:type="dxa" w:w="2835"/>
          </w:tcPr>
          <w:p>
            <w:pPr>
              <w:spacing w:after="0" w:line="240" w:lineRule="auto"/>
            </w:pPr>
            <w:r>
              <w:rPr>
                <w:rFonts w:ascii="Times New Roman" w:hAnsi="Times New Roman" w:cs="Times New Roman"/>
                <w:sz w:val="17"/>
                <w:szCs w:val="17"/>
              </w:rPr>
              <w:t>提案手法が上回った走行</w:t>
            </w:r>
          </w:p>
        </w:tc>
        <w:tc>
          <w:tcPr>
            <w:tcW w:type="dxa" w:w="3402"/>
          </w:tcPr>
          <w:p>
            <w:pPr>
              <w:spacing w:after="0" w:line="240" w:lineRule="auto"/>
              <w:jc w:val="right"/>
            </w:pPr>
            <w:r>
              <w:rPr>
                <w:rFonts w:ascii="Times New Roman" w:hAnsi="Times New Roman" w:cs="Times New Roman"/>
                <w:sz w:val="17"/>
                <w:szCs w:val="17"/>
              </w:rPr>
              <w:t>13/13</w:t>
            </w:r>
          </w:p>
        </w:tc>
        <w:tc>
          <w:tcPr>
            <w:tcW w:type="dxa" w:w="3402"/>
          </w:tcPr>
          <w:p>
            <w:pPr>
              <w:spacing w:after="0" w:line="240" w:lineRule="auto"/>
              <w:jc w:val="right"/>
            </w:pPr>
            <w:r>
              <w:rPr>
                <w:rFonts w:ascii="Times New Roman" w:hAnsi="Times New Roman" w:cs="Times New Roman"/>
                <w:sz w:val="17"/>
                <w:szCs w:val="17"/>
              </w:rPr>
              <w:t>48/48</w:t>
            </w:r>
          </w:p>
        </w:tc>
      </w:tr>
      <w:tr>
        <w:tc>
          <w:tcPr>
            <w:tcW w:type="dxa" w:w="2835"/>
          </w:tcPr>
          <w:p>
            <w:pPr>
              <w:spacing w:after="0" w:line="240" w:lineRule="auto"/>
            </w:pPr>
            <w:r>
              <w:rPr>
                <w:rFonts w:ascii="Times New Roman" w:hAnsi="Times New Roman" w:cs="Times New Roman"/>
                <w:sz w:val="17"/>
                <w:szCs w:val="17"/>
              </w:rPr>
              <w:t>最も差が小さい走行</w:t>
            </w:r>
          </w:p>
        </w:tc>
        <w:tc>
          <w:tcPr>
            <w:tcW w:type="dxa" w:w="3402"/>
          </w:tcPr>
          <w:p>
            <w:pPr>
              <w:spacing w:after="0" w:line="240" w:lineRule="auto"/>
              <w:jc w:val="right"/>
            </w:pPr>
            <w:r>
              <w:rPr>
                <w:rFonts w:ascii="Times New Roman" w:hAnsi="Times New Roman" w:cs="Times New Roman"/>
                <w:sz w:val="17"/>
                <w:szCs w:val="17"/>
              </w:rPr>
              <w:t>+13.9%</w:t>
            </w:r>
          </w:p>
        </w:tc>
        <w:tc>
          <w:tcPr>
            <w:tcW w:type="dxa" w:w="3402"/>
          </w:tcPr>
          <w:p>
            <w:pPr>
              <w:spacing w:after="0" w:line="240" w:lineRule="auto"/>
              <w:jc w:val="right"/>
            </w:pPr>
            <w:r>
              <w:rPr>
                <w:rFonts w:ascii="Times New Roman" w:hAnsi="Times New Roman" w:cs="Times New Roman"/>
                <w:sz w:val="17"/>
                <w:szCs w:val="17"/>
              </w:rPr>
              <w:t>+9.2%</w:t>
            </w:r>
          </w:p>
        </w:tc>
      </w:tr>
      <w:tr>
        <w:tc>
          <w:tcPr>
            <w:tcW w:type="dxa" w:w="2835"/>
          </w:tcPr>
          <w:p>
            <w:pPr>
              <w:spacing w:after="0" w:line="240" w:lineRule="auto"/>
            </w:pPr>
            <w:r>
              <w:rPr>
                <w:rFonts w:ascii="Times New Roman" w:hAnsi="Times New Roman" w:cs="Times New Roman"/>
                <w:sz w:val="17"/>
                <w:szCs w:val="17"/>
              </w:rPr>
              <w:t>oracle への到達率</w:t>
            </w:r>
          </w:p>
        </w:tc>
        <w:tc>
          <w:tcPr>
            <w:tcW w:type="dxa" w:w="3402"/>
          </w:tcPr>
          <w:p>
            <w:pPr>
              <w:spacing w:after="0" w:line="240" w:lineRule="auto"/>
              <w:jc w:val="right"/>
            </w:pPr>
            <w:r>
              <w:rPr>
                <w:rFonts w:ascii="Times New Roman" w:hAnsi="Times New Roman" w:cs="Times New Roman"/>
                <w:sz w:val="17"/>
                <w:szCs w:val="17"/>
              </w:rPr>
              <w:t>82.2%</w:t>
            </w:r>
          </w:p>
        </w:tc>
        <w:tc>
          <w:tcPr>
            <w:tcW w:type="dxa" w:w="3402"/>
          </w:tcPr>
          <w:p>
            <w:pPr>
              <w:spacing w:after="0" w:line="240" w:lineRule="auto"/>
              <w:jc w:val="right"/>
            </w:pPr>
            <w:r>
              <w:rPr>
                <w:rFonts w:ascii="Times New Roman" w:hAnsi="Times New Roman" w:cs="Times New Roman"/>
                <w:sz w:val="17"/>
                <w:szCs w:val="17"/>
              </w:rPr>
              <w:t>89.7%</w:t>
            </w:r>
          </w:p>
        </w:tc>
      </w:tr>
      <w:tr>
        <w:tc>
          <w:tcPr>
            <w:tcW w:type="dxa" w:w="2835"/>
          </w:tcPr>
          <w:p>
            <w:pPr>
              <w:spacing w:after="0" w:line="240" w:lineRule="auto"/>
            </w:pPr>
            <w:r>
              <w:rPr>
                <w:rFonts w:ascii="Times New Roman" w:hAnsi="Times New Roman" w:cs="Times New Roman"/>
                <w:sz w:val="17"/>
                <w:szCs w:val="17"/>
              </w:rPr>
              <w:t>遮蔽リスク地図の寄与</w:t>
            </w:r>
          </w:p>
        </w:tc>
        <w:tc>
          <w:tcPr>
            <w:tcW w:type="dxa" w:w="3402"/>
          </w:tcPr>
          <w:p>
            <w:pPr>
              <w:spacing w:after="0" w:line="240" w:lineRule="auto"/>
              <w:jc w:val="right"/>
            </w:pPr>
            <w:r>
              <w:rPr>
                <w:rFonts w:ascii="Times New Roman" w:hAnsi="Times New Roman" w:cs="Times New Roman"/>
                <w:sz w:val="17"/>
                <w:szCs w:val="17"/>
              </w:rPr>
              <w:t>+348 MB ±52 (p = 0.00024)</w:t>
            </w:r>
          </w:p>
        </w:tc>
        <w:tc>
          <w:tcPr>
            <w:tcW w:type="dxa" w:w="3402"/>
          </w:tcPr>
          <w:p>
            <w:pPr>
              <w:spacing w:after="0" w:line="240" w:lineRule="auto"/>
              <w:jc w:val="right"/>
            </w:pPr>
            <w:r>
              <w:rPr>
                <w:rFonts w:ascii="Times New Roman" w:hAnsi="Times New Roman" w:cs="Times New Roman"/>
                <w:sz w:val="17"/>
                <w:szCs w:val="17"/>
              </w:rPr>
              <w:t>+383 MB ±39 (p = 1.6e-09)</w:t>
            </w:r>
          </w:p>
        </w:tc>
      </w:tr>
      <w:tr>
        <w:tc>
          <w:tcPr>
            <w:tcW w:type="dxa" w:w="2835"/>
          </w:tcPr>
          <w:p>
            <w:pPr>
              <w:spacing w:after="0" w:line="240" w:lineRule="auto"/>
            </w:pPr>
            <w:r>
              <w:rPr>
                <w:rFonts w:ascii="Times New Roman" w:hAnsi="Times New Roman" w:cs="Times New Roman"/>
                <w:sz w:val="17"/>
                <w:szCs w:val="17"/>
              </w:rPr>
              <w:t>LCB の寄与</w:t>
            </w:r>
          </w:p>
        </w:tc>
        <w:tc>
          <w:tcPr>
            <w:tcW w:type="dxa" w:w="3402"/>
          </w:tcPr>
          <w:p>
            <w:pPr>
              <w:spacing w:after="0" w:line="240" w:lineRule="auto"/>
              <w:jc w:val="right"/>
            </w:pPr>
            <w:r>
              <w:rPr>
                <w:rFonts w:ascii="Times New Roman" w:hAnsi="Times New Roman" w:cs="Times New Roman"/>
                <w:sz w:val="17"/>
                <w:szCs w:val="17"/>
              </w:rPr>
              <w:t>+32 MB ±55 (p = 0.31)</w:t>
            </w:r>
          </w:p>
        </w:tc>
        <w:tc>
          <w:tcPr>
            <w:tcW w:type="dxa" w:w="3402"/>
          </w:tcPr>
          <w:p>
            <w:pPr>
              <w:spacing w:after="0" w:line="240" w:lineRule="auto"/>
              <w:jc w:val="right"/>
            </w:pPr>
            <w:r>
              <w:rPr>
                <w:rFonts w:ascii="Times New Roman" w:hAnsi="Times New Roman" w:cs="Times New Roman"/>
                <w:sz w:val="17"/>
                <w:szCs w:val="17"/>
              </w:rPr>
              <w:t>+63 MB ±37 (p = 0.0016)</w:t>
            </w:r>
          </w:p>
        </w:tc>
      </w:tr>
    </w:tbl>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N = 13 は前回資料と同一の測定（sim_results/rec_cm_d70_ablation）であり，再計算していない．N = 48 は別に記録した 50 走行による測定（sim_results/abl_d70_n50）で，学習済み地図と配置は共通だが交通実現のシードは前回を含む．</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表 A3　機構を1つずつ外したときの変化（図4，N = 48 走行）</w:t>
      </w:r>
    </w:p>
    <w:tbl>
      <w:tblPr>
        <w:tblStyle w:val="af4"/>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3061"/>
          </w:tcPr>
          <w:p>
            <w:pPr>
              <w:spacing w:after="0" w:line="240" w:lineRule="auto"/>
              <w:jc w:val="center"/>
            </w:pPr>
            <w:r>
              <w:rPr>
                <w:rFonts w:ascii="Times New Roman" w:hAnsi="Times New Roman" w:cs="Times New Roman"/>
                <w:b/>
                <w:bCs/>
                <w:sz w:val="17"/>
                <w:szCs w:val="17"/>
              </w:rPr>
              <w:t>外した機構</w:t>
            </w:r>
          </w:p>
        </w:tc>
        <w:tc>
          <w:tcPr>
            <w:tcW w:type="dxa" w:w="1361"/>
          </w:tcPr>
          <w:p>
            <w:pPr>
              <w:spacing w:after="0" w:line="240" w:lineRule="auto"/>
              <w:jc w:val="center"/>
            </w:pPr>
            <w:r>
              <w:rPr>
                <w:rFonts w:ascii="Times New Roman" w:hAnsi="Times New Roman" w:cs="Times New Roman"/>
                <w:b/>
                <w:bCs/>
                <w:sz w:val="17"/>
                <w:szCs w:val="17"/>
              </w:rPr>
              <w:t>総配信量 [MB]</w:t>
            </w:r>
          </w:p>
        </w:tc>
        <w:tc>
          <w:tcPr>
            <w:tcW w:type="dxa" w:w="1701"/>
          </w:tcPr>
          <w:p>
            <w:pPr>
              <w:spacing w:after="0" w:line="240" w:lineRule="auto"/>
              <w:jc w:val="center"/>
            </w:pPr>
            <w:r>
              <w:rPr>
                <w:rFonts w:ascii="Times New Roman" w:hAnsi="Times New Roman" w:cs="Times New Roman"/>
                <w:b/>
                <w:bCs/>
                <w:sz w:val="17"/>
                <w:szCs w:val="17"/>
              </w:rPr>
              <w:t>kkf_conv との対差 [MB]</w:t>
            </w:r>
          </w:p>
        </w:tc>
        <w:tc>
          <w:tcPr>
            <w:tcW w:type="dxa" w:w="1134"/>
          </w:tcPr>
          <w:p>
            <w:pPr>
              <w:spacing w:after="0" w:line="240" w:lineRule="auto"/>
              <w:jc w:val="center"/>
            </w:pPr>
            <w:r>
              <w:rPr>
                <w:rFonts w:ascii="Times New Roman" w:hAnsi="Times New Roman" w:cs="Times New Roman"/>
                <w:b/>
                <w:bCs/>
                <w:sz w:val="17"/>
                <w:szCs w:val="17"/>
              </w:rPr>
              <w:t>95%CI 半幅</w:t>
            </w:r>
          </w:p>
        </w:tc>
        <w:tc>
          <w:tcPr>
            <w:tcW w:type="dxa" w:w="1247"/>
          </w:tcPr>
          <w:p>
            <w:pPr>
              <w:spacing w:after="0" w:line="240" w:lineRule="auto"/>
              <w:jc w:val="center"/>
            </w:pPr>
            <w:r>
              <w:rPr>
                <w:rFonts w:ascii="Times New Roman" w:hAnsi="Times New Roman" w:cs="Times New Roman"/>
                <w:b/>
                <w:bCs/>
                <w:sz w:val="17"/>
                <w:szCs w:val="17"/>
              </w:rPr>
              <w:t>利得に占める割合</w:t>
            </w:r>
          </w:p>
        </w:tc>
        <w:tc>
          <w:tcPr>
            <w:tcW w:type="dxa" w:w="1134"/>
          </w:tcPr>
          <w:p>
            <w:pPr>
              <w:spacing w:after="0" w:line="240" w:lineRule="auto"/>
              <w:jc w:val="center"/>
            </w:pPr>
            <w:r>
              <w:rPr>
                <w:rFonts w:ascii="Times New Roman" w:hAnsi="Times New Roman" w:cs="Times New Roman"/>
                <w:b/>
                <w:bCs/>
                <w:sz w:val="17"/>
                <w:szCs w:val="17"/>
              </w:rPr>
              <w:t>p</w:t>
            </w:r>
          </w:p>
        </w:tc>
      </w:tr>
      <w:tr>
        <w:tc>
          <w:tcPr>
            <w:tcW w:type="dxa" w:w="3061"/>
          </w:tcPr>
          <w:p>
            <w:pPr>
              <w:spacing w:after="0" w:line="240" w:lineRule="auto"/>
            </w:pPr>
            <w:r>
              <w:rPr>
                <w:rFonts w:ascii="Times New Roman" w:hAnsi="Times New Roman" w:cs="Times New Roman"/>
                <w:sz w:val="17"/>
                <w:szCs w:val="17"/>
              </w:rPr>
              <w:t>事前学習した地図を外す（観測は grant 中に限る）</w:t>
            </w:r>
          </w:p>
        </w:tc>
        <w:tc>
          <w:tcPr>
            <w:tcW w:type="dxa" w:w="1361"/>
          </w:tcPr>
          <w:p>
            <w:pPr>
              <w:spacing w:after="0" w:line="240" w:lineRule="auto"/>
              <w:jc w:val="right"/>
            </w:pPr>
            <w:r>
              <w:rPr>
                <w:rFonts w:ascii="Times New Roman" w:hAnsi="Times New Roman" w:cs="Times New Roman"/>
                <w:sz w:val="17"/>
                <w:szCs w:val="17"/>
              </w:rPr>
              <w:t>0</w:t>
            </w:r>
          </w:p>
        </w:tc>
        <w:tc>
          <w:tcPr>
            <w:tcW w:type="dxa" w:w="1701"/>
          </w:tcPr>
          <w:p>
            <w:pPr>
              <w:spacing w:after="0" w:line="240" w:lineRule="auto"/>
              <w:jc w:val="right"/>
            </w:pPr>
            <w:r>
              <w:rPr>
                <w:rFonts w:ascii="Times New Roman" w:hAnsi="Times New Roman" w:cs="Times New Roman"/>
                <w:sz w:val="17"/>
                <w:szCs w:val="17"/>
              </w:rPr>
              <w:t>+44,417</w:t>
            </w:r>
          </w:p>
        </w:tc>
        <w:tc>
          <w:tcPr>
            <w:tcW w:type="dxa" w:w="1134"/>
          </w:tcPr>
          <w:p>
            <w:pPr>
              <w:spacing w:after="0" w:line="240" w:lineRule="auto"/>
              <w:jc w:val="right"/>
            </w:pPr>
            <w:r>
              <w:rPr>
                <w:rFonts w:ascii="Times New Roman" w:hAnsi="Times New Roman" w:cs="Times New Roman"/>
                <w:sz w:val="17"/>
                <w:szCs w:val="17"/>
              </w:rPr>
              <w:t>±1,924</w:t>
            </w:r>
          </w:p>
        </w:tc>
        <w:tc>
          <w:tcPr>
            <w:tcW w:type="dxa" w:w="1247"/>
          </w:tcPr>
          <w:p>
            <w:pPr>
              <w:spacing w:after="0" w:line="240" w:lineRule="auto"/>
              <w:jc w:val="right"/>
            </w:pPr>
            <w:r>
              <w:rPr>
                <w:rFonts w:ascii="Times New Roman" w:hAnsi="Times New Roman" w:cs="Times New Roman"/>
                <w:sz w:val="17"/>
                <w:szCs w:val="17"/>
              </w:rPr>
              <w:t>—</w:t>
            </w:r>
          </w:p>
        </w:tc>
        <w:tc>
          <w:tcPr>
            <w:tcW w:type="dxa" w:w="1134"/>
          </w:tcPr>
          <w:p>
            <w:pPr>
              <w:spacing w:after="0" w:line="240" w:lineRule="auto"/>
              <w:jc w:val="right"/>
            </w:pPr>
            <w:r>
              <w:rPr>
                <w:rFonts w:ascii="Times New Roman" w:hAnsi="Times New Roman" w:cs="Times New Roman"/>
                <w:sz w:val="17"/>
                <w:szCs w:val="17"/>
              </w:rPr>
              <w:t>—（決定論的）</w:t>
            </w:r>
          </w:p>
        </w:tc>
      </w:tr>
      <w:tr>
        <w:tc>
          <w:tcPr>
            <w:tcW w:type="dxa" w:w="3061"/>
          </w:tcPr>
          <w:p>
            <w:pPr>
              <w:spacing w:after="0" w:line="240" w:lineRule="auto"/>
            </w:pPr>
            <w:r>
              <w:rPr>
                <w:rFonts w:ascii="Times New Roman" w:hAnsi="Times New Roman" w:cs="Times New Roman"/>
                <w:sz w:val="17"/>
                <w:szCs w:val="17"/>
              </w:rPr>
              <w:t>事前学習を外し，代わりに全ペア観測を許す</w:t>
            </w:r>
          </w:p>
        </w:tc>
        <w:tc>
          <w:tcPr>
            <w:tcW w:type="dxa" w:w="1361"/>
          </w:tcPr>
          <w:p>
            <w:pPr>
              <w:spacing w:after="0" w:line="240" w:lineRule="auto"/>
              <w:jc w:val="right"/>
            </w:pPr>
            <w:r>
              <w:rPr>
                <w:rFonts w:ascii="Times New Roman" w:hAnsi="Times New Roman" w:cs="Times New Roman"/>
                <w:sz w:val="17"/>
                <w:szCs w:val="17"/>
              </w:rPr>
              <w:t>45,150</w:t>
            </w:r>
          </w:p>
        </w:tc>
        <w:tc>
          <w:tcPr>
            <w:tcW w:type="dxa" w:w="1701"/>
          </w:tcPr>
          <w:p>
            <w:pPr>
              <w:spacing w:after="0" w:line="240" w:lineRule="auto"/>
              <w:jc w:val="right"/>
            </w:pPr>
            <w:r>
              <w:rPr>
                <w:rFonts w:ascii="Times New Roman" w:hAnsi="Times New Roman" w:cs="Times New Roman"/>
                <w:sz w:val="17"/>
                <w:szCs w:val="17"/>
              </w:rPr>
              <w:t>-734</w:t>
            </w:r>
          </w:p>
        </w:tc>
        <w:tc>
          <w:tcPr>
            <w:tcW w:type="dxa" w:w="1134"/>
          </w:tcPr>
          <w:p>
            <w:pPr>
              <w:spacing w:after="0" w:line="240" w:lineRule="auto"/>
              <w:jc w:val="right"/>
            </w:pPr>
            <w:r>
              <w:rPr>
                <w:rFonts w:ascii="Times New Roman" w:hAnsi="Times New Roman" w:cs="Times New Roman"/>
                <w:sz w:val="17"/>
                <w:szCs w:val="17"/>
              </w:rPr>
              <w:t>±57</w:t>
            </w:r>
          </w:p>
        </w:tc>
        <w:tc>
          <w:tcPr>
            <w:tcW w:type="dxa" w:w="1247"/>
          </w:tcPr>
          <w:p>
            <w:pPr>
              <w:spacing w:after="0" w:line="240" w:lineRule="auto"/>
              <w:jc w:val="right"/>
            </w:pPr>
            <w:r>
              <w:rPr>
                <w:rFonts w:ascii="Times New Roman" w:hAnsi="Times New Roman" w:cs="Times New Roman"/>
                <w:sz w:val="17"/>
                <w:szCs w:val="17"/>
              </w:rPr>
              <w:t>-9.1%</w:t>
            </w:r>
          </w:p>
        </w:tc>
        <w:tc>
          <w:tcPr>
            <w:tcW w:type="dxa" w:w="1134"/>
          </w:tcPr>
          <w:p>
            <w:pPr>
              <w:spacing w:after="0" w:line="240" w:lineRule="auto"/>
              <w:jc w:val="right"/>
            </w:pPr>
            <w:r>
              <w:rPr>
                <w:rFonts w:ascii="Times New Roman" w:hAnsi="Times New Roman" w:cs="Times New Roman"/>
                <w:sz w:val="17"/>
                <w:szCs w:val="17"/>
              </w:rPr>
              <w:t>1.6e-09</w:t>
            </w:r>
          </w:p>
        </w:tc>
      </w:tr>
      <w:tr>
        <w:tc>
          <w:tcPr>
            <w:tcW w:type="dxa" w:w="3061"/>
          </w:tcPr>
          <w:p>
            <w:pPr>
              <w:spacing w:after="0" w:line="240" w:lineRule="auto"/>
            </w:pPr>
            <w:r>
              <w:rPr>
                <w:rFonts w:ascii="Times New Roman" w:hAnsi="Times New Roman" w:cs="Times New Roman"/>
                <w:sz w:val="17"/>
                <w:szCs w:val="17"/>
              </w:rPr>
              <w:t>遮蔽リスク地図 σν² を外す</w:t>
            </w:r>
          </w:p>
        </w:tc>
        <w:tc>
          <w:tcPr>
            <w:tcW w:type="dxa" w:w="1361"/>
          </w:tcPr>
          <w:p>
            <w:pPr>
              <w:spacing w:after="0" w:line="240" w:lineRule="auto"/>
              <w:jc w:val="right"/>
            </w:pPr>
            <w:r>
              <w:rPr>
                <w:rFonts w:ascii="Times New Roman" w:hAnsi="Times New Roman" w:cs="Times New Roman"/>
                <w:sz w:val="17"/>
                <w:szCs w:val="17"/>
              </w:rPr>
              <w:t>44,034</w:t>
            </w:r>
          </w:p>
        </w:tc>
        <w:tc>
          <w:tcPr>
            <w:tcW w:type="dxa" w:w="1701"/>
          </w:tcPr>
          <w:p>
            <w:pPr>
              <w:spacing w:after="0" w:line="240" w:lineRule="auto"/>
              <w:jc w:val="right"/>
            </w:pPr>
            <w:r>
              <w:rPr>
                <w:rFonts w:ascii="Times New Roman" w:hAnsi="Times New Roman" w:cs="Times New Roman"/>
                <w:sz w:val="17"/>
                <w:szCs w:val="17"/>
              </w:rPr>
              <w:t>+383</w:t>
            </w:r>
          </w:p>
        </w:tc>
        <w:tc>
          <w:tcPr>
            <w:tcW w:type="dxa" w:w="1134"/>
          </w:tcPr>
          <w:p>
            <w:pPr>
              <w:spacing w:after="0" w:line="240" w:lineRule="auto"/>
              <w:jc w:val="right"/>
            </w:pPr>
            <w:r>
              <w:rPr>
                <w:rFonts w:ascii="Times New Roman" w:hAnsi="Times New Roman" w:cs="Times New Roman"/>
                <w:sz w:val="17"/>
                <w:szCs w:val="17"/>
              </w:rPr>
              <w:t>±39</w:t>
            </w:r>
          </w:p>
        </w:tc>
        <w:tc>
          <w:tcPr>
            <w:tcW w:type="dxa" w:w="1247"/>
          </w:tcPr>
          <w:p>
            <w:pPr>
              <w:spacing w:after="0" w:line="240" w:lineRule="auto"/>
              <w:jc w:val="right"/>
            </w:pPr>
            <w:r>
              <w:rPr>
                <w:rFonts w:ascii="Times New Roman" w:hAnsi="Times New Roman" w:cs="Times New Roman"/>
                <w:sz w:val="17"/>
                <w:szCs w:val="17"/>
              </w:rPr>
              <w:t>+4.8%</w:t>
            </w:r>
          </w:p>
        </w:tc>
        <w:tc>
          <w:tcPr>
            <w:tcW w:type="dxa" w:w="1134"/>
          </w:tcPr>
          <w:p>
            <w:pPr>
              <w:spacing w:after="0" w:line="240" w:lineRule="auto"/>
              <w:jc w:val="right"/>
            </w:pPr>
            <w:r>
              <w:rPr>
                <w:rFonts w:ascii="Times New Roman" w:hAnsi="Times New Roman" w:cs="Times New Roman"/>
                <w:sz w:val="17"/>
                <w:szCs w:val="17"/>
              </w:rPr>
              <w:t>1.6e-09</w:t>
            </w:r>
          </w:p>
        </w:tc>
      </w:tr>
      <w:tr>
        <w:tc>
          <w:tcPr>
            <w:tcW w:type="dxa" w:w="3061"/>
          </w:tcPr>
          <w:p>
            <w:pPr>
              <w:spacing w:after="0" w:line="240" w:lineRule="auto"/>
            </w:pPr>
            <w:r>
              <w:rPr>
                <w:rFonts w:ascii="Times New Roman" w:hAnsi="Times New Roman" w:cs="Times New Roman"/>
                <w:sz w:val="17"/>
                <w:szCs w:val="17"/>
              </w:rPr>
              <w:t>不確実性の利用（LCB，κσ）を外す</w:t>
            </w:r>
          </w:p>
        </w:tc>
        <w:tc>
          <w:tcPr>
            <w:tcW w:type="dxa" w:w="1361"/>
          </w:tcPr>
          <w:p>
            <w:pPr>
              <w:spacing w:after="0" w:line="240" w:lineRule="auto"/>
              <w:jc w:val="right"/>
            </w:pPr>
            <w:r>
              <w:rPr>
                <w:rFonts w:ascii="Times New Roman" w:hAnsi="Times New Roman" w:cs="Times New Roman"/>
                <w:sz w:val="17"/>
                <w:szCs w:val="17"/>
              </w:rPr>
              <w:t>44,354</w:t>
            </w:r>
          </w:p>
        </w:tc>
        <w:tc>
          <w:tcPr>
            <w:tcW w:type="dxa" w:w="1701"/>
          </w:tcPr>
          <w:p>
            <w:pPr>
              <w:spacing w:after="0" w:line="240" w:lineRule="auto"/>
              <w:jc w:val="right"/>
            </w:pPr>
            <w:r>
              <w:rPr>
                <w:rFonts w:ascii="Times New Roman" w:hAnsi="Times New Roman" w:cs="Times New Roman"/>
                <w:sz w:val="17"/>
                <w:szCs w:val="17"/>
              </w:rPr>
              <w:t>+63</w:t>
            </w:r>
          </w:p>
        </w:tc>
        <w:tc>
          <w:tcPr>
            <w:tcW w:type="dxa" w:w="1134"/>
          </w:tcPr>
          <w:p>
            <w:pPr>
              <w:spacing w:after="0" w:line="240" w:lineRule="auto"/>
              <w:jc w:val="right"/>
            </w:pPr>
            <w:r>
              <w:rPr>
                <w:rFonts w:ascii="Times New Roman" w:hAnsi="Times New Roman" w:cs="Times New Roman"/>
                <w:sz w:val="17"/>
                <w:szCs w:val="17"/>
              </w:rPr>
              <w:t>±37</w:t>
            </w:r>
          </w:p>
        </w:tc>
        <w:tc>
          <w:tcPr>
            <w:tcW w:type="dxa" w:w="1247"/>
          </w:tcPr>
          <w:p>
            <w:pPr>
              <w:spacing w:after="0" w:line="240" w:lineRule="auto"/>
              <w:jc w:val="right"/>
            </w:pPr>
            <w:r>
              <w:rPr>
                <w:rFonts w:ascii="Times New Roman" w:hAnsi="Times New Roman" w:cs="Times New Roman"/>
                <w:sz w:val="17"/>
                <w:szCs w:val="17"/>
              </w:rPr>
              <w:t>+0.8%</w:t>
            </w:r>
          </w:p>
        </w:tc>
        <w:tc>
          <w:tcPr>
            <w:tcW w:type="dxa" w:w="1134"/>
          </w:tcPr>
          <w:p>
            <w:pPr>
              <w:spacing w:after="0" w:line="240" w:lineRule="auto"/>
              <w:jc w:val="right"/>
            </w:pPr>
            <w:r>
              <w:rPr>
                <w:rFonts w:ascii="Times New Roman" w:hAnsi="Times New Roman" w:cs="Times New Roman"/>
                <w:sz w:val="17"/>
                <w:szCs w:val="17"/>
              </w:rPr>
              <w:t>0.0016</w:t>
            </w:r>
          </w:p>
        </w:tc>
      </w:tr>
    </w:tbl>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対差は kkf_conv から見た差であり，正の値は kkf_conv が上回ることを意味する．「利得に占める割合」の分母は assoc_hold との対差 8,055 MB．探索的比較であり多重比較の補正は行っていない．kkf_cold は全走行 0 MB であり，対差は kkf_conv の総配信量そのものになる．検定は形式的には成立するが情報を持たないため省き，割合の分母にも載せていない．</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表 A4　車両ごとの配信量からみた公平性（図5，N = 48 走行）</w:t>
      </w:r>
    </w:p>
    <w:tbl>
      <w:tblPr>
        <w:tblStyle w:val="af4"/>
        <w:tblW w:type="auto" w:w="0"/>
        <w:jc w:val="center"/>
        <w:tblLayout w:type="fixed"/>
        <w:tblLook w:firstColumn="1" w:firstRow="1" w:lastColumn="0" w:lastRow="0" w:noHBand="0" w:noVBand="1" w:val="04A0"/>
      </w:tblPr>
      <w:tblGrid>
        <w:gridCol w:w="3213"/>
        <w:gridCol w:w="3213"/>
        <w:gridCol w:w="3213"/>
      </w:tblGrid>
      <w:tr>
        <w:tc>
          <w:tcPr>
            <w:tcW w:type="dxa" w:w="3402"/>
          </w:tcPr>
          <w:p>
            <w:pPr>
              <w:spacing w:after="0" w:line="240" w:lineRule="auto"/>
              <w:jc w:val="center"/>
            </w:pPr>
            <w:r>
              <w:rPr>
                <w:rFonts w:ascii="Times New Roman" w:hAnsi="Times New Roman" w:cs="Times New Roman"/>
                <w:b/>
                <w:bCs/>
                <w:sz w:val="17"/>
                <w:szCs w:val="17"/>
              </w:rPr>
              <w:t>手法</w:t>
            </w:r>
          </w:p>
        </w:tc>
        <w:tc>
          <w:tcPr>
            <w:tcW w:type="dxa" w:w="3118"/>
          </w:tcPr>
          <w:p>
            <w:pPr>
              <w:spacing w:after="0" w:line="240" w:lineRule="auto"/>
              <w:jc w:val="center"/>
            </w:pPr>
            <w:r>
              <w:rPr>
                <w:rFonts w:ascii="Times New Roman" w:hAnsi="Times New Roman" w:cs="Times New Roman"/>
                <w:b/>
                <w:bCs/>
                <w:sz w:val="17"/>
                <w:szCs w:val="17"/>
              </w:rPr>
              <w:t>最小の車両の配信量 [MB]</w:t>
            </w:r>
          </w:p>
        </w:tc>
        <w:tc>
          <w:tcPr>
            <w:tcW w:type="dxa" w:w="3118"/>
          </w:tcPr>
          <w:p>
            <w:pPr>
              <w:spacing w:after="0" w:line="240" w:lineRule="auto"/>
              <w:jc w:val="center"/>
            </w:pPr>
            <w:r>
              <w:rPr>
                <w:rFonts w:ascii="Times New Roman" w:hAnsi="Times New Roman" w:cs="Times New Roman"/>
                <w:b/>
                <w:bCs/>
                <w:sz w:val="17"/>
                <w:szCs w:val="17"/>
              </w:rPr>
              <w:t>配信量が 0 の車両の割合 [%]</w:t>
            </w:r>
          </w:p>
        </w:tc>
      </w:tr>
      <w:tr>
        <w:tc>
          <w:tcPr>
            <w:tcW w:type="dxa" w:w="3402"/>
          </w:tcPr>
          <w:p>
            <w:pPr>
              <w:spacing w:after="0" w:line="240" w:lineRule="auto"/>
            </w:pPr>
            <w:r>
              <w:rPr>
                <w:rFonts w:ascii="Times New Roman" w:hAnsi="Times New Roman" w:cs="Times New Roman"/>
                <w:sz w:val="17"/>
                <w:szCs w:val="17"/>
              </w:rPr>
              <w:t>oracle（全ペアの受信電力が既知）</w:t>
            </w:r>
          </w:p>
        </w:tc>
        <w:tc>
          <w:tcPr>
            <w:tcW w:type="dxa" w:w="3118"/>
          </w:tcPr>
          <w:p>
            <w:pPr>
              <w:spacing w:after="0" w:line="240" w:lineRule="auto"/>
              <w:jc w:val="right"/>
            </w:pPr>
            <w:r>
              <w:rPr>
                <w:rFonts w:ascii="Times New Roman" w:hAnsi="Times New Roman" w:cs="Times New Roman"/>
                <w:sz w:val="17"/>
                <w:szCs w:val="17"/>
              </w:rPr>
              <w:t>214</w:t>
            </w:r>
          </w:p>
        </w:tc>
        <w:tc>
          <w:tcPr>
            <w:tcW w:type="dxa" w:w="3118"/>
          </w:tcPr>
          <w:p>
            <w:pPr>
              <w:spacing w:after="0" w:line="240" w:lineRule="auto"/>
              <w:jc w:val="right"/>
            </w:pPr>
            <w:r>
              <w:rPr>
                <w:rFonts w:ascii="Times New Roman" w:hAnsi="Times New Roman" w:cs="Times New Roman"/>
                <w:sz w:val="17"/>
                <w:szCs w:val="17"/>
              </w:rPr>
              <w:t>0.16</w:t>
            </w:r>
          </w:p>
        </w:tc>
      </w:tr>
      <w:tr>
        <w:tc>
          <w:tcPr>
            <w:tcW w:type="dxa" w:w="3402"/>
          </w:tcPr>
          <w:p>
            <w:pPr>
              <w:spacing w:after="0" w:line="240" w:lineRule="auto"/>
            </w:pPr>
            <w:r>
              <w:rPr>
                <w:rFonts w:ascii="Times New Roman" w:hAnsi="Times New Roman" w:cs="Times New Roman"/>
                <w:sz w:val="17"/>
                <w:szCs w:val="17"/>
              </w:rPr>
              <w:t>kkf_cold_probe（全ペア観測・地図なし）</w:t>
            </w:r>
          </w:p>
        </w:tc>
        <w:tc>
          <w:tcPr>
            <w:tcW w:type="dxa" w:w="3118"/>
          </w:tcPr>
          <w:p>
            <w:pPr>
              <w:spacing w:after="0" w:line="240" w:lineRule="auto"/>
              <w:jc w:val="right"/>
            </w:pPr>
            <w:r>
              <w:rPr>
                <w:rFonts w:ascii="Times New Roman" w:hAnsi="Times New Roman" w:cs="Times New Roman"/>
                <w:sz w:val="17"/>
                <w:szCs w:val="17"/>
              </w:rPr>
              <w:t>204</w:t>
            </w:r>
          </w:p>
        </w:tc>
        <w:tc>
          <w:tcPr>
            <w:tcW w:type="dxa" w:w="3118"/>
          </w:tcPr>
          <w:p>
            <w:pPr>
              <w:spacing w:after="0" w:line="240" w:lineRule="auto"/>
              <w:jc w:val="right"/>
            </w:pPr>
            <w:r>
              <w:rPr>
                <w:rFonts w:ascii="Times New Roman" w:hAnsi="Times New Roman" w:cs="Times New Roman"/>
                <w:sz w:val="17"/>
                <w:szCs w:val="17"/>
              </w:rPr>
              <w:t>0.16</w:t>
            </w:r>
          </w:p>
        </w:tc>
      </w:tr>
      <w:tr>
        <w:tc>
          <w:tcPr>
            <w:tcW w:type="dxa" w:w="3402"/>
          </w:tcPr>
          <w:p>
            <w:pPr>
              <w:spacing w:after="0" w:line="240" w:lineRule="auto"/>
            </w:pPr>
            <w:r>
              <w:rPr>
                <w:rFonts w:ascii="Times New Roman" w:hAnsi="Times New Roman" w:cs="Times New Roman"/>
                <w:sz w:val="17"/>
                <w:szCs w:val="17"/>
              </w:rPr>
              <w:t>kkf_conv（提案手法）</w:t>
            </w:r>
          </w:p>
        </w:tc>
        <w:tc>
          <w:tcPr>
            <w:tcW w:type="dxa" w:w="3118"/>
          </w:tcPr>
          <w:p>
            <w:pPr>
              <w:spacing w:after="0" w:line="240" w:lineRule="auto"/>
              <w:jc w:val="right"/>
            </w:pPr>
            <w:r>
              <w:rPr>
                <w:rFonts w:ascii="Times New Roman" w:hAnsi="Times New Roman" w:cs="Times New Roman"/>
                <w:sz w:val="17"/>
                <w:szCs w:val="17"/>
              </w:rPr>
              <w:t>233</w:t>
            </w:r>
          </w:p>
        </w:tc>
        <w:tc>
          <w:tcPr>
            <w:tcW w:type="dxa" w:w="3118"/>
          </w:tcPr>
          <w:p>
            <w:pPr>
              <w:spacing w:after="0" w:line="240" w:lineRule="auto"/>
              <w:jc w:val="right"/>
            </w:pPr>
            <w:r>
              <w:rPr>
                <w:rFonts w:ascii="Times New Roman" w:hAnsi="Times New Roman" w:cs="Times New Roman"/>
                <w:sz w:val="17"/>
                <w:szCs w:val="17"/>
              </w:rPr>
              <w:t>0.00</w:t>
            </w:r>
          </w:p>
        </w:tc>
      </w:tr>
      <w:tr>
        <w:tc>
          <w:tcPr>
            <w:tcW w:type="dxa" w:w="3402"/>
          </w:tcPr>
          <w:p>
            <w:pPr>
              <w:spacing w:after="0" w:line="240" w:lineRule="auto"/>
            </w:pPr>
            <w:r>
              <w:rPr>
                <w:rFonts w:ascii="Times New Roman" w:hAnsi="Times New Roman" w:cs="Times New Roman"/>
                <w:sz w:val="17"/>
                <w:szCs w:val="17"/>
              </w:rPr>
              <w:t>assoc_hold（受動接続）</w:t>
            </w:r>
          </w:p>
        </w:tc>
        <w:tc>
          <w:tcPr>
            <w:tcW w:type="dxa" w:w="3118"/>
          </w:tcPr>
          <w:p>
            <w:pPr>
              <w:spacing w:after="0" w:line="240" w:lineRule="auto"/>
              <w:jc w:val="right"/>
            </w:pPr>
            <w:r>
              <w:rPr>
                <w:rFonts w:ascii="Times New Roman" w:hAnsi="Times New Roman" w:cs="Times New Roman"/>
                <w:sz w:val="17"/>
                <w:szCs w:val="17"/>
              </w:rPr>
              <w:t>106</w:t>
            </w:r>
          </w:p>
        </w:tc>
        <w:tc>
          <w:tcPr>
            <w:tcW w:type="dxa" w:w="3118"/>
          </w:tcPr>
          <w:p>
            <w:pPr>
              <w:spacing w:after="0" w:line="240" w:lineRule="auto"/>
              <w:jc w:val="right"/>
            </w:pPr>
            <w:r>
              <w:rPr>
                <w:rFonts w:ascii="Times New Roman" w:hAnsi="Times New Roman" w:cs="Times New Roman"/>
                <w:sz w:val="17"/>
                <w:szCs w:val="17"/>
              </w:rPr>
              <w:t>0.43</w:t>
            </w:r>
          </w:p>
        </w:tc>
      </w:tr>
    </w:tbl>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表 A5　RSU 配置と天井（図6，選択余地率の昇順）</w:t>
      </w:r>
    </w:p>
    <w:tbl>
      <w:tblPr>
        <w:tblStyle w:val="af4"/>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474"/>
          </w:tcPr>
          <w:p>
            <w:pPr>
              <w:spacing w:after="0" w:line="240" w:lineRule="auto"/>
              <w:jc w:val="center"/>
            </w:pPr>
            <w:r>
              <w:rPr>
                <w:rFonts w:ascii="Times New Roman" w:hAnsi="Times New Roman" w:cs="Times New Roman"/>
                <w:b/>
                <w:bCs/>
                <w:sz w:val="17"/>
                <w:szCs w:val="17"/>
              </w:rPr>
              <w:t>条件</w:t>
            </w:r>
          </w:p>
        </w:tc>
        <w:tc>
          <w:tcPr>
            <w:tcW w:type="dxa" w:w="2041"/>
          </w:tcPr>
          <w:p>
            <w:pPr>
              <w:spacing w:after="0" w:line="240" w:lineRule="auto"/>
              <w:jc w:val="center"/>
            </w:pPr>
            <w:r>
              <w:rPr>
                <w:rFonts w:ascii="Times New Roman" w:hAnsi="Times New Roman" w:cs="Times New Roman"/>
                <w:b/>
                <w:bCs/>
                <w:sz w:val="17"/>
                <w:szCs w:val="17"/>
              </w:rPr>
              <w:t>ポール本数 / 間隔 / δ_rsu</w:t>
            </w:r>
          </w:p>
        </w:tc>
        <w:tc>
          <w:tcPr>
            <w:tcW w:type="dxa" w:w="1020"/>
          </w:tcPr>
          <w:p>
            <w:pPr>
              <w:spacing w:after="0" w:line="240" w:lineRule="auto"/>
              <w:jc w:val="center"/>
            </w:pPr>
            <w:r>
              <w:rPr>
                <w:rFonts w:ascii="Times New Roman" w:hAnsi="Times New Roman" w:cs="Times New Roman"/>
                <w:b/>
                <w:bCs/>
                <w:sz w:val="17"/>
                <w:szCs w:val="17"/>
              </w:rPr>
              <w:t>論理 RSU 数</w:t>
            </w:r>
          </w:p>
        </w:tc>
        <w:tc>
          <w:tcPr>
            <w:tcW w:type="dxa" w:w="1134"/>
          </w:tcPr>
          <w:p>
            <w:pPr>
              <w:spacing w:after="0" w:line="240" w:lineRule="auto"/>
              <w:jc w:val="center"/>
            </w:pPr>
            <w:r>
              <w:rPr>
                <w:rFonts w:ascii="Times New Roman" w:hAnsi="Times New Roman" w:cs="Times New Roman"/>
                <w:b/>
                <w:bCs/>
                <w:sz w:val="17"/>
                <w:szCs w:val="17"/>
              </w:rPr>
              <w:t>選択余地率</w:t>
            </w:r>
          </w:p>
        </w:tc>
        <w:tc>
          <w:tcPr>
            <w:tcW w:type="dxa" w:w="1474"/>
          </w:tcPr>
          <w:p>
            <w:pPr>
              <w:spacing w:after="0" w:line="240" w:lineRule="auto"/>
              <w:jc w:val="center"/>
            </w:pPr>
            <w:r>
              <w:rPr>
                <w:rFonts w:ascii="Times New Roman" w:hAnsi="Times New Roman" w:cs="Times New Roman"/>
                <w:b/>
                <w:bCs/>
                <w:sz w:val="17"/>
                <w:szCs w:val="17"/>
              </w:rPr>
              <w:t>カバレッジ [MB]</w:t>
            </w:r>
          </w:p>
        </w:tc>
        <w:tc>
          <w:tcPr>
            <w:tcW w:type="dxa" w:w="1247"/>
          </w:tcPr>
          <w:p>
            <w:pPr>
              <w:spacing w:after="0" w:line="240" w:lineRule="auto"/>
              <w:jc w:val="center"/>
            </w:pPr>
            <w:r>
              <w:rPr>
                <w:rFonts w:ascii="Times New Roman" w:hAnsi="Times New Roman" w:cs="Times New Roman"/>
                <w:b/>
                <w:bCs/>
                <w:sz w:val="17"/>
                <w:szCs w:val="17"/>
              </w:rPr>
              <w:t>天井</w:t>
            </w:r>
          </w:p>
        </w:tc>
        <w:tc>
          <w:tcPr>
            <w:tcW w:type="dxa" w:w="680"/>
          </w:tcPr>
          <w:p>
            <w:pPr>
              <w:spacing w:after="0" w:line="240" w:lineRule="auto"/>
              <w:jc w:val="center"/>
            </w:pPr>
            <w:r>
              <w:rPr>
                <w:rFonts w:ascii="Times New Roman" w:hAnsi="Times New Roman" w:cs="Times New Roman"/>
                <w:b/>
                <w:bCs/>
                <w:sz w:val="17"/>
                <w:szCs w:val="17"/>
              </w:rPr>
              <w:t>N</w:t>
            </w:r>
          </w:p>
        </w:tc>
      </w:tr>
      <w:tr>
        <w:tc>
          <w:tcPr>
            <w:tcW w:type="dxa" w:w="1474"/>
          </w:tcPr>
          <w:p>
            <w:pPr>
              <w:spacing w:after="0" w:line="240" w:lineRule="auto"/>
            </w:pPr>
            <w:r>
              <w:rPr>
                <w:rFonts w:ascii="Times New Roman" w:hAnsi="Times New Roman" w:cs="Times New Roman"/>
                <w:sz w:val="17"/>
                <w:szCs w:val="17"/>
              </w:rPr>
              <w:t>d40</w:t>
            </w:r>
          </w:p>
        </w:tc>
        <w:tc>
          <w:tcPr>
            <w:tcW w:type="dxa" w:w="2041"/>
          </w:tcPr>
          <w:p>
            <w:pPr>
              <w:spacing w:after="0" w:line="240" w:lineRule="auto"/>
            </w:pPr>
            <w:r>
              <w:rPr>
                <w:rFonts w:ascii="Times New Roman" w:hAnsi="Times New Roman" w:cs="Times New Roman"/>
                <w:sz w:val="17"/>
                <w:szCs w:val="17"/>
              </w:rPr>
              <w:t>4 本 / 20 m / 40°</w:t>
            </w:r>
          </w:p>
        </w:tc>
        <w:tc>
          <w:tcPr>
            <w:tcW w:type="dxa" w:w="1020"/>
          </w:tcPr>
          <w:p>
            <w:pPr>
              <w:spacing w:after="0" w:line="240" w:lineRule="auto"/>
              <w:jc w:val="right"/>
            </w:pPr>
            <w:r>
              <w:rPr>
                <w:rFonts w:ascii="Times New Roman" w:hAnsi="Times New Roman" w:cs="Times New Roman"/>
                <w:sz w:val="17"/>
                <w:szCs w:val="17"/>
              </w:rPr>
              <w:t>8</w:t>
            </w:r>
          </w:p>
        </w:tc>
        <w:tc>
          <w:tcPr>
            <w:tcW w:type="dxa" w:w="1134"/>
          </w:tcPr>
          <w:p>
            <w:pPr>
              <w:spacing w:after="0" w:line="240" w:lineRule="auto"/>
              <w:jc w:val="right"/>
            </w:pPr>
            <w:r>
              <w:rPr>
                <w:rFonts w:ascii="Times New Roman" w:hAnsi="Times New Roman" w:cs="Times New Roman"/>
                <w:sz w:val="17"/>
                <w:szCs w:val="17"/>
              </w:rPr>
              <w:t>0.055</w:t>
            </w:r>
          </w:p>
        </w:tc>
        <w:tc>
          <w:tcPr>
            <w:tcW w:type="dxa" w:w="1474"/>
          </w:tcPr>
          <w:p>
            <w:pPr>
              <w:spacing w:after="0" w:line="240" w:lineRule="auto"/>
              <w:jc w:val="right"/>
            </w:pPr>
            <w:r>
              <w:rPr>
                <w:rFonts w:ascii="Times New Roman" w:hAnsi="Times New Roman" w:cs="Times New Roman"/>
                <w:sz w:val="17"/>
                <w:szCs w:val="17"/>
              </w:rPr>
              <w:t>18,605</w:t>
            </w:r>
          </w:p>
        </w:tc>
        <w:tc>
          <w:tcPr>
            <w:tcW w:type="dxa" w:w="1247"/>
          </w:tcPr>
          <w:p>
            <w:pPr>
              <w:spacing w:after="0" w:line="240" w:lineRule="auto"/>
              <w:jc w:val="right"/>
            </w:pPr>
            <w:r>
              <w:rPr>
                <w:rFonts w:ascii="Times New Roman" w:hAnsi="Times New Roman" w:cs="Times New Roman"/>
                <w:sz w:val="17"/>
                <w:szCs w:val="17"/>
              </w:rPr>
              <w:t>+4.4%</w:t>
            </w:r>
          </w:p>
        </w:tc>
        <w:tc>
          <w:tcPr>
            <w:tcW w:type="dxa" w:w="680"/>
          </w:tcPr>
          <w:p>
            <w:pPr>
              <w:spacing w:after="0" w:line="240" w:lineRule="auto"/>
              <w:jc w:val="right"/>
            </w:pPr>
            <w:r>
              <w:rPr>
                <w:rFonts w:ascii="Times New Roman" w:hAnsi="Times New Roman" w:cs="Times New Roman"/>
                <w:sz w:val="17"/>
                <w:szCs w:val="17"/>
              </w:rPr>
              <w:t>18</w:t>
            </w:r>
          </w:p>
        </w:tc>
      </w:tr>
      <w:tr>
        <w:tc>
          <w:tcPr>
            <w:tcW w:type="dxa" w:w="1474"/>
          </w:tcPr>
          <w:p>
            <w:pPr>
              <w:spacing w:after="0" w:line="240" w:lineRule="auto"/>
            </w:pPr>
            <w:r>
              <w:rPr>
                <w:rFonts w:ascii="Times New Roman" w:hAnsi="Times New Roman" w:cs="Times New Roman"/>
                <w:sz w:val="17"/>
                <w:szCs w:val="17"/>
              </w:rPr>
              <w:t>d50</w:t>
            </w:r>
          </w:p>
        </w:tc>
        <w:tc>
          <w:tcPr>
            <w:tcW w:type="dxa" w:w="2041"/>
          </w:tcPr>
          <w:p>
            <w:pPr>
              <w:spacing w:after="0" w:line="240" w:lineRule="auto"/>
            </w:pPr>
            <w:r>
              <w:rPr>
                <w:rFonts w:ascii="Times New Roman" w:hAnsi="Times New Roman" w:cs="Times New Roman"/>
                <w:sz w:val="17"/>
                <w:szCs w:val="17"/>
              </w:rPr>
              <w:t>4 本 / 20 m / 50°</w:t>
            </w:r>
          </w:p>
        </w:tc>
        <w:tc>
          <w:tcPr>
            <w:tcW w:type="dxa" w:w="1020"/>
          </w:tcPr>
          <w:p>
            <w:pPr>
              <w:spacing w:after="0" w:line="240" w:lineRule="auto"/>
              <w:jc w:val="right"/>
            </w:pPr>
            <w:r>
              <w:rPr>
                <w:rFonts w:ascii="Times New Roman" w:hAnsi="Times New Roman" w:cs="Times New Roman"/>
                <w:sz w:val="17"/>
                <w:szCs w:val="17"/>
              </w:rPr>
              <w:t>8</w:t>
            </w:r>
          </w:p>
        </w:tc>
        <w:tc>
          <w:tcPr>
            <w:tcW w:type="dxa" w:w="1134"/>
          </w:tcPr>
          <w:p>
            <w:pPr>
              <w:spacing w:after="0" w:line="240" w:lineRule="auto"/>
              <w:jc w:val="right"/>
            </w:pPr>
            <w:r>
              <w:rPr>
                <w:rFonts w:ascii="Times New Roman" w:hAnsi="Times New Roman" w:cs="Times New Roman"/>
                <w:sz w:val="17"/>
                <w:szCs w:val="17"/>
              </w:rPr>
              <w:t>0.147</w:t>
            </w:r>
          </w:p>
        </w:tc>
        <w:tc>
          <w:tcPr>
            <w:tcW w:type="dxa" w:w="1474"/>
          </w:tcPr>
          <w:p>
            <w:pPr>
              <w:spacing w:after="0" w:line="240" w:lineRule="auto"/>
              <w:jc w:val="right"/>
            </w:pPr>
            <w:r>
              <w:rPr>
                <w:rFonts w:ascii="Times New Roman" w:hAnsi="Times New Roman" w:cs="Times New Roman"/>
                <w:sz w:val="17"/>
                <w:szCs w:val="17"/>
              </w:rPr>
              <w:t>24,739</w:t>
            </w:r>
          </w:p>
        </w:tc>
        <w:tc>
          <w:tcPr>
            <w:tcW w:type="dxa" w:w="1247"/>
          </w:tcPr>
          <w:p>
            <w:pPr>
              <w:spacing w:after="0" w:line="240" w:lineRule="auto"/>
              <w:jc w:val="right"/>
            </w:pPr>
            <w:r>
              <w:rPr>
                <w:rFonts w:ascii="Times New Roman" w:hAnsi="Times New Roman" w:cs="Times New Roman"/>
                <w:sz w:val="17"/>
                <w:szCs w:val="17"/>
              </w:rPr>
              <w:t>+1.7%</w:t>
            </w:r>
          </w:p>
        </w:tc>
        <w:tc>
          <w:tcPr>
            <w:tcW w:type="dxa" w:w="680"/>
          </w:tcPr>
          <w:p>
            <w:pPr>
              <w:spacing w:after="0" w:line="240" w:lineRule="auto"/>
              <w:jc w:val="right"/>
            </w:pPr>
            <w:r>
              <w:rPr>
                <w:rFonts w:ascii="Times New Roman" w:hAnsi="Times New Roman" w:cs="Times New Roman"/>
                <w:sz w:val="17"/>
                <w:szCs w:val="17"/>
              </w:rPr>
              <w:t>17</w:t>
            </w:r>
          </w:p>
        </w:tc>
      </w:tr>
      <w:tr>
        <w:tc>
          <w:tcPr>
            <w:tcW w:type="dxa" w:w="1474"/>
          </w:tcPr>
          <w:p>
            <w:pPr>
              <w:spacing w:after="0" w:line="240" w:lineRule="auto"/>
            </w:pPr>
            <w:r>
              <w:rPr>
                <w:rFonts w:ascii="Times New Roman" w:hAnsi="Times New Roman" w:cs="Times New Roman"/>
                <w:sz w:val="17"/>
                <w:szCs w:val="17"/>
              </w:rPr>
              <w:t>d60</w:t>
            </w:r>
          </w:p>
        </w:tc>
        <w:tc>
          <w:tcPr>
            <w:tcW w:type="dxa" w:w="2041"/>
          </w:tcPr>
          <w:p>
            <w:pPr>
              <w:spacing w:after="0" w:line="240" w:lineRule="auto"/>
            </w:pPr>
            <w:r>
              <w:rPr>
                <w:rFonts w:ascii="Times New Roman" w:hAnsi="Times New Roman" w:cs="Times New Roman"/>
                <w:sz w:val="17"/>
                <w:szCs w:val="17"/>
              </w:rPr>
              <w:t>4 本 / 20 m / 60°</w:t>
            </w:r>
          </w:p>
        </w:tc>
        <w:tc>
          <w:tcPr>
            <w:tcW w:type="dxa" w:w="1020"/>
          </w:tcPr>
          <w:p>
            <w:pPr>
              <w:spacing w:after="0" w:line="240" w:lineRule="auto"/>
              <w:jc w:val="right"/>
            </w:pPr>
            <w:r>
              <w:rPr>
                <w:rFonts w:ascii="Times New Roman" w:hAnsi="Times New Roman" w:cs="Times New Roman"/>
                <w:sz w:val="17"/>
                <w:szCs w:val="17"/>
              </w:rPr>
              <w:t>8</w:t>
            </w:r>
          </w:p>
        </w:tc>
        <w:tc>
          <w:tcPr>
            <w:tcW w:type="dxa" w:w="1134"/>
          </w:tcPr>
          <w:p>
            <w:pPr>
              <w:spacing w:after="0" w:line="240" w:lineRule="auto"/>
              <w:jc w:val="right"/>
            </w:pPr>
            <w:r>
              <w:rPr>
                <w:rFonts w:ascii="Times New Roman" w:hAnsi="Times New Roman" w:cs="Times New Roman"/>
                <w:sz w:val="17"/>
                <w:szCs w:val="17"/>
              </w:rPr>
              <w:t>0.159</w:t>
            </w:r>
          </w:p>
        </w:tc>
        <w:tc>
          <w:tcPr>
            <w:tcW w:type="dxa" w:w="1474"/>
          </w:tcPr>
          <w:p>
            <w:pPr>
              <w:spacing w:after="0" w:line="240" w:lineRule="auto"/>
              <w:jc w:val="right"/>
            </w:pPr>
            <w:r>
              <w:rPr>
                <w:rFonts w:ascii="Times New Roman" w:hAnsi="Times New Roman" w:cs="Times New Roman"/>
                <w:sz w:val="17"/>
                <w:szCs w:val="17"/>
              </w:rPr>
              <w:t>30,467</w:t>
            </w:r>
          </w:p>
        </w:tc>
        <w:tc>
          <w:tcPr>
            <w:tcW w:type="dxa" w:w="1247"/>
          </w:tcPr>
          <w:p>
            <w:pPr>
              <w:spacing w:after="0" w:line="240" w:lineRule="auto"/>
              <w:jc w:val="right"/>
            </w:pPr>
            <w:r>
              <w:rPr>
                <w:rFonts w:ascii="Times New Roman" w:hAnsi="Times New Roman" w:cs="Times New Roman"/>
                <w:sz w:val="17"/>
                <w:szCs w:val="17"/>
              </w:rPr>
              <w:t>+13.4%</w:t>
            </w:r>
          </w:p>
        </w:tc>
        <w:tc>
          <w:tcPr>
            <w:tcW w:type="dxa" w:w="680"/>
          </w:tcPr>
          <w:p>
            <w:pPr>
              <w:spacing w:after="0" w:line="240" w:lineRule="auto"/>
              <w:jc w:val="right"/>
            </w:pPr>
            <w:r>
              <w:rPr>
                <w:rFonts w:ascii="Times New Roman" w:hAnsi="Times New Roman" w:cs="Times New Roman"/>
                <w:sz w:val="17"/>
                <w:szCs w:val="17"/>
              </w:rPr>
              <w:t>17</w:t>
            </w:r>
          </w:p>
        </w:tc>
      </w:tr>
      <w:tr>
        <w:tc>
          <w:tcPr>
            <w:tcW w:type="dxa" w:w="1474"/>
          </w:tcPr>
          <w:p>
            <w:pPr>
              <w:spacing w:after="0" w:line="240" w:lineRule="auto"/>
            </w:pPr>
            <w:r>
              <w:rPr>
                <w:rFonts w:ascii="Times New Roman" w:hAnsi="Times New Roman" w:cs="Times New Roman"/>
                <w:sz w:val="17"/>
                <w:szCs w:val="17"/>
              </w:rPr>
              <w:t>直交 D</w:t>
            </w:r>
          </w:p>
        </w:tc>
        <w:tc>
          <w:tcPr>
            <w:tcW w:type="dxa" w:w="2041"/>
          </w:tcPr>
          <w:p>
            <w:pPr>
              <w:spacing w:after="0" w:line="240" w:lineRule="auto"/>
            </w:pPr>
            <w:r>
              <w:rPr>
                <w:rFonts w:ascii="Times New Roman" w:hAnsi="Times New Roman" w:cs="Times New Roman"/>
                <w:sz w:val="17"/>
                <w:szCs w:val="17"/>
              </w:rPr>
              <w:t>4 本 / 15 m / 70°</w:t>
            </w:r>
          </w:p>
        </w:tc>
        <w:tc>
          <w:tcPr>
            <w:tcW w:type="dxa" w:w="1020"/>
          </w:tcPr>
          <w:p>
            <w:pPr>
              <w:spacing w:after="0" w:line="240" w:lineRule="auto"/>
              <w:jc w:val="right"/>
            </w:pPr>
            <w:r>
              <w:rPr>
                <w:rFonts w:ascii="Times New Roman" w:hAnsi="Times New Roman" w:cs="Times New Roman"/>
                <w:sz w:val="17"/>
                <w:szCs w:val="17"/>
              </w:rPr>
              <w:t>8</w:t>
            </w:r>
          </w:p>
        </w:tc>
        <w:tc>
          <w:tcPr>
            <w:tcW w:type="dxa" w:w="1134"/>
          </w:tcPr>
          <w:p>
            <w:pPr>
              <w:spacing w:after="0" w:line="240" w:lineRule="auto"/>
              <w:jc w:val="right"/>
            </w:pPr>
            <w:r>
              <w:rPr>
                <w:rFonts w:ascii="Times New Roman" w:hAnsi="Times New Roman" w:cs="Times New Roman"/>
                <w:sz w:val="17"/>
                <w:szCs w:val="17"/>
              </w:rPr>
              <w:t>0.174</w:t>
            </w:r>
          </w:p>
        </w:tc>
        <w:tc>
          <w:tcPr>
            <w:tcW w:type="dxa" w:w="1474"/>
          </w:tcPr>
          <w:p>
            <w:pPr>
              <w:spacing w:after="0" w:line="240" w:lineRule="auto"/>
              <w:jc w:val="right"/>
            </w:pPr>
            <w:r>
              <w:rPr>
                <w:rFonts w:ascii="Times New Roman" w:hAnsi="Times New Roman" w:cs="Times New Roman"/>
                <w:sz w:val="17"/>
                <w:szCs w:val="17"/>
              </w:rPr>
              <w:t>36,906</w:t>
            </w:r>
          </w:p>
        </w:tc>
        <w:tc>
          <w:tcPr>
            <w:tcW w:type="dxa" w:w="1247"/>
          </w:tcPr>
          <w:p>
            <w:pPr>
              <w:spacing w:after="0" w:line="240" w:lineRule="auto"/>
              <w:jc w:val="right"/>
            </w:pPr>
            <w:r>
              <w:rPr>
                <w:rFonts w:ascii="Times New Roman" w:hAnsi="Times New Roman" w:cs="Times New Roman"/>
                <w:sz w:val="17"/>
                <w:szCs w:val="17"/>
              </w:rPr>
              <w:t>+19.0%</w:t>
            </w:r>
          </w:p>
        </w:tc>
        <w:tc>
          <w:tcPr>
            <w:tcW w:type="dxa" w:w="680"/>
          </w:tcPr>
          <w:p>
            <w:pPr>
              <w:spacing w:after="0" w:line="240" w:lineRule="auto"/>
              <w:jc w:val="right"/>
            </w:pPr>
            <w:r>
              <w:rPr>
                <w:rFonts w:ascii="Times New Roman" w:hAnsi="Times New Roman" w:cs="Times New Roman"/>
                <w:sz w:val="17"/>
                <w:szCs w:val="17"/>
              </w:rPr>
              <w:t>15</w:t>
            </w:r>
          </w:p>
        </w:tc>
      </w:tr>
      <w:tr>
        <w:tc>
          <w:tcPr>
            <w:tcW w:type="dxa" w:w="1474"/>
          </w:tcPr>
          <w:p>
            <w:pPr>
              <w:spacing w:after="0" w:line="240" w:lineRule="auto"/>
            </w:pPr>
            <w:r>
              <w:rPr>
                <w:rFonts w:ascii="Times New Roman" w:hAnsi="Times New Roman" w:cs="Times New Roman"/>
                <w:sz w:val="17"/>
                <w:szCs w:val="17"/>
              </w:rPr>
              <w:t>d70</w:t>
            </w:r>
          </w:p>
        </w:tc>
        <w:tc>
          <w:tcPr>
            <w:tcW w:type="dxa" w:w="2041"/>
          </w:tcPr>
          <w:p>
            <w:pPr>
              <w:spacing w:after="0" w:line="240" w:lineRule="auto"/>
            </w:pPr>
            <w:r>
              <w:rPr>
                <w:rFonts w:ascii="Times New Roman" w:hAnsi="Times New Roman" w:cs="Times New Roman"/>
                <w:sz w:val="17"/>
                <w:szCs w:val="17"/>
              </w:rPr>
              <w:t>4 本 / 20 m / 70°</w:t>
            </w:r>
          </w:p>
        </w:tc>
        <w:tc>
          <w:tcPr>
            <w:tcW w:type="dxa" w:w="1020"/>
          </w:tcPr>
          <w:p>
            <w:pPr>
              <w:spacing w:after="0" w:line="240" w:lineRule="auto"/>
              <w:jc w:val="right"/>
            </w:pPr>
            <w:r>
              <w:rPr>
                <w:rFonts w:ascii="Times New Roman" w:hAnsi="Times New Roman" w:cs="Times New Roman"/>
                <w:sz w:val="17"/>
                <w:szCs w:val="17"/>
              </w:rPr>
              <w:t>8</w:t>
            </w:r>
          </w:p>
        </w:tc>
        <w:tc>
          <w:tcPr>
            <w:tcW w:type="dxa" w:w="1134"/>
          </w:tcPr>
          <w:p>
            <w:pPr>
              <w:spacing w:after="0" w:line="240" w:lineRule="auto"/>
              <w:jc w:val="right"/>
            </w:pPr>
            <w:r>
              <w:rPr>
                <w:rFonts w:ascii="Times New Roman" w:hAnsi="Times New Roman" w:cs="Times New Roman"/>
                <w:sz w:val="17"/>
                <w:szCs w:val="17"/>
              </w:rPr>
              <w:t>0.180</w:t>
            </w:r>
          </w:p>
        </w:tc>
        <w:tc>
          <w:tcPr>
            <w:tcW w:type="dxa" w:w="1474"/>
          </w:tcPr>
          <w:p>
            <w:pPr>
              <w:spacing w:after="0" w:line="240" w:lineRule="auto"/>
              <w:jc w:val="right"/>
            </w:pPr>
            <w:r>
              <w:rPr>
                <w:rFonts w:ascii="Times New Roman" w:hAnsi="Times New Roman" w:cs="Times New Roman"/>
                <w:sz w:val="17"/>
                <w:szCs w:val="17"/>
              </w:rPr>
              <w:t>35,610</w:t>
            </w:r>
          </w:p>
        </w:tc>
        <w:tc>
          <w:tcPr>
            <w:tcW w:type="dxa" w:w="1247"/>
          </w:tcPr>
          <w:p>
            <w:pPr>
              <w:spacing w:after="0" w:line="240" w:lineRule="auto"/>
              <w:jc w:val="right"/>
            </w:pPr>
            <w:r>
              <w:rPr>
                <w:rFonts w:ascii="Times New Roman" w:hAnsi="Times New Roman" w:cs="Times New Roman"/>
                <w:sz w:val="17"/>
                <w:szCs w:val="17"/>
              </w:rPr>
              <w:t>+26.2%</w:t>
            </w:r>
          </w:p>
        </w:tc>
        <w:tc>
          <w:tcPr>
            <w:tcW w:type="dxa" w:w="680"/>
          </w:tcPr>
          <w:p>
            <w:pPr>
              <w:spacing w:after="0" w:line="240" w:lineRule="auto"/>
              <w:jc w:val="right"/>
            </w:pPr>
            <w:r>
              <w:rPr>
                <w:rFonts w:ascii="Times New Roman" w:hAnsi="Times New Roman" w:cs="Times New Roman"/>
                <w:sz w:val="17"/>
                <w:szCs w:val="17"/>
              </w:rPr>
              <w:t>13</w:t>
            </w:r>
          </w:p>
        </w:tc>
      </w:tr>
      <w:tr>
        <w:tc>
          <w:tcPr>
            <w:tcW w:type="dxa" w:w="1474"/>
          </w:tcPr>
          <w:p>
            <w:pPr>
              <w:spacing w:after="0" w:line="240" w:lineRule="auto"/>
            </w:pPr>
            <w:r>
              <w:rPr>
                <w:rFonts w:ascii="Times New Roman" w:hAnsi="Times New Roman" w:cs="Times New Roman"/>
                <w:sz w:val="17"/>
                <w:szCs w:val="17"/>
              </w:rPr>
              <w:t>直交 A</w:t>
            </w:r>
          </w:p>
        </w:tc>
        <w:tc>
          <w:tcPr>
            <w:tcW w:type="dxa" w:w="2041"/>
          </w:tcPr>
          <w:p>
            <w:pPr>
              <w:spacing w:after="0" w:line="240" w:lineRule="auto"/>
            </w:pPr>
            <w:r>
              <w:rPr>
                <w:rFonts w:ascii="Times New Roman" w:hAnsi="Times New Roman" w:cs="Times New Roman"/>
                <w:sz w:val="17"/>
                <w:szCs w:val="17"/>
              </w:rPr>
              <w:t>4 本 / 25 m / 70°</w:t>
            </w:r>
          </w:p>
        </w:tc>
        <w:tc>
          <w:tcPr>
            <w:tcW w:type="dxa" w:w="1020"/>
          </w:tcPr>
          <w:p>
            <w:pPr>
              <w:spacing w:after="0" w:line="240" w:lineRule="auto"/>
              <w:jc w:val="right"/>
            </w:pPr>
            <w:r>
              <w:rPr>
                <w:rFonts w:ascii="Times New Roman" w:hAnsi="Times New Roman" w:cs="Times New Roman"/>
                <w:sz w:val="17"/>
                <w:szCs w:val="17"/>
              </w:rPr>
              <w:t>8</w:t>
            </w:r>
          </w:p>
        </w:tc>
        <w:tc>
          <w:tcPr>
            <w:tcW w:type="dxa" w:w="1134"/>
          </w:tcPr>
          <w:p>
            <w:pPr>
              <w:spacing w:after="0" w:line="240" w:lineRule="auto"/>
              <w:jc w:val="right"/>
            </w:pPr>
            <w:r>
              <w:rPr>
                <w:rFonts w:ascii="Times New Roman" w:hAnsi="Times New Roman" w:cs="Times New Roman"/>
                <w:sz w:val="17"/>
                <w:szCs w:val="17"/>
              </w:rPr>
              <w:t>0.198</w:t>
            </w:r>
          </w:p>
        </w:tc>
        <w:tc>
          <w:tcPr>
            <w:tcW w:type="dxa" w:w="1474"/>
          </w:tcPr>
          <w:p>
            <w:pPr>
              <w:spacing w:after="0" w:line="240" w:lineRule="auto"/>
              <w:jc w:val="right"/>
            </w:pPr>
            <w:r>
              <w:rPr>
                <w:rFonts w:ascii="Times New Roman" w:hAnsi="Times New Roman" w:cs="Times New Roman"/>
                <w:sz w:val="17"/>
                <w:szCs w:val="17"/>
              </w:rPr>
              <w:t>42,931</w:t>
            </w:r>
          </w:p>
        </w:tc>
        <w:tc>
          <w:tcPr>
            <w:tcW w:type="dxa" w:w="1247"/>
          </w:tcPr>
          <w:p>
            <w:pPr>
              <w:spacing w:after="0" w:line="240" w:lineRule="auto"/>
              <w:jc w:val="right"/>
            </w:pPr>
            <w:r>
              <w:rPr>
                <w:rFonts w:ascii="Times New Roman" w:hAnsi="Times New Roman" w:cs="Times New Roman"/>
                <w:sz w:val="17"/>
                <w:szCs w:val="17"/>
              </w:rPr>
              <w:t>+21.7%</w:t>
            </w:r>
          </w:p>
        </w:tc>
        <w:tc>
          <w:tcPr>
            <w:tcW w:type="dxa" w:w="680"/>
          </w:tcPr>
          <w:p>
            <w:pPr>
              <w:spacing w:after="0" w:line="240" w:lineRule="auto"/>
              <w:jc w:val="right"/>
            </w:pPr>
            <w:r>
              <w:rPr>
                <w:rFonts w:ascii="Times New Roman" w:hAnsi="Times New Roman" w:cs="Times New Roman"/>
                <w:sz w:val="17"/>
                <w:szCs w:val="17"/>
              </w:rPr>
              <w:t>17</w:t>
            </w:r>
          </w:p>
        </w:tc>
      </w:tr>
      <w:tr>
        <w:tc>
          <w:tcPr>
            <w:tcW w:type="dxa" w:w="1474"/>
          </w:tcPr>
          <w:p>
            <w:pPr>
              <w:spacing w:after="0" w:line="240" w:lineRule="auto"/>
            </w:pPr>
            <w:r>
              <w:rPr>
                <w:rFonts w:ascii="Times New Roman" w:hAnsi="Times New Roman" w:cs="Times New Roman"/>
                <w:sz w:val="17"/>
                <w:szCs w:val="17"/>
              </w:rPr>
              <w:t>直交 C</w:t>
            </w:r>
          </w:p>
        </w:tc>
        <w:tc>
          <w:tcPr>
            <w:tcW w:type="dxa" w:w="2041"/>
          </w:tcPr>
          <w:p>
            <w:pPr>
              <w:spacing w:after="0" w:line="240" w:lineRule="auto"/>
            </w:pPr>
            <w:r>
              <w:rPr>
                <w:rFonts w:ascii="Times New Roman" w:hAnsi="Times New Roman" w:cs="Times New Roman"/>
                <w:sz w:val="17"/>
                <w:szCs w:val="17"/>
              </w:rPr>
              <w:t>6 本 / 25 m / 70°</w:t>
            </w:r>
          </w:p>
        </w:tc>
        <w:tc>
          <w:tcPr>
            <w:tcW w:type="dxa" w:w="1020"/>
          </w:tcPr>
          <w:p>
            <w:pPr>
              <w:spacing w:after="0" w:line="240" w:lineRule="auto"/>
              <w:jc w:val="right"/>
            </w:pPr>
            <w:r>
              <w:rPr>
                <w:rFonts w:ascii="Times New Roman" w:hAnsi="Times New Roman" w:cs="Times New Roman"/>
                <w:sz w:val="17"/>
                <w:szCs w:val="17"/>
              </w:rPr>
              <w:t>12</w:t>
            </w:r>
          </w:p>
        </w:tc>
        <w:tc>
          <w:tcPr>
            <w:tcW w:type="dxa" w:w="1134"/>
          </w:tcPr>
          <w:p>
            <w:pPr>
              <w:spacing w:after="0" w:line="240" w:lineRule="auto"/>
              <w:jc w:val="right"/>
            </w:pPr>
            <w:r>
              <w:rPr>
                <w:rFonts w:ascii="Times New Roman" w:hAnsi="Times New Roman" w:cs="Times New Roman"/>
                <w:sz w:val="17"/>
                <w:szCs w:val="17"/>
              </w:rPr>
              <w:t>0.284</w:t>
            </w:r>
          </w:p>
        </w:tc>
        <w:tc>
          <w:tcPr>
            <w:tcW w:type="dxa" w:w="1474"/>
          </w:tcPr>
          <w:p>
            <w:pPr>
              <w:spacing w:after="0" w:line="240" w:lineRule="auto"/>
              <w:jc w:val="right"/>
            </w:pPr>
            <w:r>
              <w:rPr>
                <w:rFonts w:ascii="Times New Roman" w:hAnsi="Times New Roman" w:cs="Times New Roman"/>
                <w:sz w:val="17"/>
                <w:szCs w:val="17"/>
              </w:rPr>
              <w:t>57,410</w:t>
            </w:r>
          </w:p>
        </w:tc>
        <w:tc>
          <w:tcPr>
            <w:tcW w:type="dxa" w:w="1247"/>
          </w:tcPr>
          <w:p>
            <w:pPr>
              <w:spacing w:after="0" w:line="240" w:lineRule="auto"/>
              <w:jc w:val="right"/>
            </w:pPr>
            <w:r>
              <w:rPr>
                <w:rFonts w:ascii="Times New Roman" w:hAnsi="Times New Roman" w:cs="Times New Roman"/>
                <w:sz w:val="17"/>
                <w:szCs w:val="17"/>
              </w:rPr>
              <w:t>+16.7%</w:t>
            </w:r>
          </w:p>
        </w:tc>
        <w:tc>
          <w:tcPr>
            <w:tcW w:type="dxa" w:w="680"/>
          </w:tcPr>
          <w:p>
            <w:pPr>
              <w:spacing w:after="0" w:line="240" w:lineRule="auto"/>
              <w:jc w:val="right"/>
            </w:pPr>
            <w:r>
              <w:rPr>
                <w:rFonts w:ascii="Times New Roman" w:hAnsi="Times New Roman" w:cs="Times New Roman"/>
                <w:sz w:val="17"/>
                <w:szCs w:val="17"/>
              </w:rPr>
              <w:t>13</w:t>
            </w:r>
          </w:p>
        </w:tc>
      </w:tr>
      <w:tr>
        <w:tc>
          <w:tcPr>
            <w:tcW w:type="dxa" w:w="1474"/>
          </w:tcPr>
          <w:p>
            <w:pPr>
              <w:spacing w:after="0" w:line="240" w:lineRule="auto"/>
            </w:pPr>
            <w:r>
              <w:rPr>
                <w:rFonts w:ascii="Times New Roman" w:hAnsi="Times New Roman" w:cs="Times New Roman"/>
                <w:sz w:val="17"/>
                <w:szCs w:val="17"/>
              </w:rPr>
              <w:t>d70s10</w:t>
            </w:r>
          </w:p>
        </w:tc>
        <w:tc>
          <w:tcPr>
            <w:tcW w:type="dxa" w:w="2041"/>
          </w:tcPr>
          <w:p>
            <w:pPr>
              <w:spacing w:after="0" w:line="240" w:lineRule="auto"/>
            </w:pPr>
            <w:r>
              <w:rPr>
                <w:rFonts w:ascii="Times New Roman" w:hAnsi="Times New Roman" w:cs="Times New Roman"/>
                <w:sz w:val="17"/>
                <w:szCs w:val="17"/>
              </w:rPr>
              <w:t>4 本 / 10 m / 70°</w:t>
            </w:r>
          </w:p>
        </w:tc>
        <w:tc>
          <w:tcPr>
            <w:tcW w:type="dxa" w:w="1020"/>
          </w:tcPr>
          <w:p>
            <w:pPr>
              <w:spacing w:after="0" w:line="240" w:lineRule="auto"/>
              <w:jc w:val="right"/>
            </w:pPr>
            <w:r>
              <w:rPr>
                <w:rFonts w:ascii="Times New Roman" w:hAnsi="Times New Roman" w:cs="Times New Roman"/>
                <w:sz w:val="17"/>
                <w:szCs w:val="17"/>
              </w:rPr>
              <w:t>8</w:t>
            </w:r>
          </w:p>
        </w:tc>
        <w:tc>
          <w:tcPr>
            <w:tcW w:type="dxa" w:w="1134"/>
          </w:tcPr>
          <w:p>
            <w:pPr>
              <w:spacing w:after="0" w:line="240" w:lineRule="auto"/>
              <w:jc w:val="right"/>
            </w:pPr>
            <w:r>
              <w:rPr>
                <w:rFonts w:ascii="Times New Roman" w:hAnsi="Times New Roman" w:cs="Times New Roman"/>
                <w:sz w:val="17"/>
                <w:szCs w:val="17"/>
              </w:rPr>
              <w:t>0.306</w:t>
            </w:r>
          </w:p>
        </w:tc>
        <w:tc>
          <w:tcPr>
            <w:tcW w:type="dxa" w:w="1474"/>
          </w:tcPr>
          <w:p>
            <w:pPr>
              <w:spacing w:after="0" w:line="240" w:lineRule="auto"/>
              <w:jc w:val="right"/>
            </w:pPr>
            <w:r>
              <w:rPr>
                <w:rFonts w:ascii="Times New Roman" w:hAnsi="Times New Roman" w:cs="Times New Roman"/>
                <w:sz w:val="17"/>
                <w:szCs w:val="17"/>
              </w:rPr>
              <w:t>26,738</w:t>
            </w:r>
          </w:p>
        </w:tc>
        <w:tc>
          <w:tcPr>
            <w:tcW w:type="dxa" w:w="1247"/>
          </w:tcPr>
          <w:p>
            <w:pPr>
              <w:spacing w:after="0" w:line="240" w:lineRule="auto"/>
              <w:jc w:val="right"/>
            </w:pPr>
            <w:r>
              <w:rPr>
                <w:rFonts w:ascii="Times New Roman" w:hAnsi="Times New Roman" w:cs="Times New Roman"/>
                <w:sz w:val="17"/>
                <w:szCs w:val="17"/>
              </w:rPr>
              <w:t>+25.3%</w:t>
            </w:r>
          </w:p>
        </w:tc>
        <w:tc>
          <w:tcPr>
            <w:tcW w:type="dxa" w:w="680"/>
          </w:tcPr>
          <w:p>
            <w:pPr>
              <w:spacing w:after="0" w:line="240" w:lineRule="auto"/>
              <w:jc w:val="right"/>
            </w:pPr>
            <w:r>
              <w:rPr>
                <w:rFonts w:ascii="Times New Roman" w:hAnsi="Times New Roman" w:cs="Times New Roman"/>
                <w:sz w:val="17"/>
                <w:szCs w:val="17"/>
              </w:rPr>
              <w:t>17</w:t>
            </w:r>
          </w:p>
        </w:tc>
      </w:tr>
      <w:tr>
        <w:tc>
          <w:tcPr>
            <w:tcW w:type="dxa" w:w="1474"/>
          </w:tcPr>
          <w:p>
            <w:pPr>
              <w:spacing w:after="0" w:line="240" w:lineRule="auto"/>
            </w:pPr>
            <w:r>
              <w:rPr>
                <w:rFonts w:ascii="Times New Roman" w:hAnsi="Times New Roman" w:cs="Times New Roman"/>
                <w:sz w:val="17"/>
                <w:szCs w:val="17"/>
              </w:rPr>
              <w:t>直交 B</w:t>
            </w:r>
          </w:p>
        </w:tc>
        <w:tc>
          <w:tcPr>
            <w:tcW w:type="dxa" w:w="2041"/>
          </w:tcPr>
          <w:p>
            <w:pPr>
              <w:spacing w:after="0" w:line="240" w:lineRule="auto"/>
            </w:pPr>
            <w:r>
              <w:rPr>
                <w:rFonts w:ascii="Times New Roman" w:hAnsi="Times New Roman" w:cs="Times New Roman"/>
                <w:sz w:val="17"/>
                <w:szCs w:val="17"/>
              </w:rPr>
              <w:t>6 本 / 15 m / 70°</w:t>
            </w:r>
          </w:p>
        </w:tc>
        <w:tc>
          <w:tcPr>
            <w:tcW w:type="dxa" w:w="1020"/>
          </w:tcPr>
          <w:p>
            <w:pPr>
              <w:spacing w:after="0" w:line="240" w:lineRule="auto"/>
              <w:jc w:val="right"/>
            </w:pPr>
            <w:r>
              <w:rPr>
                <w:rFonts w:ascii="Times New Roman" w:hAnsi="Times New Roman" w:cs="Times New Roman"/>
                <w:sz w:val="17"/>
                <w:szCs w:val="17"/>
              </w:rPr>
              <w:t>12</w:t>
            </w:r>
          </w:p>
        </w:tc>
        <w:tc>
          <w:tcPr>
            <w:tcW w:type="dxa" w:w="1134"/>
          </w:tcPr>
          <w:p>
            <w:pPr>
              <w:spacing w:after="0" w:line="240" w:lineRule="auto"/>
              <w:jc w:val="right"/>
            </w:pPr>
            <w:r>
              <w:rPr>
                <w:rFonts w:ascii="Times New Roman" w:hAnsi="Times New Roman" w:cs="Times New Roman"/>
                <w:sz w:val="17"/>
                <w:szCs w:val="17"/>
              </w:rPr>
              <w:t>0.769</w:t>
            </w:r>
          </w:p>
        </w:tc>
        <w:tc>
          <w:tcPr>
            <w:tcW w:type="dxa" w:w="1474"/>
          </w:tcPr>
          <w:p>
            <w:pPr>
              <w:spacing w:after="0" w:line="240" w:lineRule="auto"/>
              <w:jc w:val="right"/>
            </w:pPr>
            <w:r>
              <w:rPr>
                <w:rFonts w:ascii="Times New Roman" w:hAnsi="Times New Roman" w:cs="Times New Roman"/>
                <w:sz w:val="17"/>
                <w:szCs w:val="17"/>
              </w:rPr>
              <w:t>59,876</w:t>
            </w:r>
          </w:p>
        </w:tc>
        <w:tc>
          <w:tcPr>
            <w:tcW w:type="dxa" w:w="1247"/>
          </w:tcPr>
          <w:p>
            <w:pPr>
              <w:spacing w:after="0" w:line="240" w:lineRule="auto"/>
              <w:jc w:val="right"/>
            </w:pPr>
            <w:r>
              <w:rPr>
                <w:rFonts w:ascii="Times New Roman" w:hAnsi="Times New Roman" w:cs="Times New Roman"/>
                <w:sz w:val="17"/>
                <w:szCs w:val="17"/>
              </w:rPr>
              <w:t>+19.4%</w:t>
            </w:r>
          </w:p>
        </w:tc>
        <w:tc>
          <w:tcPr>
            <w:tcW w:type="dxa" w:w="680"/>
          </w:tcPr>
          <w:p>
            <w:pPr>
              <w:spacing w:after="0" w:line="240" w:lineRule="auto"/>
              <w:jc w:val="right"/>
            </w:pPr>
            <w:r>
              <w:rPr>
                <w:rFonts w:ascii="Times New Roman" w:hAnsi="Times New Roman" w:cs="Times New Roman"/>
                <w:sz w:val="17"/>
                <w:szCs w:val="17"/>
              </w:rPr>
              <w:t>13</w:t>
            </w:r>
          </w:p>
        </w:tc>
      </w:tr>
    </w:tbl>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カバレッジは受動接続（assoc_hold）の総配信量で代表させた．天井は平均どうしの比であり，走行ごと相対差の平均（表 A1 の oracle の行）とは定義もデータセットも異なる．選択余地率は記録した真値からの実測値（解析計算値ではない）．交通条件は全条件で共通だが N は条件ごとに異なる．「直交」の 4 条件が今回追加したもので，δ_rsu は 70° に固定してある．本表の 9 条件は付録 B の不具合を修正する前に取得したもので，各条件 20 走行のうち読み込めた走行のみを集計している．また d60 と d70s10 では，記録内の基地局番号と RSU の対応が走行間で同一かどうかを判定できていない（対応が割れている証拠は無い）．</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付録 B：評価から外れた走行について</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以前は，基地局のスポーン要求が並列実行時に無言で失敗し，その走行が配信量ゼロのまま「正常終了」することがあった（前回の評価では記録 20 走行のうち 7 走行）．静的エンティティをワールド SDF に直接書き込む方式に変更して解消済みであり，今回の 50 走行では配信量ゼロの走行は出ていない．表 A5 の 9 条件はこの修正前の測定である．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今回評価に載らなかった 2 走行（seed_37345，seed_50345）は，いずれもシム時刻 62 秒付近で走行が打ち切られており（正常な走行は約 78 秒），記録ファイルの末尾が書き込みの途中で切れていたため読み込めなかった．記録は全手法が共有するので，この脱落は手法の優劣に対して選択的ではない．また走行長が他と異なるため，読み込めたとしても対比較には載せられない．</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付録 C：地図が接続可否を正しく判定できるか（前回からの再掲）</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本文の主張は，地図が「その相手に今つないだら送れるか」を当てられることに依存する．これを，記録した真値を答え合わせに用いて測った（5 走行，接続可能標本 6.6%）．前回資料から取り直していないが，本評価と同じ学習済み地図による測定である．</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表 C1　地図の判定精度（再掲）</w:t>
      </w:r>
    </w:p>
    <w:tbl>
      <w:tblPr>
        <w:tblStyle w:val="af4"/>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tcPr>
          <w:p>
            <w:pPr>
              <w:spacing w:after="0" w:line="240" w:lineRule="auto"/>
              <w:jc w:val="center"/>
            </w:pPr>
            <w:r>
              <w:rPr>
                <w:rFonts w:ascii="Times New Roman" w:hAnsi="Times New Roman" w:cs="Times New Roman"/>
                <w:b/>
                <w:bCs/>
                <w:sz w:val="17"/>
                <w:szCs w:val="17"/>
              </w:rPr>
              <w:t>取りこぼし率</w:t>
            </w:r>
          </w:p>
        </w:tc>
        <w:tc>
          <w:tcPr>
            <w:tcW w:type="dxa" w:w="1928"/>
          </w:tcPr>
          <w:p>
            <w:pPr>
              <w:spacing w:after="0" w:line="240" w:lineRule="auto"/>
              <w:jc w:val="center"/>
            </w:pPr>
            <w:r>
              <w:rPr>
                <w:rFonts w:ascii="Times New Roman" w:hAnsi="Times New Roman" w:cs="Times New Roman"/>
                <w:b/>
                <w:bCs/>
                <w:sz w:val="17"/>
                <w:szCs w:val="17"/>
              </w:rPr>
              <w:t>幻リンク率</w:t>
            </w:r>
          </w:p>
        </w:tc>
        <w:tc>
          <w:tcPr>
            <w:tcW w:type="dxa" w:w="1928"/>
          </w:tcPr>
          <w:p>
            <w:pPr>
              <w:spacing w:after="0" w:line="240" w:lineRule="auto"/>
              <w:jc w:val="center"/>
            </w:pPr>
            <w:r>
              <w:rPr>
                <w:rFonts w:ascii="Times New Roman" w:hAnsi="Times New Roman" w:cs="Times New Roman"/>
                <w:b/>
                <w:bCs/>
                <w:sz w:val="17"/>
                <w:szCs w:val="17"/>
              </w:rPr>
              <w:t>バイアス</w:t>
            </w:r>
          </w:p>
        </w:tc>
        <w:tc>
          <w:tcPr>
            <w:tcW w:type="dxa" w:w="1928"/>
          </w:tcPr>
          <w:p>
            <w:pPr>
              <w:spacing w:after="0" w:line="240" w:lineRule="auto"/>
              <w:jc w:val="center"/>
            </w:pPr>
            <w:r>
              <w:rPr>
                <w:rFonts w:ascii="Times New Roman" w:hAnsi="Times New Roman" w:cs="Times New Roman"/>
                <w:b/>
                <w:bCs/>
                <w:sz w:val="17"/>
                <w:szCs w:val="17"/>
              </w:rPr>
              <w:t>RMSE</w:t>
            </w:r>
          </w:p>
        </w:tc>
        <w:tc>
          <w:tcPr>
            <w:tcW w:type="dxa" w:w="1928"/>
          </w:tcPr>
          <w:p>
            <w:pPr>
              <w:spacing w:after="0" w:line="240" w:lineRule="auto"/>
              <w:jc w:val="center"/>
            </w:pPr>
            <w:r>
              <w:rPr>
                <w:rFonts w:ascii="Times New Roman" w:hAnsi="Times New Roman" w:cs="Times New Roman"/>
                <w:b/>
                <w:bCs/>
                <w:sz w:val="17"/>
                <w:szCs w:val="17"/>
              </w:rPr>
              <w:t>z の標準偏差</w:t>
            </w:r>
          </w:p>
        </w:tc>
      </w:tr>
      <w:tr>
        <w:tc>
          <w:tcPr>
            <w:tcW w:type="dxa" w:w="1928"/>
          </w:tcPr>
          <w:p>
            <w:pPr>
              <w:spacing w:after="0" w:line="240" w:lineRule="auto"/>
              <w:jc w:val="right"/>
            </w:pPr>
            <w:r>
              <w:rPr>
                <w:rFonts w:ascii="Times New Roman" w:hAnsi="Times New Roman" w:cs="Times New Roman"/>
                <w:sz w:val="17"/>
                <w:szCs w:val="17"/>
              </w:rPr>
              <w:t>7.3%</w:t>
            </w:r>
          </w:p>
        </w:tc>
        <w:tc>
          <w:tcPr>
            <w:tcW w:type="dxa" w:w="1928"/>
          </w:tcPr>
          <w:p>
            <w:pPr>
              <w:spacing w:after="0" w:line="240" w:lineRule="auto"/>
              <w:jc w:val="right"/>
            </w:pPr>
            <w:r>
              <w:rPr>
                <w:rFonts w:ascii="Times New Roman" w:hAnsi="Times New Roman" w:cs="Times New Roman"/>
                <w:sz w:val="17"/>
                <w:szCs w:val="17"/>
              </w:rPr>
              <w:t>0.71%</w:t>
            </w:r>
          </w:p>
        </w:tc>
        <w:tc>
          <w:tcPr>
            <w:tcW w:type="dxa" w:w="1928"/>
          </w:tcPr>
          <w:p>
            <w:pPr>
              <w:spacing w:after="0" w:line="240" w:lineRule="auto"/>
              <w:jc w:val="right"/>
            </w:pPr>
            <w:r>
              <w:rPr>
                <w:rFonts w:ascii="Times New Roman" w:hAnsi="Times New Roman" w:cs="Times New Roman"/>
                <w:sz w:val="17"/>
                <w:szCs w:val="17"/>
              </w:rPr>
              <w:t>-1.00 dB</w:t>
            </w:r>
          </w:p>
        </w:tc>
        <w:tc>
          <w:tcPr>
            <w:tcW w:type="dxa" w:w="1928"/>
          </w:tcPr>
          <w:p>
            <w:pPr>
              <w:spacing w:after="0" w:line="240" w:lineRule="auto"/>
              <w:jc w:val="right"/>
            </w:pPr>
            <w:r>
              <w:rPr>
                <w:rFonts w:ascii="Times New Roman" w:hAnsi="Times New Roman" w:cs="Times New Roman"/>
                <w:sz w:val="17"/>
                <w:szCs w:val="17"/>
              </w:rPr>
              <w:t>5.63 dB</w:t>
            </w:r>
          </w:p>
        </w:tc>
        <w:tc>
          <w:tcPr>
            <w:tcW w:type="dxa" w:w="1928"/>
          </w:tcPr>
          <w:p>
            <w:pPr>
              <w:spacing w:after="0" w:line="240" w:lineRule="auto"/>
              <w:jc w:val="right"/>
            </w:pPr>
            <w:r>
              <w:rPr>
                <w:rFonts w:ascii="Times New Roman" w:hAnsi="Times New Roman" w:cs="Times New Roman"/>
                <w:sz w:val="17"/>
                <w:szCs w:val="17"/>
              </w:rPr>
              <w:t>1.03</w:t>
            </w:r>
          </w:p>
        </w:tc>
      </w:tr>
    </w:tbl>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取りこぼし = 真に接続可能なのに地図が接続不可と判定した割合，幻リンクはその逆．バイアスと RMSE は接続可能な標本での予測誤差．z =（予測値 − 真値）/σ で，標準偏差 1.0 なら地図が申告する不確かさ σ が実際の誤差の大きさと合っていることを意味する．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取りこぼし 7.3%・幻リンク 0.71%・バイアス -1.0 dB であり，地図は接続可否をおおむね正しく判定できている．なお σ は LCB に使うが，その寄与は本文のとおり利得の 0.8% にとどまるため，主張を支えているのは主に接続可否の判定精度である．</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付録 D：再現手順</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本評価は Docker コンテナ内で，/workspace を作業ディレクトリとして実行した（イメージ ros2-gazebo-comms-sim:humble-harmonic，ROS 2 Humble，Gazebo Sim 8.11.0，Python 3.10.12）．以下はすべてコンテナ内で実行する．</w:t>
      </w:r>
    </w:p>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① コードを揃える： feat/urban-2lane の 789996b を checkout する（本評価に用いたシミュレータ・シナリオ・ツールを含む）．記録と学習の sweep 設定，および図表の生成スクリプトは ef7b8b7 に含まれる．記録した時点の作業差分は sim_results/rec_d70_n50/sweep/config/workspace.patch に残してあり，これを 755fe3d に当てた状態と 789996b とで，挙動に関わる 4 ファイル（TxControllerPlugin.cc，sim_launch.py，replay_sim.py，replay_sweep.py）が一致することを確認済みである．シナリオと sweep 設定は記録時のスナップショットも sim_results/rec_d70_n50/sweep/config/ に scenario.yaml・sweep.yaml・sim_params_base.yaml として残っており，照合に使える．</w:t>
      </w:r>
    </w:p>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② 地図を学習する： python3 tools/sim.py learn --scenario config/scenarios/urban_cm_d70.yaml --name urban_cm_d70_learn --runs 30 --base-seed 512345 → sim_results/urban_cm_d70_learn/rem_state．直列実行で約 59 分（1 走行あたり約 2 分）．</w:t>
      </w:r>
    </w:p>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③ 走行を記録する： python3 tools/sweep_sim.py --sweep-config scratch/record_d70_n50.yaml → sim_results/rec_d70_n50/seed_*．並列度は sweep 設定の max_concurrency: 8，実時間倍率 2.0 で約 1 時間 40 分．出力は約 13 GB（50 走行分の軌跡と全ペア受信電力）．並列度を変えると走行あたりの計算資源が変わるため，脱落の起こりやすさも変わりうる．</w:t>
      </w:r>
    </w:p>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④ 全手法を再生する： python3 tools/replay_sweep.py sim_results/rec_d70_n50 --state-dir sim_results/urban_cm_d70_learn/rem_state --out sim_results/abl_d70_n50 --jobs 8 --baseline assoc_hold．出力は約 3.7 MB．</w:t>
      </w:r>
    </w:p>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⑤ 本資料の図表を作る： python3 scratch/make_investigation_figs.py および python3 scratch/make_investigation_docx.py．図の描画には日本語フォントが要る（コンテナに CJK フォントが無い場合は NotoSansCJK-Regular.ttc を /usr/share/fonts に置く．手順はスクリプトの冒頭に記載）．文書生成は書式の雛形として scratch/seminar/2026_08_04_KKFSystem.docx を読む．図のファイル名（fig2_runs.png = 図2，fig3_time.png = 図3）は図番号に対応させてある．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再現の水準は 2 段階に分かれる．③ の記録は Gazebo の実時間スケジューリングに依存するためビット一致では再現せず，同一シード列からの再実行が統計的に同一の分布を与えるにとどまる．これに対し ④ 以降は記録を入力とする決定論的な計算であり，記録が同じであれば本資料の数値は完全に一致する（第 2 章で 1 走行について確認した）．</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したがって，記録一式（約 13 GB）と学習済み地図（644 KB）があれば，図1 と図3〜図5，表 A1・A3・A4 は第三者が完全に検証できる．ただし表 A2 は前回の記録（sim_results/rec_cm_d70_ablation），表 A5 は 9 条件それぞれの集計（choice_margin_summary.csv，confound_summary.csv），付録 C は較正監査の出力（sim_results/audit_d70）を別に必要とする．これらを含めない配布では，本資料の一部の表は再計算できない．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残る制約はデータの配布である．コードと設定の版は確定したが，記録一式は約 13 GB あり，リポジトリには含めていない（sim_results/ は版管理の対象外）．第三者が ④ 以降だけを検証する場合は，記録一式と学習済み地図を別途受け渡す必要がある．</w:t>
      </w:r>
    </w:p>
    <w:sectPr w:rsidR="007849BD" w:rsidRPr="0082569D" w:rsidSect="005F2643">
      <w:headerReference w:type="default" r:id="rId11"/>
      <w:pgSz w:w="11906" w:h="16838"/>
      <w:pgMar w:top="1418" w:right="1134" w:bottom="1418" w:left="1134" w:header="1418" w:footer="992" w:gutter="0"/>
      <w:paperSrc w:first="263" w:other="263"/>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C2E8" w14:textId="77777777" w:rsidR="00B212B9" w:rsidRDefault="00B212B9">
      <w:r>
        <w:separator/>
      </w:r>
    </w:p>
  </w:endnote>
  <w:endnote w:type="continuationSeparator" w:id="0">
    <w:p w14:paraId="07E2650A" w14:textId="77777777" w:rsidR="00B212B9" w:rsidRDefault="00B212B9">
      <w:r>
        <w:continuationSeparator/>
      </w:r>
    </w:p>
  </w:endnote>
  <w:endnote w:type="continuationNotice" w:id="1">
    <w:p w14:paraId="39888A14" w14:textId="77777777" w:rsidR="00B212B9" w:rsidRDefault="00B212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A1716" w14:textId="77777777" w:rsidR="00B212B9" w:rsidRDefault="00B212B9">
      <w:r>
        <w:separator/>
      </w:r>
    </w:p>
  </w:footnote>
  <w:footnote w:type="continuationSeparator" w:id="0">
    <w:p w14:paraId="5A076AAF" w14:textId="77777777" w:rsidR="00B212B9" w:rsidRDefault="00B212B9">
      <w:r>
        <w:continuationSeparator/>
      </w:r>
    </w:p>
  </w:footnote>
  <w:footnote w:type="continuationNotice" w:id="1">
    <w:p w14:paraId="086DA48F" w14:textId="77777777" w:rsidR="00B212B9" w:rsidRDefault="00B212B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2012" w14:textId="3C9692C9" w:rsidR="00885C13" w:rsidRPr="004C7FDF" w:rsidRDefault="00DD67F2">
    <w:pPr>
      <w:pStyle w:val="a4"/>
      <w:tabs>
        <w:tab w:val="clear" w:pos="4252"/>
        <w:tab w:val="clear" w:pos="8504"/>
        <w:tab w:val="center" w:pos="3420"/>
        <w:tab w:val="left" w:pos="7560"/>
        <w:tab w:val="center" w:pos="8280"/>
      </w:tabs>
      <w:spacing w:line="240" w:lineRule="auto"/>
      <w:rPr>
        <w:u w:val="single"/>
      </w:rPr>
    </w:pPr>
    <w:r>
      <w:tab/>
    </w:r>
    <w:r w:rsidR="00B75AF1" w:rsidRPr="007F5382">
      <w:rPr>
        <w:rFonts w:hint="eastAsia"/>
        <w:noProof/>
        <w:sz w:val="21"/>
      </w:rPr>
      <w:object w:dxaOrig="5785" w:dyaOrig="301" w14:anchorId="2C2083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9.25pt;height:15.05pt;mso-width-percent:0;mso-height-percent:0;mso-width-percent:0;mso-height-percent:0" fillcolor="window">
          <v:imagedata r:id="rId1" o:title=""/>
        </v:shape>
        <o:OLEObject Type="Embed" ProgID="Unknown" ShapeID="_x0000_i1025" DrawAspect="Content" ObjectID="_1847268442" r:id="rId2">
          <o:FieldCodes>\s</o:FieldCodes>
        </o:OLEObject>
      </w:object>
    </w:r>
    <w:r>
      <w:tab/>
    </w:r>
    <w:r>
      <w:rPr>
        <w:rFonts w:ascii="ＭＳ 明朝"/>
        <w:sz w:val="28"/>
        <w:u w:val="single"/>
      </w:rPr>
      <w:t>No.</w:t>
    </w:r>
    <w:r w:rsidR="004C7FDF" w:rsidRPr="004C7FDF">
      <w:rPr>
        <w:rFonts w:ascii="ＭＳ 明朝"/>
        <w:sz w:val="28"/>
        <w:u w:val="single"/>
      </w:rPr>
      <w:t xml:space="preserve"> </w:t>
    </w:r>
    <w:r w:rsidR="004C7FDF" w:rsidRPr="00FE21CC">
      <w:rPr>
        <w:rFonts w:ascii="ＭＳ 明朝"/>
        <w:sz w:val="28"/>
        <w:u w:val="single"/>
      </w:rPr>
      <w:fldChar w:fldCharType="begin"/>
    </w:r>
    <w:r w:rsidR="004C7FDF" w:rsidRPr="00FE21CC">
      <w:rPr>
        <w:rFonts w:ascii="ＭＳ 明朝" w:hint="eastAsia"/>
        <w:sz w:val="28"/>
        <w:u w:val="single"/>
      </w:rPr>
      <w:instrText xml:space="preserve"> =</w:instrText>
    </w:r>
    <w:r w:rsidR="004C7FDF" w:rsidRPr="00FE21CC">
      <w:rPr>
        <w:rStyle w:val="a6"/>
        <w:u w:val="single"/>
      </w:rPr>
      <w:fldChar w:fldCharType="begin"/>
    </w:r>
    <w:r w:rsidR="004C7FDF" w:rsidRPr="00FE21CC">
      <w:rPr>
        <w:rStyle w:val="a6"/>
        <w:u w:val="single"/>
      </w:rPr>
      <w:instrText xml:space="preserve"> PAGE </w:instrText>
    </w:r>
    <w:r w:rsidR="004C7FDF" w:rsidRPr="00FE21CC">
      <w:rPr>
        <w:rStyle w:val="a6"/>
        <w:u w:val="single"/>
      </w:rPr>
      <w:fldChar w:fldCharType="separate"/>
    </w:r>
    <w:r w:rsidR="00A25B60">
      <w:rPr>
        <w:rStyle w:val="a6"/>
        <w:noProof/>
        <w:u w:val="single"/>
      </w:rPr>
      <w:instrText>1</w:instrText>
    </w:r>
    <w:r w:rsidR="004C7FDF" w:rsidRPr="00FE21CC">
      <w:rPr>
        <w:rStyle w:val="a6"/>
        <w:u w:val="single"/>
      </w:rPr>
      <w:fldChar w:fldCharType="end"/>
    </w:r>
    <w:r w:rsidR="004C7FDF" w:rsidRPr="00FE21CC">
      <w:rPr>
        <w:rStyle w:val="a6"/>
        <w:rFonts w:hint="eastAsia"/>
        <w:u w:val="single"/>
      </w:rPr>
      <w:instrText>+</w:instrText>
    </w:r>
    <w:r w:rsidR="00785C98">
      <w:rPr>
        <w:rStyle w:val="a6"/>
        <w:rFonts w:hint="eastAsia"/>
        <w:u w:val="single"/>
      </w:rPr>
      <w:instrText>0</w:instrText>
    </w:r>
    <w:r w:rsidR="004C7FDF" w:rsidRPr="00FE21CC">
      <w:rPr>
        <w:rFonts w:ascii="ＭＳ 明朝"/>
        <w:sz w:val="28"/>
        <w:u w:val="single"/>
      </w:rPr>
      <w:fldChar w:fldCharType="separate"/>
    </w:r>
    <w:r w:rsidR="00A25B60">
      <w:rPr>
        <w:rFonts w:ascii="ＭＳ 明朝"/>
        <w:noProof/>
        <w:sz w:val="28"/>
        <w:u w:val="single"/>
      </w:rPr>
      <w:t>1</w:t>
    </w:r>
    <w:r w:rsidR="004C7FDF" w:rsidRPr="00FE21CC">
      <w:rPr>
        <w:rFonts w:ascii="ＭＳ 明朝"/>
        <w:sz w:val="28"/>
        <w:u w:val="single"/>
      </w:rPr>
      <w:fldChar w:fldCharType="end"/>
    </w:r>
  </w:p>
  <w:p w14:paraId="1EC71234" w14:textId="77777777" w:rsidR="00DD67F2" w:rsidRDefault="00DD67F2">
    <w:pPr>
      <w:pStyle w:val="a4"/>
      <w:tabs>
        <w:tab w:val="clear" w:pos="4252"/>
        <w:tab w:val="clear" w:pos="8504"/>
      </w:tabs>
      <w:spacing w:line="100" w:lineRule="exact"/>
    </w:pPr>
  </w:p>
  <w:tbl>
    <w:tblPr>
      <w:tblW w:w="0" w:type="auto"/>
      <w:tblInd w:w="1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4035"/>
      <w:gridCol w:w="2595"/>
      <w:gridCol w:w="1485"/>
      <w:gridCol w:w="1515"/>
    </w:tblGrid>
    <w:tr w:rsidR="00DD67F2" w14:paraId="49D0B2F0" w14:textId="77777777">
      <w:trPr>
        <w:trHeight w:val="435"/>
      </w:trPr>
      <w:tc>
        <w:tcPr>
          <w:tcW w:w="6630" w:type="dxa"/>
          <w:gridSpan w:val="2"/>
          <w:vAlign w:val="center"/>
        </w:tcPr>
        <w:p w14:paraId="56120538"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TITLE</w:t>
          </w:r>
        </w:p>
        <w:p w14:paraId="0C5F1541" w14:textId="192BD8C5" w:rsidR="00DD67F2" w:rsidRPr="00D16DC8" w:rsidRDefault="00D16DC8">
          <w:pPr>
            <w:pStyle w:val="a4"/>
            <w:tabs>
              <w:tab w:val="clear" w:pos="4252"/>
              <w:tab w:val="clear" w:pos="8504"/>
            </w:tabs>
            <w:spacing w:line="240" w:lineRule="auto"/>
            <w:jc w:val="center"/>
            <w:rPr>
              <w:rFonts w:asciiTheme="minorEastAsia" w:eastAsiaTheme="minorEastAsia" w:hAnsiTheme="minorEastAsia"/>
            </w:rPr>
          </w:pPr>
          <w:r w:rsidRPr="00D16DC8">
            <w:rPr>
              <w:rFonts w:asciiTheme="minorEastAsia" w:eastAsiaTheme="minorEastAsia" w:hAnsiTheme="minorEastAsia" w:hint="eastAsia"/>
            </w:rPr>
            <w:t>ゼ　ミ</w:t>
          </w:r>
        </w:p>
      </w:tc>
      <w:tc>
        <w:tcPr>
          <w:tcW w:w="1485" w:type="dxa"/>
          <w:vAlign w:val="center"/>
        </w:tcPr>
        <w:p w14:paraId="36BF2546"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REPORT No.</w:t>
          </w:r>
        </w:p>
        <w:p w14:paraId="5E05ACEB" w14:textId="31F0307A" w:rsidR="00DD67F2" w:rsidRPr="00B13FA2" w:rsidRDefault="00DD67F2" w:rsidP="008805E3">
          <w:pPr>
            <w:pStyle w:val="a4"/>
            <w:tabs>
              <w:tab w:val="clear" w:pos="4252"/>
              <w:tab w:val="clear" w:pos="8504"/>
            </w:tabs>
            <w:spacing w:line="240" w:lineRule="auto"/>
            <w:jc w:val="center"/>
            <w:rPr>
              <w:rFonts w:ascii="Times New Roman" w:eastAsia="ＭＳ ゴシック" w:hAnsi="Times New Roman"/>
            </w:rPr>
          </w:pPr>
        </w:p>
      </w:tc>
      <w:tc>
        <w:tcPr>
          <w:tcW w:w="1515" w:type="dxa"/>
          <w:vAlign w:val="center"/>
        </w:tcPr>
        <w:p w14:paraId="1AC79FF2"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TOTAL PAGES</w:t>
          </w:r>
        </w:p>
        <w:p w14:paraId="774FC1F4" w14:textId="456AD8DA" w:rsidR="00DD67F2" w:rsidRDefault="00DD67F2">
          <w:pPr>
            <w:pStyle w:val="a4"/>
            <w:tabs>
              <w:tab w:val="clear" w:pos="4252"/>
              <w:tab w:val="clear" w:pos="8504"/>
            </w:tabs>
            <w:spacing w:line="240" w:lineRule="auto"/>
            <w:jc w:val="center"/>
            <w:rPr>
              <w:rFonts w:ascii="ＭＳ ゴシック" w:eastAsia="ＭＳ ゴシック"/>
            </w:rPr>
          </w:pPr>
        </w:p>
      </w:tc>
    </w:tr>
    <w:tr w:rsidR="00DD67F2" w14:paraId="3CF2C70D" w14:textId="77777777">
      <w:trPr>
        <w:trHeight w:val="435"/>
      </w:trPr>
      <w:tc>
        <w:tcPr>
          <w:tcW w:w="4035" w:type="dxa"/>
          <w:vAlign w:val="center"/>
        </w:tcPr>
        <w:p w14:paraId="666D806B"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AUTHOR(S)</w:t>
          </w:r>
        </w:p>
        <w:p w14:paraId="11E483E8" w14:textId="38719828" w:rsidR="00DD67F2" w:rsidRPr="00B13FA2" w:rsidRDefault="00C21166" w:rsidP="002D1171">
          <w:pPr>
            <w:pStyle w:val="a4"/>
            <w:tabs>
              <w:tab w:val="clear" w:pos="4252"/>
              <w:tab w:val="clear" w:pos="8504"/>
            </w:tabs>
            <w:spacing w:line="240" w:lineRule="auto"/>
            <w:jc w:val="center"/>
            <w:rPr>
              <w:rFonts w:ascii="ＭＳ 明朝" w:hAnsi="ＭＳ 明朝"/>
            </w:rPr>
          </w:pPr>
          <w:r>
            <w:rPr>
              <w:rFonts w:ascii="ＭＳ 明朝" w:hAnsi="ＭＳ 明朝" w:hint="eastAsia"/>
            </w:rPr>
            <w:t>八木</w:t>
          </w:r>
          <w:r w:rsidR="00FF3C05">
            <w:rPr>
              <w:rFonts w:ascii="ＭＳ 明朝" w:hAnsi="ＭＳ 明朝"/>
            </w:rPr>
            <w:t xml:space="preserve">　</w:t>
          </w:r>
          <w:r>
            <w:rPr>
              <w:rFonts w:ascii="ＭＳ 明朝" w:hAnsi="ＭＳ 明朝" w:hint="eastAsia"/>
            </w:rPr>
            <w:t>隼平</w:t>
          </w:r>
        </w:p>
      </w:tc>
      <w:tc>
        <w:tcPr>
          <w:tcW w:w="2595" w:type="dxa"/>
          <w:vAlign w:val="center"/>
        </w:tcPr>
        <w:p w14:paraId="06A51880" w14:textId="77777777" w:rsidR="00DD67F2" w:rsidRDefault="00DD67F2">
          <w:pPr>
            <w:pStyle w:val="a4"/>
            <w:tabs>
              <w:tab w:val="clear" w:pos="4252"/>
              <w:tab w:val="clear" w:pos="8504"/>
            </w:tabs>
            <w:spacing w:line="240" w:lineRule="auto"/>
            <w:rPr>
              <w:rFonts w:ascii="ＭＳ ゴシック" w:eastAsia="ＭＳ ゴシック"/>
              <w:sz w:val="10"/>
            </w:rPr>
          </w:pPr>
          <w:r>
            <w:rPr>
              <w:rFonts w:ascii="ＭＳ ゴシック" w:eastAsia="ＭＳ ゴシック"/>
              <w:sz w:val="10"/>
            </w:rPr>
            <w:t>POSITION</w:t>
          </w:r>
        </w:p>
        <w:p w14:paraId="06A9A957" w14:textId="37AEF238" w:rsidR="00DD67F2" w:rsidRDefault="00A25B60">
          <w:pPr>
            <w:pStyle w:val="a4"/>
            <w:tabs>
              <w:tab w:val="clear" w:pos="4252"/>
              <w:tab w:val="clear" w:pos="8504"/>
            </w:tabs>
            <w:spacing w:line="240" w:lineRule="auto"/>
            <w:jc w:val="center"/>
            <w:rPr>
              <w:rFonts w:ascii="ＭＳ ゴシック" w:eastAsia="ＭＳ ゴシック"/>
            </w:rPr>
          </w:pPr>
          <w:r>
            <w:rPr>
              <w:rFonts w:hint="eastAsia"/>
              <w:sz w:val="28"/>
            </w:rPr>
            <w:t>M</w:t>
          </w:r>
          <w:r w:rsidR="00DD67F2">
            <w:rPr>
              <w:rFonts w:hint="eastAsia"/>
              <w:sz w:val="28"/>
            </w:rPr>
            <w:t>－</w:t>
          </w:r>
          <w:r>
            <w:rPr>
              <w:rFonts w:hint="eastAsia"/>
              <w:sz w:val="28"/>
            </w:rPr>
            <w:t>2</w:t>
          </w:r>
        </w:p>
      </w:tc>
      <w:tc>
        <w:tcPr>
          <w:tcW w:w="3000" w:type="dxa"/>
          <w:gridSpan w:val="2"/>
          <w:vAlign w:val="center"/>
        </w:tcPr>
        <w:p w14:paraId="35D222FB" w14:textId="77777777" w:rsidR="00DD67F2" w:rsidRDefault="00DD67F2">
          <w:pPr>
            <w:pStyle w:val="a4"/>
            <w:tabs>
              <w:tab w:val="clear" w:pos="4252"/>
              <w:tab w:val="clear" w:pos="8504"/>
            </w:tabs>
            <w:spacing w:line="240" w:lineRule="auto"/>
            <w:rPr>
              <w:rFonts w:ascii="ＭＳ ゴシック" w:eastAsia="ＭＳ ゴシック"/>
              <w:sz w:val="10"/>
            </w:rPr>
          </w:pPr>
          <w:r>
            <w:rPr>
              <w:rFonts w:ascii="ＭＳ ゴシック" w:eastAsia="ＭＳ ゴシック"/>
              <w:sz w:val="10"/>
            </w:rPr>
            <w:t>DATE</w:t>
          </w:r>
        </w:p>
        <w:p w14:paraId="5994CFBF" w14:textId="2D06E678" w:rsidR="009E3D47" w:rsidRPr="009E3D47" w:rsidRDefault="009E3D47" w:rsidP="00D2771D">
          <w:pPr>
            <w:pStyle w:val="a4"/>
            <w:tabs>
              <w:tab w:val="clear" w:pos="4252"/>
              <w:tab w:val="clear" w:pos="8504"/>
            </w:tabs>
            <w:spacing w:line="240" w:lineRule="auto"/>
            <w:jc w:val="center"/>
            <w:rPr>
              <w:rFonts w:ascii="Times New Roman" w:eastAsia="ＭＳ ゴシック" w:hAnsi="Times New Roman"/>
              <w:szCs w:val="21"/>
            </w:rPr>
          </w:pPr>
        </w:p>
      </w:tc>
    </w:tr>
  </w:tbl>
  <w:p w14:paraId="48CB1071" w14:textId="77777777" w:rsidR="00DD67F2" w:rsidRDefault="00DD67F2">
    <w:pPr>
      <w:pStyle w:val="a4"/>
      <w:tabs>
        <w:tab w:val="clear" w:pos="4252"/>
        <w:tab w:val="clear" w:pos="8504"/>
      </w:tabs>
      <w:spacing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2488C2"/>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9EC636E"/>
    <w:multiLevelType w:val="hybridMultilevel"/>
    <w:tmpl w:val="FA1CB052"/>
    <w:lvl w:ilvl="0" w:tplc="E654B57E">
      <w:start w:val="1"/>
      <w:numFmt w:val="decimal"/>
      <w:lvlText w:val="2.%1."/>
      <w:lvlJc w:val="left"/>
      <w:pPr>
        <w:ind w:left="420" w:hanging="420"/>
      </w:pPr>
      <w:rPr>
        <w:rFonts w:hint="eastAsia"/>
        <w:b/>
        <w:i w:val="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CD7158"/>
    <w:multiLevelType w:val="multilevel"/>
    <w:tmpl w:val="077A3194"/>
    <w:styleLink w:val="1"/>
    <w:lvl w:ilvl="0">
      <w:start w:val="1"/>
      <w:numFmt w:val="decimal"/>
      <w:lvlText w:val="2.%1."/>
      <w:lvlJc w:val="left"/>
      <w:pPr>
        <w:ind w:left="420" w:hanging="420"/>
      </w:pPr>
      <w:rPr>
        <w:rFonts w:hint="eastAsia"/>
        <w:b/>
        <w:i w:val="0"/>
        <w:u w:val="none"/>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 w15:restartNumberingAfterBreak="0">
    <w:nsid w:val="0C611E31"/>
    <w:multiLevelType w:val="hybridMultilevel"/>
    <w:tmpl w:val="78861AE8"/>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677EDD"/>
    <w:multiLevelType w:val="hybridMultilevel"/>
    <w:tmpl w:val="5384518C"/>
    <w:lvl w:ilvl="0" w:tplc="9432C048">
      <w:start w:val="1"/>
      <w:numFmt w:val="decimal"/>
      <w:lvlText w:val="2.%1."/>
      <w:lvlJc w:val="left"/>
      <w:pPr>
        <w:ind w:left="440" w:hanging="440"/>
      </w:pPr>
      <w:rPr>
        <w:rFonts w:hint="eastAsia"/>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2B024DE"/>
    <w:multiLevelType w:val="multilevel"/>
    <w:tmpl w:val="0466F934"/>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2BD1E32"/>
    <w:multiLevelType w:val="hybridMultilevel"/>
    <w:tmpl w:val="6FCA1FFA"/>
    <w:lvl w:ilvl="0" w:tplc="FCCE32A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CE0AB8"/>
    <w:multiLevelType w:val="hybridMultilevel"/>
    <w:tmpl w:val="C9E2598C"/>
    <w:lvl w:ilvl="0" w:tplc="6D7494CA">
      <w:numFmt w:val="decimal"/>
      <w:lvlText w:val=""/>
      <w:lvlJc w:val="left"/>
      <w:pPr>
        <w:tabs>
          <w:tab w:val="num" w:pos="1920"/>
        </w:tabs>
      </w:pPr>
      <w:rPr>
        <w:rFonts w:hint="default"/>
      </w:rPr>
    </w:lvl>
    <w:lvl w:ilvl="1" w:tplc="04090017" w:tentative="1">
      <w:start w:val="1"/>
      <w:numFmt w:val="aiueoFullWidth"/>
      <w:lvlText w:val="(%2)"/>
      <w:lvlJc w:val="left"/>
      <w:pPr>
        <w:tabs>
          <w:tab w:val="num" w:pos="2400"/>
        </w:tabs>
        <w:ind w:left="2400" w:hanging="420"/>
      </w:pPr>
    </w:lvl>
    <w:lvl w:ilvl="2" w:tplc="04090011" w:tentative="1">
      <w:start w:val="1"/>
      <w:numFmt w:val="decimalEnclosedCircle"/>
      <w:lvlText w:val="%3"/>
      <w:lvlJc w:val="left"/>
      <w:pPr>
        <w:tabs>
          <w:tab w:val="num" w:pos="2820"/>
        </w:tabs>
        <w:ind w:left="2820" w:hanging="420"/>
      </w:pPr>
    </w:lvl>
    <w:lvl w:ilvl="3" w:tplc="0409000F" w:tentative="1">
      <w:start w:val="1"/>
      <w:numFmt w:val="decimal"/>
      <w:lvlText w:val="%4."/>
      <w:lvlJc w:val="left"/>
      <w:pPr>
        <w:tabs>
          <w:tab w:val="num" w:pos="3240"/>
        </w:tabs>
        <w:ind w:left="3240" w:hanging="420"/>
      </w:pPr>
    </w:lvl>
    <w:lvl w:ilvl="4" w:tplc="04090017" w:tentative="1">
      <w:start w:val="1"/>
      <w:numFmt w:val="aiueoFullWidth"/>
      <w:lvlText w:val="(%5)"/>
      <w:lvlJc w:val="left"/>
      <w:pPr>
        <w:tabs>
          <w:tab w:val="num" w:pos="3660"/>
        </w:tabs>
        <w:ind w:left="3660" w:hanging="420"/>
      </w:pPr>
    </w:lvl>
    <w:lvl w:ilvl="5" w:tplc="04090011" w:tentative="1">
      <w:start w:val="1"/>
      <w:numFmt w:val="decimalEnclosedCircle"/>
      <w:lvlText w:val="%6"/>
      <w:lvlJc w:val="left"/>
      <w:pPr>
        <w:tabs>
          <w:tab w:val="num" w:pos="4080"/>
        </w:tabs>
        <w:ind w:left="4080" w:hanging="420"/>
      </w:pPr>
    </w:lvl>
    <w:lvl w:ilvl="6" w:tplc="0409000F" w:tentative="1">
      <w:start w:val="1"/>
      <w:numFmt w:val="decimal"/>
      <w:lvlText w:val="%7."/>
      <w:lvlJc w:val="left"/>
      <w:pPr>
        <w:tabs>
          <w:tab w:val="num" w:pos="4500"/>
        </w:tabs>
        <w:ind w:left="4500" w:hanging="420"/>
      </w:pPr>
    </w:lvl>
    <w:lvl w:ilvl="7" w:tplc="04090017" w:tentative="1">
      <w:start w:val="1"/>
      <w:numFmt w:val="aiueoFullWidth"/>
      <w:lvlText w:val="(%8)"/>
      <w:lvlJc w:val="left"/>
      <w:pPr>
        <w:tabs>
          <w:tab w:val="num" w:pos="4920"/>
        </w:tabs>
        <w:ind w:left="4920" w:hanging="420"/>
      </w:pPr>
    </w:lvl>
    <w:lvl w:ilvl="8" w:tplc="04090011" w:tentative="1">
      <w:start w:val="1"/>
      <w:numFmt w:val="decimalEnclosedCircle"/>
      <w:lvlText w:val="%9"/>
      <w:lvlJc w:val="left"/>
      <w:pPr>
        <w:tabs>
          <w:tab w:val="num" w:pos="5340"/>
        </w:tabs>
        <w:ind w:left="5340" w:hanging="420"/>
      </w:pPr>
    </w:lvl>
  </w:abstractNum>
  <w:abstractNum w:abstractNumId="8" w15:restartNumberingAfterBreak="0">
    <w:nsid w:val="172520A0"/>
    <w:multiLevelType w:val="hybridMultilevel"/>
    <w:tmpl w:val="85CA09BA"/>
    <w:lvl w:ilvl="0" w:tplc="1E7A760E">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9521EDB"/>
    <w:multiLevelType w:val="hybridMultilevel"/>
    <w:tmpl w:val="037628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C120DE1"/>
    <w:multiLevelType w:val="hybridMultilevel"/>
    <w:tmpl w:val="4C8017F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5F67915"/>
    <w:multiLevelType w:val="hybridMultilevel"/>
    <w:tmpl w:val="96B2A96C"/>
    <w:lvl w:ilvl="0" w:tplc="E5544FF4">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2BF05F1C"/>
    <w:multiLevelType w:val="multilevel"/>
    <w:tmpl w:val="F6E6756C"/>
    <w:lvl w:ilvl="0">
      <w:start w:val="2"/>
      <w:numFmt w:val="decimalFullWidth"/>
      <w:lvlText w:val="%1"/>
      <w:lvlJc w:val="left"/>
      <w:pPr>
        <w:tabs>
          <w:tab w:val="num" w:pos="855"/>
        </w:tabs>
        <w:ind w:left="855" w:hanging="855"/>
      </w:pPr>
      <w:rPr>
        <w:rFonts w:hint="default"/>
      </w:rPr>
    </w:lvl>
    <w:lvl w:ilvl="1">
      <w:start w:val="3"/>
      <w:numFmt w:val="decimalFullWidth"/>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C76748C"/>
    <w:multiLevelType w:val="hybridMultilevel"/>
    <w:tmpl w:val="379854A0"/>
    <w:lvl w:ilvl="0" w:tplc="03C84AA2">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pacing w:val="0"/>
        <w:sz w:val="21"/>
        <w:szCs w:val="21"/>
      </w:rPr>
    </w:lvl>
    <w:lvl w:ilvl="1" w:tplc="04090017">
      <w:start w:val="1"/>
      <w:numFmt w:val="aiueoFullWidth"/>
      <w:lvlText w:val="(%2)"/>
      <w:lvlJc w:val="left"/>
      <w:pPr>
        <w:ind w:left="840" w:hanging="420"/>
      </w:pPr>
      <w:rPr>
        <w:rFonts w:cs="Times New Roman"/>
      </w:rPr>
    </w:lvl>
    <w:lvl w:ilvl="2" w:tplc="04090011">
      <w:start w:val="1"/>
      <w:numFmt w:val="decimalEnclosedCircle"/>
      <w:lvlText w:val="%3"/>
      <w:lvlJc w:val="left"/>
      <w:pPr>
        <w:ind w:left="1260" w:hanging="420"/>
      </w:pPr>
      <w:rPr>
        <w:rFonts w:cs="Times New Roman"/>
      </w:rPr>
    </w:lvl>
    <w:lvl w:ilvl="3" w:tplc="0409000F">
      <w:start w:val="1"/>
      <w:numFmt w:val="decimal"/>
      <w:lvlText w:val="%4."/>
      <w:lvlJc w:val="left"/>
      <w:pPr>
        <w:ind w:left="1680" w:hanging="420"/>
      </w:pPr>
      <w:rPr>
        <w:rFonts w:cs="Times New Roman"/>
      </w:rPr>
    </w:lvl>
    <w:lvl w:ilvl="4" w:tplc="04090017">
      <w:start w:val="1"/>
      <w:numFmt w:val="aiueoFullWidth"/>
      <w:lvlText w:val="(%5)"/>
      <w:lvlJc w:val="left"/>
      <w:pPr>
        <w:ind w:left="2100" w:hanging="420"/>
      </w:pPr>
      <w:rPr>
        <w:rFonts w:cs="Times New Roman"/>
      </w:rPr>
    </w:lvl>
    <w:lvl w:ilvl="5" w:tplc="04090011">
      <w:start w:val="1"/>
      <w:numFmt w:val="decimalEnclosedCircle"/>
      <w:lvlText w:val="%6"/>
      <w:lvlJc w:val="left"/>
      <w:pPr>
        <w:ind w:left="2520" w:hanging="420"/>
      </w:pPr>
      <w:rPr>
        <w:rFonts w:cs="Times New Roman"/>
      </w:rPr>
    </w:lvl>
    <w:lvl w:ilvl="6" w:tplc="0409000F">
      <w:start w:val="1"/>
      <w:numFmt w:val="decimal"/>
      <w:lvlText w:val="%7."/>
      <w:lvlJc w:val="left"/>
      <w:pPr>
        <w:ind w:left="2940" w:hanging="420"/>
      </w:pPr>
      <w:rPr>
        <w:rFonts w:cs="Times New Roman"/>
      </w:rPr>
    </w:lvl>
    <w:lvl w:ilvl="7" w:tplc="04090017">
      <w:start w:val="1"/>
      <w:numFmt w:val="aiueoFullWidth"/>
      <w:lvlText w:val="(%8)"/>
      <w:lvlJc w:val="left"/>
      <w:pPr>
        <w:ind w:left="3360" w:hanging="420"/>
      </w:pPr>
      <w:rPr>
        <w:rFonts w:cs="Times New Roman"/>
      </w:rPr>
    </w:lvl>
    <w:lvl w:ilvl="8" w:tplc="04090011">
      <w:start w:val="1"/>
      <w:numFmt w:val="decimalEnclosedCircle"/>
      <w:lvlText w:val="%9"/>
      <w:lvlJc w:val="left"/>
      <w:pPr>
        <w:ind w:left="3780" w:hanging="420"/>
      </w:pPr>
      <w:rPr>
        <w:rFonts w:cs="Times New Roman"/>
      </w:rPr>
    </w:lvl>
  </w:abstractNum>
  <w:abstractNum w:abstractNumId="14" w15:restartNumberingAfterBreak="0">
    <w:nsid w:val="31095A82"/>
    <w:multiLevelType w:val="hybridMultilevel"/>
    <w:tmpl w:val="79B22E5A"/>
    <w:lvl w:ilvl="0" w:tplc="147AEE66">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31E01E7D"/>
    <w:multiLevelType w:val="multilevel"/>
    <w:tmpl w:val="3A6A81DC"/>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343C135A"/>
    <w:multiLevelType w:val="hybridMultilevel"/>
    <w:tmpl w:val="C4604D0A"/>
    <w:lvl w:ilvl="0" w:tplc="C2C80908">
      <w:start w:val="2"/>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6BF6A50"/>
    <w:multiLevelType w:val="hybridMultilevel"/>
    <w:tmpl w:val="A3FA22C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E8421DD"/>
    <w:multiLevelType w:val="hybridMultilevel"/>
    <w:tmpl w:val="12162FE2"/>
    <w:lvl w:ilvl="0" w:tplc="2DF8E6E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436D6549"/>
    <w:multiLevelType w:val="hybridMultilevel"/>
    <w:tmpl w:val="012C33A8"/>
    <w:lvl w:ilvl="0" w:tplc="AFD03B22">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43EC07B9"/>
    <w:multiLevelType w:val="hybridMultilevel"/>
    <w:tmpl w:val="3708880A"/>
    <w:lvl w:ilvl="0" w:tplc="A2760D7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47677645"/>
    <w:multiLevelType w:val="hybridMultilevel"/>
    <w:tmpl w:val="8B2C8268"/>
    <w:lvl w:ilvl="0" w:tplc="467C758E">
      <w:start w:val="1"/>
      <w:numFmt w:val="decimal"/>
      <w:lvlText w:val="(%1)"/>
      <w:lvlJc w:val="left"/>
      <w:pPr>
        <w:ind w:left="440" w:hanging="440"/>
      </w:pPr>
      <w:rPr>
        <w:rFonts w:hint="eastAsia"/>
      </w:rPr>
    </w:lvl>
    <w:lvl w:ilvl="1" w:tplc="3ED01A9C">
      <w:start w:val="1"/>
      <w:numFmt w:val="decimalEnclosedCircle"/>
      <w:lvlText w:val="%2"/>
      <w:lvlJc w:val="left"/>
      <w:pPr>
        <w:ind w:left="36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C92457A"/>
    <w:multiLevelType w:val="hybridMultilevel"/>
    <w:tmpl w:val="B81459F2"/>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53815273"/>
    <w:multiLevelType w:val="hybridMultilevel"/>
    <w:tmpl w:val="9B3E48AC"/>
    <w:lvl w:ilvl="0" w:tplc="275C57DA">
      <w:start w:val="1"/>
      <w:numFmt w:val="decimal"/>
      <w:lvlText w:val="2.1.%1."/>
      <w:lvlJc w:val="left"/>
      <w:pPr>
        <w:ind w:left="420" w:hanging="420"/>
      </w:pPr>
      <w:rPr>
        <w:rFonts w:hint="eastAsia"/>
        <w:b/>
        <w:i w:val="0"/>
        <w:u w:val="none"/>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4" w15:restartNumberingAfterBreak="0">
    <w:nsid w:val="55C65081"/>
    <w:multiLevelType w:val="hybridMultilevel"/>
    <w:tmpl w:val="C4604D0A"/>
    <w:lvl w:ilvl="0" w:tplc="FFFFFFFF">
      <w:start w:val="2"/>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5" w15:restartNumberingAfterBreak="0">
    <w:nsid w:val="598505C2"/>
    <w:multiLevelType w:val="multilevel"/>
    <w:tmpl w:val="6BE8336E"/>
    <w:lvl w:ilvl="0">
      <w:start w:val="1"/>
      <w:numFmt w:val="decimal"/>
      <w:lvlText w:val="[%1]"/>
      <w:lvlJc w:val="left"/>
      <w:pPr>
        <w:ind w:left="440" w:hanging="44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5B3719BA"/>
    <w:multiLevelType w:val="hybridMultilevel"/>
    <w:tmpl w:val="7488E2DC"/>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D8C0B44"/>
    <w:multiLevelType w:val="hybridMultilevel"/>
    <w:tmpl w:val="B81459F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5F5F06B9"/>
    <w:multiLevelType w:val="hybridMultilevel"/>
    <w:tmpl w:val="8272CE2E"/>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15:restartNumberingAfterBreak="0">
    <w:nsid w:val="6281488D"/>
    <w:multiLevelType w:val="hybridMultilevel"/>
    <w:tmpl w:val="084212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62CA223D"/>
    <w:multiLevelType w:val="hybridMultilevel"/>
    <w:tmpl w:val="077A3194"/>
    <w:lvl w:ilvl="0" w:tplc="E654B57E">
      <w:start w:val="1"/>
      <w:numFmt w:val="decimal"/>
      <w:lvlText w:val="2.%1."/>
      <w:lvlJc w:val="left"/>
      <w:pPr>
        <w:ind w:left="420" w:hanging="420"/>
      </w:pPr>
      <w:rPr>
        <w:rFonts w:hint="eastAsia"/>
        <w:b/>
        <w:i w:val="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4B36B93"/>
    <w:multiLevelType w:val="hybridMultilevel"/>
    <w:tmpl w:val="803C0416"/>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8822043"/>
    <w:multiLevelType w:val="hybridMultilevel"/>
    <w:tmpl w:val="E3DAD9E0"/>
    <w:lvl w:ilvl="0" w:tplc="C9E8787E">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69646006"/>
    <w:multiLevelType w:val="hybridMultilevel"/>
    <w:tmpl w:val="FFECC86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6A1448BD"/>
    <w:multiLevelType w:val="multilevel"/>
    <w:tmpl w:val="0466F934"/>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7D1D06E1"/>
    <w:multiLevelType w:val="hybridMultilevel"/>
    <w:tmpl w:val="D3CA7B7E"/>
    <w:lvl w:ilvl="0" w:tplc="E654B57E">
      <w:start w:val="1"/>
      <w:numFmt w:val="decimal"/>
      <w:lvlText w:val="2.%1."/>
      <w:lvlJc w:val="left"/>
      <w:pPr>
        <w:ind w:left="840" w:hanging="420"/>
      </w:pPr>
      <w:rPr>
        <w:rFonts w:hint="eastAsia"/>
        <w:b/>
        <w:i w:val="0"/>
        <w:u w:val="none"/>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15:restartNumberingAfterBreak="0">
    <w:nsid w:val="7E6B29FE"/>
    <w:multiLevelType w:val="hybridMultilevel"/>
    <w:tmpl w:val="E558E07E"/>
    <w:lvl w:ilvl="0" w:tplc="5BB22E06">
      <w:start w:val="1"/>
      <w:numFmt w:val="decimalFullWidth"/>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585257544">
    <w:abstractNumId w:val="32"/>
  </w:num>
  <w:num w:numId="2" w16cid:durableId="135609027">
    <w:abstractNumId w:val="8"/>
  </w:num>
  <w:num w:numId="3" w16cid:durableId="1323390522">
    <w:abstractNumId w:val="19"/>
  </w:num>
  <w:num w:numId="4" w16cid:durableId="1145198763">
    <w:abstractNumId w:val="14"/>
  </w:num>
  <w:num w:numId="5" w16cid:durableId="1711611741">
    <w:abstractNumId w:val="20"/>
  </w:num>
  <w:num w:numId="6" w16cid:durableId="1978560216">
    <w:abstractNumId w:val="11"/>
  </w:num>
  <w:num w:numId="7" w16cid:durableId="269316753">
    <w:abstractNumId w:val="7"/>
  </w:num>
  <w:num w:numId="8" w16cid:durableId="2063558996">
    <w:abstractNumId w:val="12"/>
  </w:num>
  <w:num w:numId="9" w16cid:durableId="1381049826">
    <w:abstractNumId w:val="13"/>
  </w:num>
  <w:num w:numId="10" w16cid:durableId="704797508">
    <w:abstractNumId w:val="13"/>
    <w:lvlOverride w:ilvl="0">
      <w:startOverride w:val="1"/>
    </w:lvlOverride>
  </w:num>
  <w:num w:numId="11" w16cid:durableId="60908490">
    <w:abstractNumId w:val="36"/>
  </w:num>
  <w:num w:numId="12" w16cid:durableId="2049602409">
    <w:abstractNumId w:val="18"/>
  </w:num>
  <w:num w:numId="13" w16cid:durableId="1974752262">
    <w:abstractNumId w:val="15"/>
  </w:num>
  <w:num w:numId="14" w16cid:durableId="136846622">
    <w:abstractNumId w:val="34"/>
  </w:num>
  <w:num w:numId="15" w16cid:durableId="737215546">
    <w:abstractNumId w:val="29"/>
  </w:num>
  <w:num w:numId="16" w16cid:durableId="1273324214">
    <w:abstractNumId w:val="9"/>
  </w:num>
  <w:num w:numId="17" w16cid:durableId="2052261185">
    <w:abstractNumId w:val="17"/>
  </w:num>
  <w:num w:numId="18" w16cid:durableId="423307188">
    <w:abstractNumId w:val="33"/>
  </w:num>
  <w:num w:numId="19" w16cid:durableId="679158229">
    <w:abstractNumId w:val="30"/>
  </w:num>
  <w:num w:numId="20" w16cid:durableId="1771508420">
    <w:abstractNumId w:val="2"/>
  </w:num>
  <w:num w:numId="21" w16cid:durableId="486551222">
    <w:abstractNumId w:val="23"/>
  </w:num>
  <w:num w:numId="22" w16cid:durableId="667443619">
    <w:abstractNumId w:val="0"/>
  </w:num>
  <w:num w:numId="23" w16cid:durableId="790055715">
    <w:abstractNumId w:val="16"/>
  </w:num>
  <w:num w:numId="24" w16cid:durableId="1372267002">
    <w:abstractNumId w:val="24"/>
  </w:num>
  <w:num w:numId="25" w16cid:durableId="1808156374">
    <w:abstractNumId w:val="35"/>
  </w:num>
  <w:num w:numId="26" w16cid:durableId="1230843739">
    <w:abstractNumId w:val="1"/>
  </w:num>
  <w:num w:numId="27" w16cid:durableId="205063770">
    <w:abstractNumId w:val="26"/>
  </w:num>
  <w:num w:numId="28" w16cid:durableId="568923572">
    <w:abstractNumId w:val="3"/>
  </w:num>
  <w:num w:numId="29" w16cid:durableId="613437372">
    <w:abstractNumId w:val="6"/>
  </w:num>
  <w:num w:numId="30" w16cid:durableId="822817018">
    <w:abstractNumId w:val="31"/>
  </w:num>
  <w:num w:numId="31" w16cid:durableId="1996182391">
    <w:abstractNumId w:val="28"/>
  </w:num>
  <w:num w:numId="32" w16cid:durableId="96993918">
    <w:abstractNumId w:val="27"/>
  </w:num>
  <w:num w:numId="33" w16cid:durableId="731386148">
    <w:abstractNumId w:val="22"/>
  </w:num>
  <w:num w:numId="34" w16cid:durableId="157616392">
    <w:abstractNumId w:val="5"/>
  </w:num>
  <w:num w:numId="35" w16cid:durableId="1273511049">
    <w:abstractNumId w:val="4"/>
  </w:num>
  <w:num w:numId="36" w16cid:durableId="260727331">
    <w:abstractNumId w:val="10"/>
  </w:num>
  <w:num w:numId="37" w16cid:durableId="88082443">
    <w:abstractNumId w:val="25"/>
  </w:num>
  <w:num w:numId="38" w16cid:durableId="17059050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40"/>
  <w:doNotHyphenateCaps/>
  <w:drawingGridHorizontalSpacing w:val="170"/>
  <w:drawingGridVerticalSpacing w:val="170"/>
  <w:characterSpacingControl w:val="compressPunctuation"/>
  <w:noLineBreaksAfter w:lang="ja-JP" w:val="$([\{‘“〈《「『【〔＄（［｛｢￡￥"/>
  <w:noLineBreaksBefore w:lang="ja-JP" w:val="!%),.:;?]}°’”‰′″℃、。々〉》」』】〕゛゜ゝゞ・ヽヾ！％），．：；？］｝｡｣､･ﾞﾟ￠"/>
  <w:hdrShapeDefaults>
    <o:shapedefaults v:ext="edit" spidmax="2050" fillcolor="white">
      <v:fill color="white"/>
      <v:textbox inset="0,0,0,0"/>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Lay" w:val="YES"/>
    <w:docVar w:name="ValidCPLLPP" w:val="0"/>
    <w:docVar w:name="ViewGrid" w:val="0"/>
  </w:docVars>
  <w:rsids>
    <w:rsidRoot w:val="00260AB8"/>
    <w:rsid w:val="0000309F"/>
    <w:rsid w:val="000074BB"/>
    <w:rsid w:val="000107BA"/>
    <w:rsid w:val="000143E6"/>
    <w:rsid w:val="000153DA"/>
    <w:rsid w:val="00016B1D"/>
    <w:rsid w:val="0001755A"/>
    <w:rsid w:val="00020913"/>
    <w:rsid w:val="00020DE2"/>
    <w:rsid w:val="000228F0"/>
    <w:rsid w:val="00022B50"/>
    <w:rsid w:val="0002661E"/>
    <w:rsid w:val="00027203"/>
    <w:rsid w:val="00027618"/>
    <w:rsid w:val="00027755"/>
    <w:rsid w:val="00027873"/>
    <w:rsid w:val="0003052C"/>
    <w:rsid w:val="00030E18"/>
    <w:rsid w:val="0003242F"/>
    <w:rsid w:val="00032634"/>
    <w:rsid w:val="00033450"/>
    <w:rsid w:val="0003460B"/>
    <w:rsid w:val="000354D1"/>
    <w:rsid w:val="00037CDD"/>
    <w:rsid w:val="000414D7"/>
    <w:rsid w:val="00041DF2"/>
    <w:rsid w:val="00043837"/>
    <w:rsid w:val="00050420"/>
    <w:rsid w:val="00050F3B"/>
    <w:rsid w:val="00052C6C"/>
    <w:rsid w:val="00054ABC"/>
    <w:rsid w:val="0005577F"/>
    <w:rsid w:val="00056B9B"/>
    <w:rsid w:val="00056CC8"/>
    <w:rsid w:val="00057B78"/>
    <w:rsid w:val="00060AA8"/>
    <w:rsid w:val="000624BD"/>
    <w:rsid w:val="000659D5"/>
    <w:rsid w:val="000660B0"/>
    <w:rsid w:val="000668DB"/>
    <w:rsid w:val="00066EFD"/>
    <w:rsid w:val="00066F4B"/>
    <w:rsid w:val="000671F1"/>
    <w:rsid w:val="00070596"/>
    <w:rsid w:val="00070FCF"/>
    <w:rsid w:val="00071048"/>
    <w:rsid w:val="00072DF1"/>
    <w:rsid w:val="000735B0"/>
    <w:rsid w:val="0007419A"/>
    <w:rsid w:val="0007607C"/>
    <w:rsid w:val="00082E51"/>
    <w:rsid w:val="00085661"/>
    <w:rsid w:val="00085881"/>
    <w:rsid w:val="00085F32"/>
    <w:rsid w:val="000861D6"/>
    <w:rsid w:val="00090E46"/>
    <w:rsid w:val="00092CD5"/>
    <w:rsid w:val="0009374C"/>
    <w:rsid w:val="00093ADC"/>
    <w:rsid w:val="00094F70"/>
    <w:rsid w:val="00095E08"/>
    <w:rsid w:val="00097CAB"/>
    <w:rsid w:val="000A04B0"/>
    <w:rsid w:val="000A0BF4"/>
    <w:rsid w:val="000A0BFF"/>
    <w:rsid w:val="000A1737"/>
    <w:rsid w:val="000A2D9C"/>
    <w:rsid w:val="000A2F9B"/>
    <w:rsid w:val="000A3EFE"/>
    <w:rsid w:val="000A4ECA"/>
    <w:rsid w:val="000A5BB7"/>
    <w:rsid w:val="000A5F4E"/>
    <w:rsid w:val="000A60B0"/>
    <w:rsid w:val="000A6680"/>
    <w:rsid w:val="000A70B8"/>
    <w:rsid w:val="000A77B7"/>
    <w:rsid w:val="000B2361"/>
    <w:rsid w:val="000B2978"/>
    <w:rsid w:val="000B39E0"/>
    <w:rsid w:val="000B3D09"/>
    <w:rsid w:val="000B3E56"/>
    <w:rsid w:val="000B5F83"/>
    <w:rsid w:val="000C0575"/>
    <w:rsid w:val="000C0BCE"/>
    <w:rsid w:val="000C1844"/>
    <w:rsid w:val="000C242F"/>
    <w:rsid w:val="000C582C"/>
    <w:rsid w:val="000C7630"/>
    <w:rsid w:val="000D00C2"/>
    <w:rsid w:val="000D0BE0"/>
    <w:rsid w:val="000D1F75"/>
    <w:rsid w:val="000D2097"/>
    <w:rsid w:val="000D245B"/>
    <w:rsid w:val="000D3E9B"/>
    <w:rsid w:val="000D4F06"/>
    <w:rsid w:val="000D5115"/>
    <w:rsid w:val="000D5A44"/>
    <w:rsid w:val="000D69A6"/>
    <w:rsid w:val="000D6B60"/>
    <w:rsid w:val="000D7A97"/>
    <w:rsid w:val="000E0C78"/>
    <w:rsid w:val="000E1AD2"/>
    <w:rsid w:val="000E209F"/>
    <w:rsid w:val="000E3D73"/>
    <w:rsid w:val="000E475B"/>
    <w:rsid w:val="000F07A9"/>
    <w:rsid w:val="000F417D"/>
    <w:rsid w:val="000F4B28"/>
    <w:rsid w:val="000F4CA6"/>
    <w:rsid w:val="000F4D6F"/>
    <w:rsid w:val="000F75DE"/>
    <w:rsid w:val="001007E2"/>
    <w:rsid w:val="0010212B"/>
    <w:rsid w:val="0010233D"/>
    <w:rsid w:val="001032F5"/>
    <w:rsid w:val="00104D48"/>
    <w:rsid w:val="00105C67"/>
    <w:rsid w:val="00106F95"/>
    <w:rsid w:val="00111823"/>
    <w:rsid w:val="00112749"/>
    <w:rsid w:val="00112CF1"/>
    <w:rsid w:val="00112D04"/>
    <w:rsid w:val="00112FD1"/>
    <w:rsid w:val="001130D9"/>
    <w:rsid w:val="00116E67"/>
    <w:rsid w:val="001201F0"/>
    <w:rsid w:val="00120917"/>
    <w:rsid w:val="00120FFC"/>
    <w:rsid w:val="001218E5"/>
    <w:rsid w:val="00121C96"/>
    <w:rsid w:val="00121EF1"/>
    <w:rsid w:val="001228A2"/>
    <w:rsid w:val="001235AB"/>
    <w:rsid w:val="00124581"/>
    <w:rsid w:val="00124A4A"/>
    <w:rsid w:val="00125A4A"/>
    <w:rsid w:val="00126282"/>
    <w:rsid w:val="00127B33"/>
    <w:rsid w:val="001318DC"/>
    <w:rsid w:val="00132780"/>
    <w:rsid w:val="001328C2"/>
    <w:rsid w:val="00133631"/>
    <w:rsid w:val="001346C0"/>
    <w:rsid w:val="00134AD2"/>
    <w:rsid w:val="00136EF9"/>
    <w:rsid w:val="00136F6A"/>
    <w:rsid w:val="00137262"/>
    <w:rsid w:val="00137AAB"/>
    <w:rsid w:val="00137EED"/>
    <w:rsid w:val="00143E7B"/>
    <w:rsid w:val="00144910"/>
    <w:rsid w:val="001455EC"/>
    <w:rsid w:val="001458BC"/>
    <w:rsid w:val="001465D9"/>
    <w:rsid w:val="00150B18"/>
    <w:rsid w:val="0015156F"/>
    <w:rsid w:val="00156716"/>
    <w:rsid w:val="00157620"/>
    <w:rsid w:val="00157651"/>
    <w:rsid w:val="00161167"/>
    <w:rsid w:val="00161612"/>
    <w:rsid w:val="001618D4"/>
    <w:rsid w:val="00163520"/>
    <w:rsid w:val="001641A7"/>
    <w:rsid w:val="00164BDD"/>
    <w:rsid w:val="001651B1"/>
    <w:rsid w:val="00166CFF"/>
    <w:rsid w:val="00167500"/>
    <w:rsid w:val="001678AC"/>
    <w:rsid w:val="001679B3"/>
    <w:rsid w:val="001722B1"/>
    <w:rsid w:val="00173AD8"/>
    <w:rsid w:val="00173ADF"/>
    <w:rsid w:val="00176A61"/>
    <w:rsid w:val="001824BC"/>
    <w:rsid w:val="00182B3C"/>
    <w:rsid w:val="00185331"/>
    <w:rsid w:val="001859EE"/>
    <w:rsid w:val="00186080"/>
    <w:rsid w:val="0018747B"/>
    <w:rsid w:val="00187830"/>
    <w:rsid w:val="001905B1"/>
    <w:rsid w:val="00190B56"/>
    <w:rsid w:val="001914E9"/>
    <w:rsid w:val="00191A31"/>
    <w:rsid w:val="001A0D08"/>
    <w:rsid w:val="001A160D"/>
    <w:rsid w:val="001A2867"/>
    <w:rsid w:val="001A4A0D"/>
    <w:rsid w:val="001A52B9"/>
    <w:rsid w:val="001A5A83"/>
    <w:rsid w:val="001A5D17"/>
    <w:rsid w:val="001A740F"/>
    <w:rsid w:val="001B0625"/>
    <w:rsid w:val="001B1020"/>
    <w:rsid w:val="001B12F2"/>
    <w:rsid w:val="001B2CA7"/>
    <w:rsid w:val="001B32A9"/>
    <w:rsid w:val="001C0B4C"/>
    <w:rsid w:val="001C253E"/>
    <w:rsid w:val="001C5EF3"/>
    <w:rsid w:val="001C7B78"/>
    <w:rsid w:val="001D01B8"/>
    <w:rsid w:val="001D0428"/>
    <w:rsid w:val="001D3563"/>
    <w:rsid w:val="001D5E48"/>
    <w:rsid w:val="001D65DE"/>
    <w:rsid w:val="001E1406"/>
    <w:rsid w:val="001E16A0"/>
    <w:rsid w:val="001E30CC"/>
    <w:rsid w:val="001E3EF7"/>
    <w:rsid w:val="001E4B72"/>
    <w:rsid w:val="001E4FA5"/>
    <w:rsid w:val="001E7B58"/>
    <w:rsid w:val="001F0D8C"/>
    <w:rsid w:val="001F32CF"/>
    <w:rsid w:val="001F446D"/>
    <w:rsid w:val="001F62A7"/>
    <w:rsid w:val="001F66EA"/>
    <w:rsid w:val="001F7113"/>
    <w:rsid w:val="001F7249"/>
    <w:rsid w:val="001F7402"/>
    <w:rsid w:val="001F7BE1"/>
    <w:rsid w:val="00200114"/>
    <w:rsid w:val="00201C55"/>
    <w:rsid w:val="00204C2E"/>
    <w:rsid w:val="00204C33"/>
    <w:rsid w:val="0020582F"/>
    <w:rsid w:val="0020605F"/>
    <w:rsid w:val="00206212"/>
    <w:rsid w:val="00207277"/>
    <w:rsid w:val="00211962"/>
    <w:rsid w:val="00211A6F"/>
    <w:rsid w:val="00215422"/>
    <w:rsid w:val="00216566"/>
    <w:rsid w:val="00220E79"/>
    <w:rsid w:val="00222DC6"/>
    <w:rsid w:val="00230086"/>
    <w:rsid w:val="002301F4"/>
    <w:rsid w:val="00230E8E"/>
    <w:rsid w:val="0023155E"/>
    <w:rsid w:val="00236111"/>
    <w:rsid w:val="002405E9"/>
    <w:rsid w:val="00240BB2"/>
    <w:rsid w:val="0024133F"/>
    <w:rsid w:val="002415B8"/>
    <w:rsid w:val="00241A69"/>
    <w:rsid w:val="00243191"/>
    <w:rsid w:val="00243838"/>
    <w:rsid w:val="00244F78"/>
    <w:rsid w:val="0024577F"/>
    <w:rsid w:val="00245887"/>
    <w:rsid w:val="00247352"/>
    <w:rsid w:val="00250976"/>
    <w:rsid w:val="00250A69"/>
    <w:rsid w:val="0025414E"/>
    <w:rsid w:val="00255B14"/>
    <w:rsid w:val="00257192"/>
    <w:rsid w:val="00260075"/>
    <w:rsid w:val="00260592"/>
    <w:rsid w:val="00260AB8"/>
    <w:rsid w:val="00260BCE"/>
    <w:rsid w:val="00260D5B"/>
    <w:rsid w:val="00260F9C"/>
    <w:rsid w:val="0027037F"/>
    <w:rsid w:val="0027091D"/>
    <w:rsid w:val="00270E11"/>
    <w:rsid w:val="00271A03"/>
    <w:rsid w:val="0027249B"/>
    <w:rsid w:val="00272B99"/>
    <w:rsid w:val="002737E1"/>
    <w:rsid w:val="002740C8"/>
    <w:rsid w:val="002746AB"/>
    <w:rsid w:val="00276575"/>
    <w:rsid w:val="00277357"/>
    <w:rsid w:val="00281A14"/>
    <w:rsid w:val="0028255B"/>
    <w:rsid w:val="00282D68"/>
    <w:rsid w:val="002833A9"/>
    <w:rsid w:val="002833C0"/>
    <w:rsid w:val="00283829"/>
    <w:rsid w:val="00286DEB"/>
    <w:rsid w:val="00290FF0"/>
    <w:rsid w:val="00292352"/>
    <w:rsid w:val="002938B2"/>
    <w:rsid w:val="00297F0F"/>
    <w:rsid w:val="002A0A5B"/>
    <w:rsid w:val="002A0E71"/>
    <w:rsid w:val="002A2521"/>
    <w:rsid w:val="002A4C18"/>
    <w:rsid w:val="002B1D6F"/>
    <w:rsid w:val="002B2094"/>
    <w:rsid w:val="002B2B9C"/>
    <w:rsid w:val="002B3573"/>
    <w:rsid w:val="002B413D"/>
    <w:rsid w:val="002B63FB"/>
    <w:rsid w:val="002B6F4E"/>
    <w:rsid w:val="002C2BB8"/>
    <w:rsid w:val="002C3CF0"/>
    <w:rsid w:val="002C3E50"/>
    <w:rsid w:val="002C4B29"/>
    <w:rsid w:val="002C5522"/>
    <w:rsid w:val="002C5AB1"/>
    <w:rsid w:val="002C641E"/>
    <w:rsid w:val="002C7F9E"/>
    <w:rsid w:val="002D1171"/>
    <w:rsid w:val="002D2DA4"/>
    <w:rsid w:val="002D32CB"/>
    <w:rsid w:val="002D37AB"/>
    <w:rsid w:val="002D5E43"/>
    <w:rsid w:val="002D6E62"/>
    <w:rsid w:val="002D7B5B"/>
    <w:rsid w:val="002E0459"/>
    <w:rsid w:val="002E3CBE"/>
    <w:rsid w:val="002E4CDA"/>
    <w:rsid w:val="002E5407"/>
    <w:rsid w:val="002E6951"/>
    <w:rsid w:val="002F16A7"/>
    <w:rsid w:val="002F22A1"/>
    <w:rsid w:val="002F249F"/>
    <w:rsid w:val="00300D90"/>
    <w:rsid w:val="003023E9"/>
    <w:rsid w:val="00303AA1"/>
    <w:rsid w:val="00303AC9"/>
    <w:rsid w:val="003045DF"/>
    <w:rsid w:val="00304704"/>
    <w:rsid w:val="00312115"/>
    <w:rsid w:val="00314BEF"/>
    <w:rsid w:val="0031740D"/>
    <w:rsid w:val="00324AB0"/>
    <w:rsid w:val="003258FA"/>
    <w:rsid w:val="00325C13"/>
    <w:rsid w:val="0032777D"/>
    <w:rsid w:val="00327796"/>
    <w:rsid w:val="00330882"/>
    <w:rsid w:val="00332BCB"/>
    <w:rsid w:val="00333D14"/>
    <w:rsid w:val="00336F77"/>
    <w:rsid w:val="00337ED5"/>
    <w:rsid w:val="0034184F"/>
    <w:rsid w:val="00342153"/>
    <w:rsid w:val="00344941"/>
    <w:rsid w:val="00344A61"/>
    <w:rsid w:val="00344A65"/>
    <w:rsid w:val="003451B6"/>
    <w:rsid w:val="003462A4"/>
    <w:rsid w:val="0034661B"/>
    <w:rsid w:val="00350669"/>
    <w:rsid w:val="003506FB"/>
    <w:rsid w:val="00350815"/>
    <w:rsid w:val="003525E2"/>
    <w:rsid w:val="0035330A"/>
    <w:rsid w:val="00354DA9"/>
    <w:rsid w:val="00357166"/>
    <w:rsid w:val="0035771E"/>
    <w:rsid w:val="0036019C"/>
    <w:rsid w:val="003605FC"/>
    <w:rsid w:val="00361F87"/>
    <w:rsid w:val="00363226"/>
    <w:rsid w:val="0036463A"/>
    <w:rsid w:val="00364CC1"/>
    <w:rsid w:val="00365780"/>
    <w:rsid w:val="00365902"/>
    <w:rsid w:val="00365B37"/>
    <w:rsid w:val="00366FDC"/>
    <w:rsid w:val="003722F2"/>
    <w:rsid w:val="00372A03"/>
    <w:rsid w:val="0037343C"/>
    <w:rsid w:val="0037511A"/>
    <w:rsid w:val="003754DC"/>
    <w:rsid w:val="0038050E"/>
    <w:rsid w:val="0038164F"/>
    <w:rsid w:val="00381C51"/>
    <w:rsid w:val="00383539"/>
    <w:rsid w:val="00385768"/>
    <w:rsid w:val="00385783"/>
    <w:rsid w:val="00385E35"/>
    <w:rsid w:val="003862B4"/>
    <w:rsid w:val="0038664B"/>
    <w:rsid w:val="00386F79"/>
    <w:rsid w:val="003876A9"/>
    <w:rsid w:val="00392283"/>
    <w:rsid w:val="00393BE3"/>
    <w:rsid w:val="00393EF0"/>
    <w:rsid w:val="00395811"/>
    <w:rsid w:val="00395C31"/>
    <w:rsid w:val="00395D29"/>
    <w:rsid w:val="003960F8"/>
    <w:rsid w:val="00397952"/>
    <w:rsid w:val="00397991"/>
    <w:rsid w:val="003A35CF"/>
    <w:rsid w:val="003A3C02"/>
    <w:rsid w:val="003A4DE1"/>
    <w:rsid w:val="003B13AC"/>
    <w:rsid w:val="003B2028"/>
    <w:rsid w:val="003B4A00"/>
    <w:rsid w:val="003B4C51"/>
    <w:rsid w:val="003C3326"/>
    <w:rsid w:val="003C4291"/>
    <w:rsid w:val="003C5355"/>
    <w:rsid w:val="003C5999"/>
    <w:rsid w:val="003D11B8"/>
    <w:rsid w:val="003D404F"/>
    <w:rsid w:val="003D7D58"/>
    <w:rsid w:val="003E1080"/>
    <w:rsid w:val="003E1708"/>
    <w:rsid w:val="003E4F97"/>
    <w:rsid w:val="003E5A67"/>
    <w:rsid w:val="003E7219"/>
    <w:rsid w:val="003F369F"/>
    <w:rsid w:val="003F43F2"/>
    <w:rsid w:val="003F772B"/>
    <w:rsid w:val="003F782A"/>
    <w:rsid w:val="00402067"/>
    <w:rsid w:val="00403BDA"/>
    <w:rsid w:val="00406358"/>
    <w:rsid w:val="00406529"/>
    <w:rsid w:val="00407276"/>
    <w:rsid w:val="00410072"/>
    <w:rsid w:val="00410AD8"/>
    <w:rsid w:val="00415BF4"/>
    <w:rsid w:val="0041760B"/>
    <w:rsid w:val="00417A8E"/>
    <w:rsid w:val="004227F4"/>
    <w:rsid w:val="00424023"/>
    <w:rsid w:val="00424726"/>
    <w:rsid w:val="00425FA7"/>
    <w:rsid w:val="0042670C"/>
    <w:rsid w:val="00431B1A"/>
    <w:rsid w:val="00432279"/>
    <w:rsid w:val="00432668"/>
    <w:rsid w:val="00432DA6"/>
    <w:rsid w:val="00435512"/>
    <w:rsid w:val="00437AC5"/>
    <w:rsid w:val="00437B8C"/>
    <w:rsid w:val="004403A9"/>
    <w:rsid w:val="00440EDC"/>
    <w:rsid w:val="00444A2A"/>
    <w:rsid w:val="00445B4C"/>
    <w:rsid w:val="00446628"/>
    <w:rsid w:val="00446B39"/>
    <w:rsid w:val="004503D1"/>
    <w:rsid w:val="00450E73"/>
    <w:rsid w:val="00451AE7"/>
    <w:rsid w:val="0045470B"/>
    <w:rsid w:val="00454F1E"/>
    <w:rsid w:val="00457332"/>
    <w:rsid w:val="00461BE6"/>
    <w:rsid w:val="00461C89"/>
    <w:rsid w:val="00462067"/>
    <w:rsid w:val="00462319"/>
    <w:rsid w:val="00462829"/>
    <w:rsid w:val="004642FE"/>
    <w:rsid w:val="00464EBB"/>
    <w:rsid w:val="00464F91"/>
    <w:rsid w:val="0047001E"/>
    <w:rsid w:val="00471A4D"/>
    <w:rsid w:val="0047307D"/>
    <w:rsid w:val="00475A61"/>
    <w:rsid w:val="0047696B"/>
    <w:rsid w:val="00480964"/>
    <w:rsid w:val="00481B1F"/>
    <w:rsid w:val="00483ACC"/>
    <w:rsid w:val="00484A84"/>
    <w:rsid w:val="00484DB0"/>
    <w:rsid w:val="004913AC"/>
    <w:rsid w:val="00492503"/>
    <w:rsid w:val="00492784"/>
    <w:rsid w:val="00494409"/>
    <w:rsid w:val="00494CFA"/>
    <w:rsid w:val="00494E87"/>
    <w:rsid w:val="00495A93"/>
    <w:rsid w:val="00495B0F"/>
    <w:rsid w:val="004965A5"/>
    <w:rsid w:val="004966FE"/>
    <w:rsid w:val="004A1E4A"/>
    <w:rsid w:val="004A22F5"/>
    <w:rsid w:val="004A2B5B"/>
    <w:rsid w:val="004A4845"/>
    <w:rsid w:val="004A58A6"/>
    <w:rsid w:val="004A5CB6"/>
    <w:rsid w:val="004A63E9"/>
    <w:rsid w:val="004A68F4"/>
    <w:rsid w:val="004A7AC3"/>
    <w:rsid w:val="004A7E2D"/>
    <w:rsid w:val="004B27CD"/>
    <w:rsid w:val="004B3434"/>
    <w:rsid w:val="004B71C4"/>
    <w:rsid w:val="004B7438"/>
    <w:rsid w:val="004B74AD"/>
    <w:rsid w:val="004C511A"/>
    <w:rsid w:val="004C5B65"/>
    <w:rsid w:val="004C5DE1"/>
    <w:rsid w:val="004C6DB6"/>
    <w:rsid w:val="004C7FDF"/>
    <w:rsid w:val="004D0202"/>
    <w:rsid w:val="004D2B0C"/>
    <w:rsid w:val="004D2DC8"/>
    <w:rsid w:val="004D3E74"/>
    <w:rsid w:val="004D4D4E"/>
    <w:rsid w:val="004D51F1"/>
    <w:rsid w:val="004D60F8"/>
    <w:rsid w:val="004D7975"/>
    <w:rsid w:val="004E028E"/>
    <w:rsid w:val="004E0A42"/>
    <w:rsid w:val="004E18F2"/>
    <w:rsid w:val="004E1C62"/>
    <w:rsid w:val="004E242C"/>
    <w:rsid w:val="004E2FD2"/>
    <w:rsid w:val="004E3DD2"/>
    <w:rsid w:val="004E3E42"/>
    <w:rsid w:val="004E5BA9"/>
    <w:rsid w:val="004E75A9"/>
    <w:rsid w:val="004E7883"/>
    <w:rsid w:val="004E7A7F"/>
    <w:rsid w:val="004E7C97"/>
    <w:rsid w:val="004E7F7D"/>
    <w:rsid w:val="004F0BD6"/>
    <w:rsid w:val="004F2E3A"/>
    <w:rsid w:val="004F37BC"/>
    <w:rsid w:val="004F456A"/>
    <w:rsid w:val="004F4C53"/>
    <w:rsid w:val="004F734C"/>
    <w:rsid w:val="0050010C"/>
    <w:rsid w:val="005025A0"/>
    <w:rsid w:val="00503F48"/>
    <w:rsid w:val="0051071C"/>
    <w:rsid w:val="00510BE9"/>
    <w:rsid w:val="005111EE"/>
    <w:rsid w:val="0051423E"/>
    <w:rsid w:val="00514264"/>
    <w:rsid w:val="005150B3"/>
    <w:rsid w:val="00515705"/>
    <w:rsid w:val="00515CEA"/>
    <w:rsid w:val="0052000E"/>
    <w:rsid w:val="0052025F"/>
    <w:rsid w:val="00521058"/>
    <w:rsid w:val="00522BCC"/>
    <w:rsid w:val="0052482B"/>
    <w:rsid w:val="00526CDB"/>
    <w:rsid w:val="005308A0"/>
    <w:rsid w:val="005317A6"/>
    <w:rsid w:val="0053199C"/>
    <w:rsid w:val="0053346C"/>
    <w:rsid w:val="0053368E"/>
    <w:rsid w:val="00533ED3"/>
    <w:rsid w:val="0053440A"/>
    <w:rsid w:val="0053746B"/>
    <w:rsid w:val="00540366"/>
    <w:rsid w:val="00540B6C"/>
    <w:rsid w:val="00543483"/>
    <w:rsid w:val="00543A2A"/>
    <w:rsid w:val="00543D63"/>
    <w:rsid w:val="0054450A"/>
    <w:rsid w:val="00546052"/>
    <w:rsid w:val="00551411"/>
    <w:rsid w:val="00551EEE"/>
    <w:rsid w:val="005534AB"/>
    <w:rsid w:val="00553B92"/>
    <w:rsid w:val="00553C48"/>
    <w:rsid w:val="00555AE9"/>
    <w:rsid w:val="0055654D"/>
    <w:rsid w:val="00561010"/>
    <w:rsid w:val="0056119E"/>
    <w:rsid w:val="0056213E"/>
    <w:rsid w:val="00562B10"/>
    <w:rsid w:val="00563503"/>
    <w:rsid w:val="00563CD5"/>
    <w:rsid w:val="00564422"/>
    <w:rsid w:val="0057062E"/>
    <w:rsid w:val="0057556C"/>
    <w:rsid w:val="00576019"/>
    <w:rsid w:val="005762D1"/>
    <w:rsid w:val="005770E9"/>
    <w:rsid w:val="00577731"/>
    <w:rsid w:val="00577A17"/>
    <w:rsid w:val="00577B39"/>
    <w:rsid w:val="00577F29"/>
    <w:rsid w:val="00583B60"/>
    <w:rsid w:val="00591CDF"/>
    <w:rsid w:val="00591E02"/>
    <w:rsid w:val="00594CD8"/>
    <w:rsid w:val="005950D9"/>
    <w:rsid w:val="005A06ED"/>
    <w:rsid w:val="005A0B8A"/>
    <w:rsid w:val="005A0BE8"/>
    <w:rsid w:val="005A0E50"/>
    <w:rsid w:val="005A1C57"/>
    <w:rsid w:val="005A4326"/>
    <w:rsid w:val="005B1F56"/>
    <w:rsid w:val="005B27FA"/>
    <w:rsid w:val="005B4F37"/>
    <w:rsid w:val="005B7A2D"/>
    <w:rsid w:val="005B7E83"/>
    <w:rsid w:val="005C0001"/>
    <w:rsid w:val="005C016C"/>
    <w:rsid w:val="005C1F0E"/>
    <w:rsid w:val="005C6FBB"/>
    <w:rsid w:val="005D1130"/>
    <w:rsid w:val="005D1665"/>
    <w:rsid w:val="005D27FF"/>
    <w:rsid w:val="005E049C"/>
    <w:rsid w:val="005E183B"/>
    <w:rsid w:val="005E2CF1"/>
    <w:rsid w:val="005E3CC3"/>
    <w:rsid w:val="005E44FA"/>
    <w:rsid w:val="005E48BF"/>
    <w:rsid w:val="005E5523"/>
    <w:rsid w:val="005E7EF9"/>
    <w:rsid w:val="005F0673"/>
    <w:rsid w:val="005F0C8D"/>
    <w:rsid w:val="005F2643"/>
    <w:rsid w:val="005F348F"/>
    <w:rsid w:val="005F3C3F"/>
    <w:rsid w:val="005F455A"/>
    <w:rsid w:val="005F50BB"/>
    <w:rsid w:val="005F5543"/>
    <w:rsid w:val="00602442"/>
    <w:rsid w:val="00602447"/>
    <w:rsid w:val="00603247"/>
    <w:rsid w:val="0060599A"/>
    <w:rsid w:val="006061EE"/>
    <w:rsid w:val="00606ACE"/>
    <w:rsid w:val="006079E3"/>
    <w:rsid w:val="00610175"/>
    <w:rsid w:val="00610E48"/>
    <w:rsid w:val="00611859"/>
    <w:rsid w:val="0061197A"/>
    <w:rsid w:val="00612FFF"/>
    <w:rsid w:val="00613213"/>
    <w:rsid w:val="00613526"/>
    <w:rsid w:val="00617141"/>
    <w:rsid w:val="00617E1A"/>
    <w:rsid w:val="006201E5"/>
    <w:rsid w:val="0062270C"/>
    <w:rsid w:val="00622B2B"/>
    <w:rsid w:val="006262BF"/>
    <w:rsid w:val="00626D40"/>
    <w:rsid w:val="00627C63"/>
    <w:rsid w:val="00632071"/>
    <w:rsid w:val="0063220A"/>
    <w:rsid w:val="00632ACF"/>
    <w:rsid w:val="00632BA5"/>
    <w:rsid w:val="00635613"/>
    <w:rsid w:val="0063648A"/>
    <w:rsid w:val="00637A66"/>
    <w:rsid w:val="00640BF6"/>
    <w:rsid w:val="00644353"/>
    <w:rsid w:val="006446B1"/>
    <w:rsid w:val="00645742"/>
    <w:rsid w:val="00646F19"/>
    <w:rsid w:val="0065184F"/>
    <w:rsid w:val="00653A43"/>
    <w:rsid w:val="0065574A"/>
    <w:rsid w:val="006557D4"/>
    <w:rsid w:val="00656136"/>
    <w:rsid w:val="006576E1"/>
    <w:rsid w:val="00657B25"/>
    <w:rsid w:val="0066079D"/>
    <w:rsid w:val="0066186F"/>
    <w:rsid w:val="006620C4"/>
    <w:rsid w:val="00662739"/>
    <w:rsid w:val="00663CFC"/>
    <w:rsid w:val="00667D3D"/>
    <w:rsid w:val="00672B1B"/>
    <w:rsid w:val="00672B5A"/>
    <w:rsid w:val="00673855"/>
    <w:rsid w:val="00674BA1"/>
    <w:rsid w:val="00675230"/>
    <w:rsid w:val="0068129B"/>
    <w:rsid w:val="00681ED4"/>
    <w:rsid w:val="0068210E"/>
    <w:rsid w:val="00683F2C"/>
    <w:rsid w:val="00684C82"/>
    <w:rsid w:val="00684EA0"/>
    <w:rsid w:val="00687BD6"/>
    <w:rsid w:val="00693D63"/>
    <w:rsid w:val="00693E41"/>
    <w:rsid w:val="006A466D"/>
    <w:rsid w:val="006A5020"/>
    <w:rsid w:val="006B0B1E"/>
    <w:rsid w:val="006B13A9"/>
    <w:rsid w:val="006B144D"/>
    <w:rsid w:val="006B2158"/>
    <w:rsid w:val="006B28C9"/>
    <w:rsid w:val="006B2E8D"/>
    <w:rsid w:val="006B36B6"/>
    <w:rsid w:val="006B3969"/>
    <w:rsid w:val="006B6CB1"/>
    <w:rsid w:val="006B7FF0"/>
    <w:rsid w:val="006C06BD"/>
    <w:rsid w:val="006C098D"/>
    <w:rsid w:val="006C293D"/>
    <w:rsid w:val="006C4407"/>
    <w:rsid w:val="006C4781"/>
    <w:rsid w:val="006D43CC"/>
    <w:rsid w:val="006D6608"/>
    <w:rsid w:val="006E14AC"/>
    <w:rsid w:val="006E30A8"/>
    <w:rsid w:val="006E3550"/>
    <w:rsid w:val="006E42B7"/>
    <w:rsid w:val="006E4C6F"/>
    <w:rsid w:val="006E4F1B"/>
    <w:rsid w:val="006E5442"/>
    <w:rsid w:val="006E65AD"/>
    <w:rsid w:val="006F1052"/>
    <w:rsid w:val="006F29C6"/>
    <w:rsid w:val="006F2ABB"/>
    <w:rsid w:val="006F62FA"/>
    <w:rsid w:val="006F6512"/>
    <w:rsid w:val="007002E1"/>
    <w:rsid w:val="00701CF4"/>
    <w:rsid w:val="00701ED2"/>
    <w:rsid w:val="00702C13"/>
    <w:rsid w:val="007039B5"/>
    <w:rsid w:val="00704470"/>
    <w:rsid w:val="00704589"/>
    <w:rsid w:val="00706503"/>
    <w:rsid w:val="007077A6"/>
    <w:rsid w:val="00712850"/>
    <w:rsid w:val="007129BC"/>
    <w:rsid w:val="00712E33"/>
    <w:rsid w:val="007148EA"/>
    <w:rsid w:val="007155B2"/>
    <w:rsid w:val="00721009"/>
    <w:rsid w:val="00723B5A"/>
    <w:rsid w:val="00724FDF"/>
    <w:rsid w:val="00727B25"/>
    <w:rsid w:val="007312D2"/>
    <w:rsid w:val="00733623"/>
    <w:rsid w:val="00735FBB"/>
    <w:rsid w:val="00736322"/>
    <w:rsid w:val="00736675"/>
    <w:rsid w:val="007370B2"/>
    <w:rsid w:val="007415E8"/>
    <w:rsid w:val="0074324F"/>
    <w:rsid w:val="00744BE1"/>
    <w:rsid w:val="00745051"/>
    <w:rsid w:val="00745069"/>
    <w:rsid w:val="00746B3F"/>
    <w:rsid w:val="007535AC"/>
    <w:rsid w:val="00753D70"/>
    <w:rsid w:val="007616CB"/>
    <w:rsid w:val="007636CB"/>
    <w:rsid w:val="00763EF4"/>
    <w:rsid w:val="00764892"/>
    <w:rsid w:val="00766161"/>
    <w:rsid w:val="00770D0B"/>
    <w:rsid w:val="00771220"/>
    <w:rsid w:val="00771EDA"/>
    <w:rsid w:val="00776899"/>
    <w:rsid w:val="00776A25"/>
    <w:rsid w:val="00776D7E"/>
    <w:rsid w:val="00777148"/>
    <w:rsid w:val="00777666"/>
    <w:rsid w:val="00777758"/>
    <w:rsid w:val="00781DB1"/>
    <w:rsid w:val="0078342E"/>
    <w:rsid w:val="00784079"/>
    <w:rsid w:val="007849BD"/>
    <w:rsid w:val="00785BAB"/>
    <w:rsid w:val="00785C98"/>
    <w:rsid w:val="0078727D"/>
    <w:rsid w:val="007912E1"/>
    <w:rsid w:val="00793D80"/>
    <w:rsid w:val="00794151"/>
    <w:rsid w:val="00795510"/>
    <w:rsid w:val="007A1A5C"/>
    <w:rsid w:val="007A2381"/>
    <w:rsid w:val="007A2BCB"/>
    <w:rsid w:val="007A31D6"/>
    <w:rsid w:val="007A535C"/>
    <w:rsid w:val="007A5639"/>
    <w:rsid w:val="007A5CF1"/>
    <w:rsid w:val="007A6C2B"/>
    <w:rsid w:val="007A7C13"/>
    <w:rsid w:val="007B194A"/>
    <w:rsid w:val="007B405C"/>
    <w:rsid w:val="007B5F28"/>
    <w:rsid w:val="007B66CA"/>
    <w:rsid w:val="007B7C7B"/>
    <w:rsid w:val="007C0C77"/>
    <w:rsid w:val="007C33BA"/>
    <w:rsid w:val="007C4F2C"/>
    <w:rsid w:val="007C50B7"/>
    <w:rsid w:val="007C639B"/>
    <w:rsid w:val="007C7637"/>
    <w:rsid w:val="007D1828"/>
    <w:rsid w:val="007D2227"/>
    <w:rsid w:val="007D26A2"/>
    <w:rsid w:val="007D313F"/>
    <w:rsid w:val="007D74A0"/>
    <w:rsid w:val="007D7EBA"/>
    <w:rsid w:val="007E0644"/>
    <w:rsid w:val="007E2955"/>
    <w:rsid w:val="007E381A"/>
    <w:rsid w:val="007E3CEC"/>
    <w:rsid w:val="007E4C7C"/>
    <w:rsid w:val="007E5C97"/>
    <w:rsid w:val="007E6B72"/>
    <w:rsid w:val="007E7E53"/>
    <w:rsid w:val="007F03FE"/>
    <w:rsid w:val="007F16E1"/>
    <w:rsid w:val="007F1C68"/>
    <w:rsid w:val="007F2503"/>
    <w:rsid w:val="007F3505"/>
    <w:rsid w:val="007F41E5"/>
    <w:rsid w:val="007F5382"/>
    <w:rsid w:val="007F5BD2"/>
    <w:rsid w:val="007F5C1C"/>
    <w:rsid w:val="00801E42"/>
    <w:rsid w:val="00802381"/>
    <w:rsid w:val="008029DB"/>
    <w:rsid w:val="00803025"/>
    <w:rsid w:val="008078AE"/>
    <w:rsid w:val="008079DE"/>
    <w:rsid w:val="00811615"/>
    <w:rsid w:val="008150B3"/>
    <w:rsid w:val="0082051B"/>
    <w:rsid w:val="00822945"/>
    <w:rsid w:val="0082569D"/>
    <w:rsid w:val="00831C5E"/>
    <w:rsid w:val="00831E27"/>
    <w:rsid w:val="00833C4C"/>
    <w:rsid w:val="008351C1"/>
    <w:rsid w:val="008351D9"/>
    <w:rsid w:val="00836020"/>
    <w:rsid w:val="00836378"/>
    <w:rsid w:val="00840CFB"/>
    <w:rsid w:val="00840D9D"/>
    <w:rsid w:val="008412D4"/>
    <w:rsid w:val="008421A0"/>
    <w:rsid w:val="00843DAE"/>
    <w:rsid w:val="00844A38"/>
    <w:rsid w:val="00845759"/>
    <w:rsid w:val="00846253"/>
    <w:rsid w:val="0085116B"/>
    <w:rsid w:val="00853936"/>
    <w:rsid w:val="008561BE"/>
    <w:rsid w:val="00856475"/>
    <w:rsid w:val="00860BDB"/>
    <w:rsid w:val="00860F11"/>
    <w:rsid w:val="0086128B"/>
    <w:rsid w:val="0086129B"/>
    <w:rsid w:val="00864813"/>
    <w:rsid w:val="00864A7F"/>
    <w:rsid w:val="00865083"/>
    <w:rsid w:val="008654D1"/>
    <w:rsid w:val="00865571"/>
    <w:rsid w:val="008672D1"/>
    <w:rsid w:val="00867CCB"/>
    <w:rsid w:val="008705A7"/>
    <w:rsid w:val="0087071D"/>
    <w:rsid w:val="00872638"/>
    <w:rsid w:val="00874DFE"/>
    <w:rsid w:val="0087601D"/>
    <w:rsid w:val="008761CF"/>
    <w:rsid w:val="00876A55"/>
    <w:rsid w:val="008774E0"/>
    <w:rsid w:val="00877671"/>
    <w:rsid w:val="00877830"/>
    <w:rsid w:val="00877AF3"/>
    <w:rsid w:val="00877B99"/>
    <w:rsid w:val="0088048D"/>
    <w:rsid w:val="008805E3"/>
    <w:rsid w:val="00883AD0"/>
    <w:rsid w:val="00883F38"/>
    <w:rsid w:val="00885C13"/>
    <w:rsid w:val="00887031"/>
    <w:rsid w:val="00891880"/>
    <w:rsid w:val="00892B46"/>
    <w:rsid w:val="00892B52"/>
    <w:rsid w:val="008932C6"/>
    <w:rsid w:val="008962E4"/>
    <w:rsid w:val="00896873"/>
    <w:rsid w:val="008A3A4E"/>
    <w:rsid w:val="008B1CD6"/>
    <w:rsid w:val="008B29DB"/>
    <w:rsid w:val="008B41D9"/>
    <w:rsid w:val="008B5489"/>
    <w:rsid w:val="008B69DF"/>
    <w:rsid w:val="008B74C8"/>
    <w:rsid w:val="008C13D9"/>
    <w:rsid w:val="008C16E9"/>
    <w:rsid w:val="008C2000"/>
    <w:rsid w:val="008C2ED2"/>
    <w:rsid w:val="008C41F5"/>
    <w:rsid w:val="008C4B7B"/>
    <w:rsid w:val="008D0BF5"/>
    <w:rsid w:val="008D199C"/>
    <w:rsid w:val="008D43B7"/>
    <w:rsid w:val="008D47D2"/>
    <w:rsid w:val="008D5ECA"/>
    <w:rsid w:val="008D7C4F"/>
    <w:rsid w:val="008E11B3"/>
    <w:rsid w:val="008E313C"/>
    <w:rsid w:val="008E4905"/>
    <w:rsid w:val="008E5FC6"/>
    <w:rsid w:val="008E6135"/>
    <w:rsid w:val="008F1100"/>
    <w:rsid w:val="008F1A99"/>
    <w:rsid w:val="008F3FB8"/>
    <w:rsid w:val="008F4A59"/>
    <w:rsid w:val="008F5899"/>
    <w:rsid w:val="009001FD"/>
    <w:rsid w:val="00900E4C"/>
    <w:rsid w:val="00904294"/>
    <w:rsid w:val="00904B38"/>
    <w:rsid w:val="0090549B"/>
    <w:rsid w:val="00910CE1"/>
    <w:rsid w:val="00911559"/>
    <w:rsid w:val="00911DDD"/>
    <w:rsid w:val="00911FE1"/>
    <w:rsid w:val="00912F7E"/>
    <w:rsid w:val="00916147"/>
    <w:rsid w:val="00916C01"/>
    <w:rsid w:val="00917892"/>
    <w:rsid w:val="009212C4"/>
    <w:rsid w:val="0092380A"/>
    <w:rsid w:val="00923DD6"/>
    <w:rsid w:val="00926991"/>
    <w:rsid w:val="00926F62"/>
    <w:rsid w:val="009273CA"/>
    <w:rsid w:val="009319C3"/>
    <w:rsid w:val="00932962"/>
    <w:rsid w:val="00932D96"/>
    <w:rsid w:val="009334DB"/>
    <w:rsid w:val="009335CF"/>
    <w:rsid w:val="00933B3A"/>
    <w:rsid w:val="00935091"/>
    <w:rsid w:val="00935253"/>
    <w:rsid w:val="00935324"/>
    <w:rsid w:val="009413BE"/>
    <w:rsid w:val="009431C5"/>
    <w:rsid w:val="00943B13"/>
    <w:rsid w:val="009447C0"/>
    <w:rsid w:val="00944CF6"/>
    <w:rsid w:val="00952004"/>
    <w:rsid w:val="009529F2"/>
    <w:rsid w:val="009536E6"/>
    <w:rsid w:val="0095472E"/>
    <w:rsid w:val="0095495A"/>
    <w:rsid w:val="00954CEC"/>
    <w:rsid w:val="00954E33"/>
    <w:rsid w:val="009550AF"/>
    <w:rsid w:val="00961DD6"/>
    <w:rsid w:val="00962B4E"/>
    <w:rsid w:val="009632A6"/>
    <w:rsid w:val="00965240"/>
    <w:rsid w:val="009653F0"/>
    <w:rsid w:val="00965815"/>
    <w:rsid w:val="009678F7"/>
    <w:rsid w:val="009712E4"/>
    <w:rsid w:val="00971470"/>
    <w:rsid w:val="00971C13"/>
    <w:rsid w:val="00980DB5"/>
    <w:rsid w:val="00981A28"/>
    <w:rsid w:val="00982307"/>
    <w:rsid w:val="00983437"/>
    <w:rsid w:val="009869AF"/>
    <w:rsid w:val="0098759E"/>
    <w:rsid w:val="00987F5F"/>
    <w:rsid w:val="00992414"/>
    <w:rsid w:val="00995732"/>
    <w:rsid w:val="009A0F14"/>
    <w:rsid w:val="009A3CC3"/>
    <w:rsid w:val="009A6E35"/>
    <w:rsid w:val="009B2902"/>
    <w:rsid w:val="009B2D4B"/>
    <w:rsid w:val="009B438A"/>
    <w:rsid w:val="009B4400"/>
    <w:rsid w:val="009B6950"/>
    <w:rsid w:val="009B7AC2"/>
    <w:rsid w:val="009C336B"/>
    <w:rsid w:val="009C33F4"/>
    <w:rsid w:val="009C40EE"/>
    <w:rsid w:val="009C4DD2"/>
    <w:rsid w:val="009C6D26"/>
    <w:rsid w:val="009C7513"/>
    <w:rsid w:val="009C7742"/>
    <w:rsid w:val="009D13ED"/>
    <w:rsid w:val="009D1FF0"/>
    <w:rsid w:val="009D3364"/>
    <w:rsid w:val="009D5723"/>
    <w:rsid w:val="009D7C48"/>
    <w:rsid w:val="009E09ED"/>
    <w:rsid w:val="009E1A99"/>
    <w:rsid w:val="009E22F6"/>
    <w:rsid w:val="009E308E"/>
    <w:rsid w:val="009E3D47"/>
    <w:rsid w:val="009E53BD"/>
    <w:rsid w:val="009E587C"/>
    <w:rsid w:val="009E6DE9"/>
    <w:rsid w:val="009E72E5"/>
    <w:rsid w:val="009E74F7"/>
    <w:rsid w:val="009F697E"/>
    <w:rsid w:val="009F7652"/>
    <w:rsid w:val="00A00EFE"/>
    <w:rsid w:val="00A01A60"/>
    <w:rsid w:val="00A01C9F"/>
    <w:rsid w:val="00A0286E"/>
    <w:rsid w:val="00A02E1B"/>
    <w:rsid w:val="00A04BA9"/>
    <w:rsid w:val="00A05280"/>
    <w:rsid w:val="00A05EC5"/>
    <w:rsid w:val="00A0630E"/>
    <w:rsid w:val="00A07ECB"/>
    <w:rsid w:val="00A106A7"/>
    <w:rsid w:val="00A10739"/>
    <w:rsid w:val="00A148A2"/>
    <w:rsid w:val="00A15CB4"/>
    <w:rsid w:val="00A1794E"/>
    <w:rsid w:val="00A17F63"/>
    <w:rsid w:val="00A20B37"/>
    <w:rsid w:val="00A20D78"/>
    <w:rsid w:val="00A2358B"/>
    <w:rsid w:val="00A2496D"/>
    <w:rsid w:val="00A25B60"/>
    <w:rsid w:val="00A261CA"/>
    <w:rsid w:val="00A2732E"/>
    <w:rsid w:val="00A304C9"/>
    <w:rsid w:val="00A30F53"/>
    <w:rsid w:val="00A33537"/>
    <w:rsid w:val="00A364F4"/>
    <w:rsid w:val="00A4058C"/>
    <w:rsid w:val="00A423AF"/>
    <w:rsid w:val="00A4245B"/>
    <w:rsid w:val="00A42570"/>
    <w:rsid w:val="00A431F4"/>
    <w:rsid w:val="00A44DA4"/>
    <w:rsid w:val="00A45AB7"/>
    <w:rsid w:val="00A4692F"/>
    <w:rsid w:val="00A4735F"/>
    <w:rsid w:val="00A5110B"/>
    <w:rsid w:val="00A51A7E"/>
    <w:rsid w:val="00A553A7"/>
    <w:rsid w:val="00A57E96"/>
    <w:rsid w:val="00A6146E"/>
    <w:rsid w:val="00A61863"/>
    <w:rsid w:val="00A63629"/>
    <w:rsid w:val="00A6382A"/>
    <w:rsid w:val="00A65215"/>
    <w:rsid w:val="00A657E6"/>
    <w:rsid w:val="00A665AB"/>
    <w:rsid w:val="00A7139F"/>
    <w:rsid w:val="00A724C3"/>
    <w:rsid w:val="00A72713"/>
    <w:rsid w:val="00A77317"/>
    <w:rsid w:val="00A819D3"/>
    <w:rsid w:val="00A81E52"/>
    <w:rsid w:val="00A82F76"/>
    <w:rsid w:val="00A83216"/>
    <w:rsid w:val="00A8321E"/>
    <w:rsid w:val="00A83236"/>
    <w:rsid w:val="00A8330D"/>
    <w:rsid w:val="00A83CC0"/>
    <w:rsid w:val="00A85999"/>
    <w:rsid w:val="00A86B00"/>
    <w:rsid w:val="00A86CE9"/>
    <w:rsid w:val="00A902E5"/>
    <w:rsid w:val="00A90DC9"/>
    <w:rsid w:val="00A915BC"/>
    <w:rsid w:val="00A9246B"/>
    <w:rsid w:val="00A92525"/>
    <w:rsid w:val="00A95149"/>
    <w:rsid w:val="00A95C3B"/>
    <w:rsid w:val="00A97502"/>
    <w:rsid w:val="00AA089A"/>
    <w:rsid w:val="00AA2ECE"/>
    <w:rsid w:val="00AA3DE7"/>
    <w:rsid w:val="00AA5D37"/>
    <w:rsid w:val="00AA6DE5"/>
    <w:rsid w:val="00AA7431"/>
    <w:rsid w:val="00AB144E"/>
    <w:rsid w:val="00AB316C"/>
    <w:rsid w:val="00AB31AE"/>
    <w:rsid w:val="00AB3257"/>
    <w:rsid w:val="00AB4C17"/>
    <w:rsid w:val="00AB52EA"/>
    <w:rsid w:val="00AB5CDF"/>
    <w:rsid w:val="00AC01F3"/>
    <w:rsid w:val="00AC06BC"/>
    <w:rsid w:val="00AC0C29"/>
    <w:rsid w:val="00AC2446"/>
    <w:rsid w:val="00AC3C97"/>
    <w:rsid w:val="00AC7764"/>
    <w:rsid w:val="00AC78ED"/>
    <w:rsid w:val="00AD02CE"/>
    <w:rsid w:val="00AD05AF"/>
    <w:rsid w:val="00AD1BCB"/>
    <w:rsid w:val="00AD1E37"/>
    <w:rsid w:val="00AD2481"/>
    <w:rsid w:val="00AD25B5"/>
    <w:rsid w:val="00AD3479"/>
    <w:rsid w:val="00AD3BFC"/>
    <w:rsid w:val="00AD50B7"/>
    <w:rsid w:val="00AD64FC"/>
    <w:rsid w:val="00AD6B1C"/>
    <w:rsid w:val="00AE1429"/>
    <w:rsid w:val="00AE386F"/>
    <w:rsid w:val="00AE71C4"/>
    <w:rsid w:val="00AE7316"/>
    <w:rsid w:val="00AF0303"/>
    <w:rsid w:val="00AF0C02"/>
    <w:rsid w:val="00AF1D6D"/>
    <w:rsid w:val="00AF4B01"/>
    <w:rsid w:val="00AF5F1D"/>
    <w:rsid w:val="00AF6981"/>
    <w:rsid w:val="00AF6A5C"/>
    <w:rsid w:val="00AF70A2"/>
    <w:rsid w:val="00AF777C"/>
    <w:rsid w:val="00B000FA"/>
    <w:rsid w:val="00B01BC6"/>
    <w:rsid w:val="00B02D23"/>
    <w:rsid w:val="00B065EE"/>
    <w:rsid w:val="00B07F1E"/>
    <w:rsid w:val="00B10667"/>
    <w:rsid w:val="00B11BCB"/>
    <w:rsid w:val="00B136D8"/>
    <w:rsid w:val="00B13B79"/>
    <w:rsid w:val="00B13FA2"/>
    <w:rsid w:val="00B16048"/>
    <w:rsid w:val="00B212B9"/>
    <w:rsid w:val="00B22515"/>
    <w:rsid w:val="00B2277C"/>
    <w:rsid w:val="00B227D4"/>
    <w:rsid w:val="00B23216"/>
    <w:rsid w:val="00B23E29"/>
    <w:rsid w:val="00B24FD4"/>
    <w:rsid w:val="00B25844"/>
    <w:rsid w:val="00B25DD3"/>
    <w:rsid w:val="00B265D3"/>
    <w:rsid w:val="00B30F5D"/>
    <w:rsid w:val="00B316D9"/>
    <w:rsid w:val="00B31A0A"/>
    <w:rsid w:val="00B32FDF"/>
    <w:rsid w:val="00B35B11"/>
    <w:rsid w:val="00B36F45"/>
    <w:rsid w:val="00B37AE5"/>
    <w:rsid w:val="00B37B0F"/>
    <w:rsid w:val="00B37B59"/>
    <w:rsid w:val="00B37BB6"/>
    <w:rsid w:val="00B4092B"/>
    <w:rsid w:val="00B4125A"/>
    <w:rsid w:val="00B42096"/>
    <w:rsid w:val="00B43935"/>
    <w:rsid w:val="00B457EC"/>
    <w:rsid w:val="00B465A1"/>
    <w:rsid w:val="00B51DFD"/>
    <w:rsid w:val="00B54375"/>
    <w:rsid w:val="00B547E9"/>
    <w:rsid w:val="00B558EF"/>
    <w:rsid w:val="00B563D7"/>
    <w:rsid w:val="00B577C0"/>
    <w:rsid w:val="00B5795B"/>
    <w:rsid w:val="00B6118B"/>
    <w:rsid w:val="00B627D7"/>
    <w:rsid w:val="00B629B0"/>
    <w:rsid w:val="00B63DF2"/>
    <w:rsid w:val="00B63E5F"/>
    <w:rsid w:val="00B6483B"/>
    <w:rsid w:val="00B648FF"/>
    <w:rsid w:val="00B64DEE"/>
    <w:rsid w:val="00B667D2"/>
    <w:rsid w:val="00B70A0D"/>
    <w:rsid w:val="00B710B8"/>
    <w:rsid w:val="00B71AB5"/>
    <w:rsid w:val="00B74456"/>
    <w:rsid w:val="00B751D1"/>
    <w:rsid w:val="00B754B5"/>
    <w:rsid w:val="00B75AF1"/>
    <w:rsid w:val="00B76D42"/>
    <w:rsid w:val="00B810A8"/>
    <w:rsid w:val="00B826D4"/>
    <w:rsid w:val="00B829D2"/>
    <w:rsid w:val="00B8333E"/>
    <w:rsid w:val="00B87E39"/>
    <w:rsid w:val="00B903F0"/>
    <w:rsid w:val="00B90403"/>
    <w:rsid w:val="00B925B3"/>
    <w:rsid w:val="00B926C1"/>
    <w:rsid w:val="00B9285D"/>
    <w:rsid w:val="00B938CB"/>
    <w:rsid w:val="00B94048"/>
    <w:rsid w:val="00B9524E"/>
    <w:rsid w:val="00B95ADC"/>
    <w:rsid w:val="00B963E7"/>
    <w:rsid w:val="00B96D72"/>
    <w:rsid w:val="00BA099B"/>
    <w:rsid w:val="00BA438C"/>
    <w:rsid w:val="00BA5BC4"/>
    <w:rsid w:val="00BA6F22"/>
    <w:rsid w:val="00BA7063"/>
    <w:rsid w:val="00BB1618"/>
    <w:rsid w:val="00BB429C"/>
    <w:rsid w:val="00BB5D88"/>
    <w:rsid w:val="00BB5E81"/>
    <w:rsid w:val="00BB7F55"/>
    <w:rsid w:val="00BC02E7"/>
    <w:rsid w:val="00BC03EE"/>
    <w:rsid w:val="00BC0822"/>
    <w:rsid w:val="00BC1E4D"/>
    <w:rsid w:val="00BC2DE0"/>
    <w:rsid w:val="00BC345D"/>
    <w:rsid w:val="00BC39A2"/>
    <w:rsid w:val="00BC39B5"/>
    <w:rsid w:val="00BC4779"/>
    <w:rsid w:val="00BC6688"/>
    <w:rsid w:val="00BC76CB"/>
    <w:rsid w:val="00BD05A1"/>
    <w:rsid w:val="00BD0AC8"/>
    <w:rsid w:val="00BD2178"/>
    <w:rsid w:val="00BD244F"/>
    <w:rsid w:val="00BD3CA2"/>
    <w:rsid w:val="00BD47E3"/>
    <w:rsid w:val="00BD4A57"/>
    <w:rsid w:val="00BD55A2"/>
    <w:rsid w:val="00BD7E26"/>
    <w:rsid w:val="00BE068C"/>
    <w:rsid w:val="00BE1230"/>
    <w:rsid w:val="00BE17A1"/>
    <w:rsid w:val="00BE2891"/>
    <w:rsid w:val="00BE370D"/>
    <w:rsid w:val="00BE39B9"/>
    <w:rsid w:val="00BE51BD"/>
    <w:rsid w:val="00BE5725"/>
    <w:rsid w:val="00BE59BC"/>
    <w:rsid w:val="00BF0948"/>
    <w:rsid w:val="00BF0989"/>
    <w:rsid w:val="00BF0C31"/>
    <w:rsid w:val="00BF1450"/>
    <w:rsid w:val="00BF149E"/>
    <w:rsid w:val="00BF366D"/>
    <w:rsid w:val="00BF3674"/>
    <w:rsid w:val="00BF4E5D"/>
    <w:rsid w:val="00BF524C"/>
    <w:rsid w:val="00BF5CE3"/>
    <w:rsid w:val="00BF669F"/>
    <w:rsid w:val="00BF7895"/>
    <w:rsid w:val="00C000B6"/>
    <w:rsid w:val="00C01EBC"/>
    <w:rsid w:val="00C02E10"/>
    <w:rsid w:val="00C05E53"/>
    <w:rsid w:val="00C071B8"/>
    <w:rsid w:val="00C10F7D"/>
    <w:rsid w:val="00C10FDA"/>
    <w:rsid w:val="00C11075"/>
    <w:rsid w:val="00C1272A"/>
    <w:rsid w:val="00C14724"/>
    <w:rsid w:val="00C150C8"/>
    <w:rsid w:val="00C17635"/>
    <w:rsid w:val="00C1797D"/>
    <w:rsid w:val="00C20C47"/>
    <w:rsid w:val="00C20F83"/>
    <w:rsid w:val="00C21166"/>
    <w:rsid w:val="00C21D17"/>
    <w:rsid w:val="00C228EA"/>
    <w:rsid w:val="00C22E28"/>
    <w:rsid w:val="00C246F5"/>
    <w:rsid w:val="00C25A21"/>
    <w:rsid w:val="00C25D21"/>
    <w:rsid w:val="00C2777E"/>
    <w:rsid w:val="00C27AA4"/>
    <w:rsid w:val="00C27EBB"/>
    <w:rsid w:val="00C31096"/>
    <w:rsid w:val="00C31379"/>
    <w:rsid w:val="00C336C5"/>
    <w:rsid w:val="00C34CDC"/>
    <w:rsid w:val="00C3680D"/>
    <w:rsid w:val="00C40938"/>
    <w:rsid w:val="00C4155C"/>
    <w:rsid w:val="00C43539"/>
    <w:rsid w:val="00C4498B"/>
    <w:rsid w:val="00C4728A"/>
    <w:rsid w:val="00C475FD"/>
    <w:rsid w:val="00C52FB4"/>
    <w:rsid w:val="00C53094"/>
    <w:rsid w:val="00C5319D"/>
    <w:rsid w:val="00C54AF1"/>
    <w:rsid w:val="00C55875"/>
    <w:rsid w:val="00C55E56"/>
    <w:rsid w:val="00C56428"/>
    <w:rsid w:val="00C61305"/>
    <w:rsid w:val="00C63F0B"/>
    <w:rsid w:val="00C6414B"/>
    <w:rsid w:val="00C64899"/>
    <w:rsid w:val="00C64F02"/>
    <w:rsid w:val="00C6764C"/>
    <w:rsid w:val="00C67849"/>
    <w:rsid w:val="00C679CA"/>
    <w:rsid w:val="00C67B44"/>
    <w:rsid w:val="00C70092"/>
    <w:rsid w:val="00C725FB"/>
    <w:rsid w:val="00C73220"/>
    <w:rsid w:val="00C73D1A"/>
    <w:rsid w:val="00C74385"/>
    <w:rsid w:val="00C746FB"/>
    <w:rsid w:val="00C7541A"/>
    <w:rsid w:val="00C760DA"/>
    <w:rsid w:val="00C7624C"/>
    <w:rsid w:val="00C771C3"/>
    <w:rsid w:val="00C771F4"/>
    <w:rsid w:val="00C774B0"/>
    <w:rsid w:val="00C77A1E"/>
    <w:rsid w:val="00C77FB1"/>
    <w:rsid w:val="00C82285"/>
    <w:rsid w:val="00C82A45"/>
    <w:rsid w:val="00C83B1B"/>
    <w:rsid w:val="00C84EB5"/>
    <w:rsid w:val="00C85337"/>
    <w:rsid w:val="00C87602"/>
    <w:rsid w:val="00C908AD"/>
    <w:rsid w:val="00C91217"/>
    <w:rsid w:val="00C91C65"/>
    <w:rsid w:val="00C922D7"/>
    <w:rsid w:val="00C92509"/>
    <w:rsid w:val="00C92556"/>
    <w:rsid w:val="00C92A91"/>
    <w:rsid w:val="00C93B15"/>
    <w:rsid w:val="00C942B7"/>
    <w:rsid w:val="00C94600"/>
    <w:rsid w:val="00C94EF6"/>
    <w:rsid w:val="00C95618"/>
    <w:rsid w:val="00CA06EC"/>
    <w:rsid w:val="00CA2A66"/>
    <w:rsid w:val="00CA304A"/>
    <w:rsid w:val="00CA48A6"/>
    <w:rsid w:val="00CA6C61"/>
    <w:rsid w:val="00CA6CFC"/>
    <w:rsid w:val="00CA78A3"/>
    <w:rsid w:val="00CB1CEE"/>
    <w:rsid w:val="00CB4593"/>
    <w:rsid w:val="00CB6F99"/>
    <w:rsid w:val="00CB74AC"/>
    <w:rsid w:val="00CC0E74"/>
    <w:rsid w:val="00CC212B"/>
    <w:rsid w:val="00CC4224"/>
    <w:rsid w:val="00CC4282"/>
    <w:rsid w:val="00CC5141"/>
    <w:rsid w:val="00CC52B6"/>
    <w:rsid w:val="00CC5EEB"/>
    <w:rsid w:val="00CC6127"/>
    <w:rsid w:val="00CC6236"/>
    <w:rsid w:val="00CC7918"/>
    <w:rsid w:val="00CD03C9"/>
    <w:rsid w:val="00CD05F0"/>
    <w:rsid w:val="00CD16D5"/>
    <w:rsid w:val="00CD1FB2"/>
    <w:rsid w:val="00CD205E"/>
    <w:rsid w:val="00CD3CD3"/>
    <w:rsid w:val="00CD6F9F"/>
    <w:rsid w:val="00CD725C"/>
    <w:rsid w:val="00CE473C"/>
    <w:rsid w:val="00CE7F0A"/>
    <w:rsid w:val="00CF06DA"/>
    <w:rsid w:val="00CF13A2"/>
    <w:rsid w:val="00CF2BAE"/>
    <w:rsid w:val="00CF4307"/>
    <w:rsid w:val="00D001A8"/>
    <w:rsid w:val="00D003F3"/>
    <w:rsid w:val="00D00416"/>
    <w:rsid w:val="00D015C6"/>
    <w:rsid w:val="00D016BF"/>
    <w:rsid w:val="00D024AD"/>
    <w:rsid w:val="00D028CA"/>
    <w:rsid w:val="00D03177"/>
    <w:rsid w:val="00D03E3E"/>
    <w:rsid w:val="00D04F19"/>
    <w:rsid w:val="00D05F96"/>
    <w:rsid w:val="00D1008A"/>
    <w:rsid w:val="00D10EDA"/>
    <w:rsid w:val="00D14DD5"/>
    <w:rsid w:val="00D14F72"/>
    <w:rsid w:val="00D15EC0"/>
    <w:rsid w:val="00D15EE8"/>
    <w:rsid w:val="00D16DC8"/>
    <w:rsid w:val="00D1717D"/>
    <w:rsid w:val="00D2167D"/>
    <w:rsid w:val="00D21775"/>
    <w:rsid w:val="00D218E9"/>
    <w:rsid w:val="00D2284F"/>
    <w:rsid w:val="00D229FE"/>
    <w:rsid w:val="00D23BD2"/>
    <w:rsid w:val="00D26270"/>
    <w:rsid w:val="00D26F4E"/>
    <w:rsid w:val="00D2771D"/>
    <w:rsid w:val="00D30184"/>
    <w:rsid w:val="00D30A40"/>
    <w:rsid w:val="00D31D58"/>
    <w:rsid w:val="00D32427"/>
    <w:rsid w:val="00D33481"/>
    <w:rsid w:val="00D33CE1"/>
    <w:rsid w:val="00D40084"/>
    <w:rsid w:val="00D40373"/>
    <w:rsid w:val="00D406A3"/>
    <w:rsid w:val="00D4189A"/>
    <w:rsid w:val="00D428DF"/>
    <w:rsid w:val="00D4455D"/>
    <w:rsid w:val="00D44C78"/>
    <w:rsid w:val="00D46B28"/>
    <w:rsid w:val="00D47929"/>
    <w:rsid w:val="00D50957"/>
    <w:rsid w:val="00D50BFD"/>
    <w:rsid w:val="00D537DE"/>
    <w:rsid w:val="00D55C5A"/>
    <w:rsid w:val="00D56767"/>
    <w:rsid w:val="00D6006C"/>
    <w:rsid w:val="00D612A0"/>
    <w:rsid w:val="00D621AF"/>
    <w:rsid w:val="00D63338"/>
    <w:rsid w:val="00D648E9"/>
    <w:rsid w:val="00D67097"/>
    <w:rsid w:val="00D675F2"/>
    <w:rsid w:val="00D67ACF"/>
    <w:rsid w:val="00D67E7A"/>
    <w:rsid w:val="00D70826"/>
    <w:rsid w:val="00D71ED6"/>
    <w:rsid w:val="00D7416B"/>
    <w:rsid w:val="00D75234"/>
    <w:rsid w:val="00D7618A"/>
    <w:rsid w:val="00D764CA"/>
    <w:rsid w:val="00D80434"/>
    <w:rsid w:val="00D80729"/>
    <w:rsid w:val="00D81834"/>
    <w:rsid w:val="00D8509D"/>
    <w:rsid w:val="00D86847"/>
    <w:rsid w:val="00D86DC9"/>
    <w:rsid w:val="00D87762"/>
    <w:rsid w:val="00D913A1"/>
    <w:rsid w:val="00D91496"/>
    <w:rsid w:val="00D91D45"/>
    <w:rsid w:val="00D939C1"/>
    <w:rsid w:val="00D95C3D"/>
    <w:rsid w:val="00D95C6B"/>
    <w:rsid w:val="00DA0A69"/>
    <w:rsid w:val="00DA0D67"/>
    <w:rsid w:val="00DA2849"/>
    <w:rsid w:val="00DA3611"/>
    <w:rsid w:val="00DA61AD"/>
    <w:rsid w:val="00DB06E4"/>
    <w:rsid w:val="00DB1423"/>
    <w:rsid w:val="00DB18EA"/>
    <w:rsid w:val="00DB1EFF"/>
    <w:rsid w:val="00DB3BEA"/>
    <w:rsid w:val="00DB46CE"/>
    <w:rsid w:val="00DB544D"/>
    <w:rsid w:val="00DB55C0"/>
    <w:rsid w:val="00DB638F"/>
    <w:rsid w:val="00DC1ABC"/>
    <w:rsid w:val="00DC43AE"/>
    <w:rsid w:val="00DC4E90"/>
    <w:rsid w:val="00DD1444"/>
    <w:rsid w:val="00DD5DE3"/>
    <w:rsid w:val="00DD67F2"/>
    <w:rsid w:val="00DE0592"/>
    <w:rsid w:val="00DE27E2"/>
    <w:rsid w:val="00DE37B7"/>
    <w:rsid w:val="00DE3C75"/>
    <w:rsid w:val="00DE4FC9"/>
    <w:rsid w:val="00DE54C9"/>
    <w:rsid w:val="00DE71CF"/>
    <w:rsid w:val="00DE7D52"/>
    <w:rsid w:val="00DF06EE"/>
    <w:rsid w:val="00DF11D6"/>
    <w:rsid w:val="00DF1F7F"/>
    <w:rsid w:val="00DF40F2"/>
    <w:rsid w:val="00DF7281"/>
    <w:rsid w:val="00E0024C"/>
    <w:rsid w:val="00E040B0"/>
    <w:rsid w:val="00E04DC7"/>
    <w:rsid w:val="00E06FAB"/>
    <w:rsid w:val="00E15FF5"/>
    <w:rsid w:val="00E17A32"/>
    <w:rsid w:val="00E17FFB"/>
    <w:rsid w:val="00E20984"/>
    <w:rsid w:val="00E21BAF"/>
    <w:rsid w:val="00E22B5F"/>
    <w:rsid w:val="00E24016"/>
    <w:rsid w:val="00E26A5F"/>
    <w:rsid w:val="00E27E72"/>
    <w:rsid w:val="00E34753"/>
    <w:rsid w:val="00E352AC"/>
    <w:rsid w:val="00E4286C"/>
    <w:rsid w:val="00E47A5F"/>
    <w:rsid w:val="00E51D85"/>
    <w:rsid w:val="00E526AF"/>
    <w:rsid w:val="00E5519D"/>
    <w:rsid w:val="00E6063E"/>
    <w:rsid w:val="00E60D3D"/>
    <w:rsid w:val="00E60F22"/>
    <w:rsid w:val="00E61381"/>
    <w:rsid w:val="00E61BB9"/>
    <w:rsid w:val="00E61FA8"/>
    <w:rsid w:val="00E6291E"/>
    <w:rsid w:val="00E63599"/>
    <w:rsid w:val="00E63617"/>
    <w:rsid w:val="00E63919"/>
    <w:rsid w:val="00E649BD"/>
    <w:rsid w:val="00E654C2"/>
    <w:rsid w:val="00E65711"/>
    <w:rsid w:val="00E70080"/>
    <w:rsid w:val="00E717D0"/>
    <w:rsid w:val="00E72AD7"/>
    <w:rsid w:val="00E73295"/>
    <w:rsid w:val="00E733B6"/>
    <w:rsid w:val="00E73559"/>
    <w:rsid w:val="00E76224"/>
    <w:rsid w:val="00E76628"/>
    <w:rsid w:val="00E83432"/>
    <w:rsid w:val="00E85009"/>
    <w:rsid w:val="00E86715"/>
    <w:rsid w:val="00E86B05"/>
    <w:rsid w:val="00E913A4"/>
    <w:rsid w:val="00E92531"/>
    <w:rsid w:val="00E928D3"/>
    <w:rsid w:val="00E933D8"/>
    <w:rsid w:val="00E96346"/>
    <w:rsid w:val="00E96986"/>
    <w:rsid w:val="00E978FC"/>
    <w:rsid w:val="00E97DF1"/>
    <w:rsid w:val="00E97F74"/>
    <w:rsid w:val="00EA2A4C"/>
    <w:rsid w:val="00EA402B"/>
    <w:rsid w:val="00EA463E"/>
    <w:rsid w:val="00EA4C52"/>
    <w:rsid w:val="00EA71BA"/>
    <w:rsid w:val="00EA7A12"/>
    <w:rsid w:val="00EB1D62"/>
    <w:rsid w:val="00EB4B08"/>
    <w:rsid w:val="00EB5A19"/>
    <w:rsid w:val="00EB5F0B"/>
    <w:rsid w:val="00EB639A"/>
    <w:rsid w:val="00EB7858"/>
    <w:rsid w:val="00EC041B"/>
    <w:rsid w:val="00EC130B"/>
    <w:rsid w:val="00EC443B"/>
    <w:rsid w:val="00EC44A2"/>
    <w:rsid w:val="00ED47D2"/>
    <w:rsid w:val="00ED496E"/>
    <w:rsid w:val="00ED4D3B"/>
    <w:rsid w:val="00ED63A3"/>
    <w:rsid w:val="00EE1352"/>
    <w:rsid w:val="00EE194D"/>
    <w:rsid w:val="00EE3E01"/>
    <w:rsid w:val="00EE4535"/>
    <w:rsid w:val="00EE4E2D"/>
    <w:rsid w:val="00EE523E"/>
    <w:rsid w:val="00EE561C"/>
    <w:rsid w:val="00EE587D"/>
    <w:rsid w:val="00EE7A96"/>
    <w:rsid w:val="00EF23F7"/>
    <w:rsid w:val="00EF2AD0"/>
    <w:rsid w:val="00EF2F8D"/>
    <w:rsid w:val="00EF4C6A"/>
    <w:rsid w:val="00EF5F01"/>
    <w:rsid w:val="00F0090A"/>
    <w:rsid w:val="00F01A4D"/>
    <w:rsid w:val="00F03932"/>
    <w:rsid w:val="00F03D59"/>
    <w:rsid w:val="00F042DB"/>
    <w:rsid w:val="00F04ACB"/>
    <w:rsid w:val="00F06D09"/>
    <w:rsid w:val="00F07267"/>
    <w:rsid w:val="00F07827"/>
    <w:rsid w:val="00F114B7"/>
    <w:rsid w:val="00F14CD1"/>
    <w:rsid w:val="00F16345"/>
    <w:rsid w:val="00F213DF"/>
    <w:rsid w:val="00F21AA0"/>
    <w:rsid w:val="00F220B9"/>
    <w:rsid w:val="00F2255C"/>
    <w:rsid w:val="00F2274B"/>
    <w:rsid w:val="00F22CA7"/>
    <w:rsid w:val="00F24137"/>
    <w:rsid w:val="00F265ED"/>
    <w:rsid w:val="00F26C93"/>
    <w:rsid w:val="00F27123"/>
    <w:rsid w:val="00F27959"/>
    <w:rsid w:val="00F27E6D"/>
    <w:rsid w:val="00F30ABA"/>
    <w:rsid w:val="00F30D9E"/>
    <w:rsid w:val="00F31F59"/>
    <w:rsid w:val="00F32FE4"/>
    <w:rsid w:val="00F34F8C"/>
    <w:rsid w:val="00F369DA"/>
    <w:rsid w:val="00F37DE8"/>
    <w:rsid w:val="00F37DFB"/>
    <w:rsid w:val="00F40232"/>
    <w:rsid w:val="00F40266"/>
    <w:rsid w:val="00F40531"/>
    <w:rsid w:val="00F43E2A"/>
    <w:rsid w:val="00F44D78"/>
    <w:rsid w:val="00F4797F"/>
    <w:rsid w:val="00F50BB7"/>
    <w:rsid w:val="00F5197E"/>
    <w:rsid w:val="00F526C5"/>
    <w:rsid w:val="00F5336A"/>
    <w:rsid w:val="00F5548F"/>
    <w:rsid w:val="00F55B8D"/>
    <w:rsid w:val="00F57452"/>
    <w:rsid w:val="00F57EE4"/>
    <w:rsid w:val="00F61431"/>
    <w:rsid w:val="00F615AE"/>
    <w:rsid w:val="00F61E8E"/>
    <w:rsid w:val="00F61FBF"/>
    <w:rsid w:val="00F62252"/>
    <w:rsid w:val="00F63482"/>
    <w:rsid w:val="00F6554F"/>
    <w:rsid w:val="00F65898"/>
    <w:rsid w:val="00F65D1B"/>
    <w:rsid w:val="00F668C8"/>
    <w:rsid w:val="00F66DE6"/>
    <w:rsid w:val="00F70908"/>
    <w:rsid w:val="00F72548"/>
    <w:rsid w:val="00F72753"/>
    <w:rsid w:val="00F75681"/>
    <w:rsid w:val="00F77A74"/>
    <w:rsid w:val="00F80AA7"/>
    <w:rsid w:val="00F80EA2"/>
    <w:rsid w:val="00F836B2"/>
    <w:rsid w:val="00F8378F"/>
    <w:rsid w:val="00F84199"/>
    <w:rsid w:val="00F84210"/>
    <w:rsid w:val="00F90C88"/>
    <w:rsid w:val="00F90DB3"/>
    <w:rsid w:val="00F92894"/>
    <w:rsid w:val="00F92C07"/>
    <w:rsid w:val="00F92FCE"/>
    <w:rsid w:val="00F944AF"/>
    <w:rsid w:val="00F968E3"/>
    <w:rsid w:val="00F97332"/>
    <w:rsid w:val="00FA02AD"/>
    <w:rsid w:val="00FA55CB"/>
    <w:rsid w:val="00FA783B"/>
    <w:rsid w:val="00FB165B"/>
    <w:rsid w:val="00FB432D"/>
    <w:rsid w:val="00FB4F72"/>
    <w:rsid w:val="00FB5833"/>
    <w:rsid w:val="00FB7B70"/>
    <w:rsid w:val="00FC1520"/>
    <w:rsid w:val="00FC187C"/>
    <w:rsid w:val="00FC3AA6"/>
    <w:rsid w:val="00FC459B"/>
    <w:rsid w:val="00FC6A98"/>
    <w:rsid w:val="00FC79DE"/>
    <w:rsid w:val="00FD06F0"/>
    <w:rsid w:val="00FD0A8E"/>
    <w:rsid w:val="00FD152F"/>
    <w:rsid w:val="00FD1910"/>
    <w:rsid w:val="00FD3954"/>
    <w:rsid w:val="00FD677D"/>
    <w:rsid w:val="00FE21CC"/>
    <w:rsid w:val="00FE59EF"/>
    <w:rsid w:val="00FE6E96"/>
    <w:rsid w:val="00FE7234"/>
    <w:rsid w:val="00FF2B32"/>
    <w:rsid w:val="00FF3C05"/>
    <w:rsid w:val="00FF3F66"/>
    <w:rsid w:val="00FF6B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0,0,0,0"/>
    </o:shapedefaults>
    <o:shapelayout v:ext="edit">
      <o:idmap v:ext="edit" data="2"/>
    </o:shapelayout>
  </w:shapeDefaults>
  <w:decimalSymbol w:val="."/>
  <w:listSeparator w:val=","/>
  <w14:docId w14:val="40BD4027"/>
  <w15:docId w15:val="{77A22088-0304-4B1B-8294-1B48F6B4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40938"/>
    <w:pPr>
      <w:widowControl w:val="0"/>
      <w:adjustRightInd w:val="0"/>
      <w:spacing w:line="360" w:lineRule="atLeast"/>
      <w:jc w:val="both"/>
      <w:textAlignment w:val="baseline"/>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57556C"/>
    <w:pPr>
      <w:tabs>
        <w:tab w:val="center" w:pos="4252"/>
        <w:tab w:val="right" w:pos="8504"/>
      </w:tabs>
    </w:pPr>
  </w:style>
  <w:style w:type="paragraph" w:styleId="a5">
    <w:name w:val="footer"/>
    <w:basedOn w:val="a0"/>
    <w:rsid w:val="0057556C"/>
    <w:pPr>
      <w:tabs>
        <w:tab w:val="center" w:pos="4252"/>
        <w:tab w:val="right" w:pos="8504"/>
      </w:tabs>
    </w:pPr>
  </w:style>
  <w:style w:type="character" w:styleId="a6">
    <w:name w:val="page number"/>
    <w:basedOn w:val="a1"/>
    <w:rsid w:val="0057556C"/>
  </w:style>
  <w:style w:type="paragraph" w:customStyle="1" w:styleId="references">
    <w:name w:val="references"/>
    <w:basedOn w:val="a0"/>
    <w:rsid w:val="007A6C2B"/>
    <w:pPr>
      <w:numPr>
        <w:numId w:val="9"/>
      </w:numPr>
    </w:pPr>
    <w:rPr>
      <w:rFonts w:ascii="Times New Roman" w:hAnsi="Times New Roman"/>
    </w:rPr>
  </w:style>
  <w:style w:type="paragraph" w:styleId="a7">
    <w:name w:val="List Paragraph"/>
    <w:basedOn w:val="a0"/>
    <w:link w:val="a8"/>
    <w:uiPriority w:val="34"/>
    <w:qFormat/>
    <w:rsid w:val="00AD2481"/>
    <w:pPr>
      <w:ind w:leftChars="400" w:left="840"/>
    </w:pPr>
  </w:style>
  <w:style w:type="paragraph" w:styleId="a9">
    <w:name w:val="Balloon Text"/>
    <w:basedOn w:val="a0"/>
    <w:link w:val="aa"/>
    <w:rsid w:val="003023E9"/>
    <w:pPr>
      <w:spacing w:line="240" w:lineRule="auto"/>
    </w:pPr>
    <w:rPr>
      <w:rFonts w:asciiTheme="majorHAnsi" w:eastAsiaTheme="majorEastAsia" w:hAnsiTheme="majorHAnsi" w:cstheme="majorBidi"/>
      <w:sz w:val="18"/>
      <w:szCs w:val="18"/>
    </w:rPr>
  </w:style>
  <w:style w:type="character" w:customStyle="1" w:styleId="aa">
    <w:name w:val="吹き出し (文字)"/>
    <w:basedOn w:val="a1"/>
    <w:link w:val="a9"/>
    <w:rsid w:val="003023E9"/>
    <w:rPr>
      <w:rFonts w:asciiTheme="majorHAnsi" w:eastAsiaTheme="majorEastAsia" w:hAnsiTheme="majorHAnsi" w:cstheme="majorBidi"/>
      <w:sz w:val="18"/>
      <w:szCs w:val="18"/>
    </w:rPr>
  </w:style>
  <w:style w:type="paragraph" w:styleId="ab">
    <w:name w:val="Date"/>
    <w:basedOn w:val="a0"/>
    <w:next w:val="a0"/>
    <w:link w:val="ac"/>
    <w:rsid w:val="00B63E5F"/>
  </w:style>
  <w:style w:type="character" w:customStyle="1" w:styleId="ac">
    <w:name w:val="日付 (文字)"/>
    <w:basedOn w:val="a1"/>
    <w:link w:val="ab"/>
    <w:rsid w:val="00B63E5F"/>
    <w:rPr>
      <w:sz w:val="24"/>
    </w:rPr>
  </w:style>
  <w:style w:type="numbering" w:customStyle="1" w:styleId="1">
    <w:name w:val="現在のリスト1"/>
    <w:uiPriority w:val="99"/>
    <w:rsid w:val="007370B2"/>
    <w:pPr>
      <w:numPr>
        <w:numId w:val="20"/>
      </w:numPr>
    </w:pPr>
  </w:style>
  <w:style w:type="paragraph" w:styleId="a">
    <w:name w:val="List Bullet"/>
    <w:basedOn w:val="a0"/>
    <w:unhideWhenUsed/>
    <w:rsid w:val="009712E4"/>
    <w:pPr>
      <w:numPr>
        <w:numId w:val="22"/>
      </w:numPr>
      <w:contextualSpacing/>
    </w:pPr>
  </w:style>
  <w:style w:type="character" w:styleId="ad">
    <w:name w:val="Placeholder Text"/>
    <w:basedOn w:val="a1"/>
    <w:uiPriority w:val="99"/>
    <w:semiHidden/>
    <w:rsid w:val="008761CF"/>
    <w:rPr>
      <w:color w:val="808080"/>
    </w:rPr>
  </w:style>
  <w:style w:type="character" w:customStyle="1" w:styleId="a8">
    <w:name w:val="リスト段落 (文字)"/>
    <w:basedOn w:val="a1"/>
    <w:link w:val="a7"/>
    <w:uiPriority w:val="34"/>
    <w:rsid w:val="00811615"/>
    <w:rPr>
      <w:sz w:val="24"/>
    </w:rPr>
  </w:style>
  <w:style w:type="paragraph" w:styleId="ae">
    <w:name w:val="Revision"/>
    <w:hidden/>
    <w:uiPriority w:val="99"/>
    <w:semiHidden/>
    <w:rsid w:val="0041760B"/>
    <w:rPr>
      <w:sz w:val="24"/>
    </w:rPr>
  </w:style>
  <w:style w:type="character" w:styleId="af">
    <w:name w:val="annotation reference"/>
    <w:basedOn w:val="a1"/>
    <w:semiHidden/>
    <w:unhideWhenUsed/>
    <w:rsid w:val="00D428DF"/>
    <w:rPr>
      <w:sz w:val="18"/>
      <w:szCs w:val="18"/>
    </w:rPr>
  </w:style>
  <w:style w:type="paragraph" w:styleId="af0">
    <w:name w:val="annotation text"/>
    <w:basedOn w:val="a0"/>
    <w:link w:val="af1"/>
    <w:unhideWhenUsed/>
    <w:rsid w:val="00D428DF"/>
    <w:pPr>
      <w:jc w:val="left"/>
    </w:pPr>
  </w:style>
  <w:style w:type="character" w:customStyle="1" w:styleId="af1">
    <w:name w:val="コメント文字列 (文字)"/>
    <w:basedOn w:val="a1"/>
    <w:link w:val="af0"/>
    <w:rsid w:val="00D428DF"/>
    <w:rPr>
      <w:sz w:val="24"/>
    </w:rPr>
  </w:style>
  <w:style w:type="paragraph" w:styleId="af2">
    <w:name w:val="annotation subject"/>
    <w:basedOn w:val="af0"/>
    <w:next w:val="af0"/>
    <w:link w:val="af3"/>
    <w:semiHidden/>
    <w:unhideWhenUsed/>
    <w:rsid w:val="00D428DF"/>
    <w:rPr>
      <w:b/>
      <w:bCs/>
    </w:rPr>
  </w:style>
  <w:style w:type="character" w:customStyle="1" w:styleId="af3">
    <w:name w:val="コメント内容 (文字)"/>
    <w:basedOn w:val="af1"/>
    <w:link w:val="af2"/>
    <w:semiHidden/>
    <w:rsid w:val="00D428DF"/>
    <w:rPr>
      <w:b/>
      <w:bCs/>
      <w:sz w:val="24"/>
    </w:rPr>
  </w:style>
  <w:style w:type="table" w:styleId="af4">
    <w:name w:val="Table Grid"/>
    <w:basedOn w:val="a2"/>
    <w:rsid w:val="004A7A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semiHidden/>
    <w:unhideWhenUsed/>
    <w:rsid w:val="00C94600"/>
    <w:pPr>
      <w:widowControl/>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szCs w:val="24"/>
    </w:rPr>
  </w:style>
  <w:style w:type="table" w:customStyle="1" w:styleId="27">
    <w:name w:val="表 (格子)27"/>
    <w:basedOn w:val="a2"/>
    <w:next w:val="af4"/>
    <w:rsid w:val="00A902E5"/>
    <w:rPr>
      <w:rFonts w:ascii="Times New Roman" w:hAnsi="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62333">
      <w:bodyDiv w:val="1"/>
      <w:marLeft w:val="0"/>
      <w:marRight w:val="0"/>
      <w:marTop w:val="0"/>
      <w:marBottom w:val="0"/>
      <w:divBdr>
        <w:top w:val="none" w:sz="0" w:space="0" w:color="auto"/>
        <w:left w:val="none" w:sz="0" w:space="0" w:color="auto"/>
        <w:bottom w:val="none" w:sz="0" w:space="0" w:color="auto"/>
        <w:right w:val="none" w:sz="0" w:space="0" w:color="auto"/>
      </w:divBdr>
    </w:div>
    <w:div w:id="397020854">
      <w:bodyDiv w:val="1"/>
      <w:marLeft w:val="0"/>
      <w:marRight w:val="0"/>
      <w:marTop w:val="0"/>
      <w:marBottom w:val="0"/>
      <w:divBdr>
        <w:top w:val="none" w:sz="0" w:space="0" w:color="auto"/>
        <w:left w:val="none" w:sz="0" w:space="0" w:color="auto"/>
        <w:bottom w:val="none" w:sz="0" w:space="0" w:color="auto"/>
        <w:right w:val="none" w:sz="0" w:space="0" w:color="auto"/>
      </w:divBdr>
    </w:div>
    <w:div w:id="725183535">
      <w:bodyDiv w:val="1"/>
      <w:marLeft w:val="0"/>
      <w:marRight w:val="0"/>
      <w:marTop w:val="0"/>
      <w:marBottom w:val="0"/>
      <w:divBdr>
        <w:top w:val="none" w:sz="0" w:space="0" w:color="auto"/>
        <w:left w:val="none" w:sz="0" w:space="0" w:color="auto"/>
        <w:bottom w:val="none" w:sz="0" w:space="0" w:color="auto"/>
        <w:right w:val="none" w:sz="0" w:space="0" w:color="auto"/>
      </w:divBdr>
      <w:divsChild>
        <w:div w:id="1119647426">
          <w:marLeft w:val="0"/>
          <w:marRight w:val="0"/>
          <w:marTop w:val="0"/>
          <w:marBottom w:val="0"/>
          <w:divBdr>
            <w:top w:val="none" w:sz="0" w:space="0" w:color="auto"/>
            <w:left w:val="none" w:sz="0" w:space="0" w:color="auto"/>
            <w:bottom w:val="none" w:sz="0" w:space="0" w:color="auto"/>
            <w:right w:val="none" w:sz="0" w:space="0" w:color="auto"/>
          </w:divBdr>
          <w:divsChild>
            <w:div w:id="1007755885">
              <w:marLeft w:val="0"/>
              <w:marRight w:val="0"/>
              <w:marTop w:val="0"/>
              <w:marBottom w:val="0"/>
              <w:divBdr>
                <w:top w:val="none" w:sz="0" w:space="0" w:color="auto"/>
                <w:left w:val="none" w:sz="0" w:space="0" w:color="auto"/>
                <w:bottom w:val="none" w:sz="0" w:space="0" w:color="auto"/>
                <w:right w:val="none" w:sz="0" w:space="0" w:color="auto"/>
              </w:divBdr>
              <w:divsChild>
                <w:div w:id="13194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75514">
      <w:bodyDiv w:val="1"/>
      <w:marLeft w:val="0"/>
      <w:marRight w:val="0"/>
      <w:marTop w:val="0"/>
      <w:marBottom w:val="0"/>
      <w:divBdr>
        <w:top w:val="none" w:sz="0" w:space="0" w:color="auto"/>
        <w:left w:val="none" w:sz="0" w:space="0" w:color="auto"/>
        <w:bottom w:val="none" w:sz="0" w:space="0" w:color="auto"/>
        <w:right w:val="none" w:sz="0" w:space="0" w:color="auto"/>
      </w:divBdr>
    </w:div>
    <w:div w:id="1124930788">
      <w:bodyDiv w:val="1"/>
      <w:marLeft w:val="0"/>
      <w:marRight w:val="0"/>
      <w:marTop w:val="0"/>
      <w:marBottom w:val="0"/>
      <w:divBdr>
        <w:top w:val="none" w:sz="0" w:space="0" w:color="auto"/>
        <w:left w:val="none" w:sz="0" w:space="0" w:color="auto"/>
        <w:bottom w:val="none" w:sz="0" w:space="0" w:color="auto"/>
        <w:right w:val="none" w:sz="0" w:space="0" w:color="auto"/>
      </w:divBdr>
    </w:div>
    <w:div w:id="1358659083">
      <w:bodyDiv w:val="1"/>
      <w:marLeft w:val="0"/>
      <w:marRight w:val="0"/>
      <w:marTop w:val="0"/>
      <w:marBottom w:val="0"/>
      <w:divBdr>
        <w:top w:val="none" w:sz="0" w:space="0" w:color="auto"/>
        <w:left w:val="none" w:sz="0" w:space="0" w:color="auto"/>
        <w:bottom w:val="none" w:sz="0" w:space="0" w:color="auto"/>
        <w:right w:val="none" w:sz="0" w:space="0" w:color="auto"/>
      </w:divBdr>
    </w:div>
    <w:div w:id="1624114105">
      <w:bodyDiv w:val="1"/>
      <w:marLeft w:val="0"/>
      <w:marRight w:val="0"/>
      <w:marTop w:val="0"/>
      <w:marBottom w:val="0"/>
      <w:divBdr>
        <w:top w:val="none" w:sz="0" w:space="0" w:color="auto"/>
        <w:left w:val="none" w:sz="0" w:space="0" w:color="auto"/>
        <w:bottom w:val="none" w:sz="0" w:space="0" w:color="auto"/>
        <w:right w:val="none" w:sz="0" w:space="0" w:color="auto"/>
      </w:divBdr>
      <w:divsChild>
        <w:div w:id="1515337064">
          <w:marLeft w:val="0"/>
          <w:marRight w:val="0"/>
          <w:marTop w:val="0"/>
          <w:marBottom w:val="0"/>
          <w:divBdr>
            <w:top w:val="none" w:sz="0" w:space="0" w:color="auto"/>
            <w:left w:val="none" w:sz="0" w:space="0" w:color="auto"/>
            <w:bottom w:val="none" w:sz="0" w:space="0" w:color="auto"/>
            <w:right w:val="none" w:sz="0" w:space="0" w:color="auto"/>
          </w:divBdr>
          <w:divsChild>
            <w:div w:id="1791435003">
              <w:marLeft w:val="0"/>
              <w:marRight w:val="0"/>
              <w:marTop w:val="0"/>
              <w:marBottom w:val="0"/>
              <w:divBdr>
                <w:top w:val="none" w:sz="0" w:space="0" w:color="auto"/>
                <w:left w:val="none" w:sz="0" w:space="0" w:color="auto"/>
                <w:bottom w:val="none" w:sz="0" w:space="0" w:color="auto"/>
                <w:right w:val="none" w:sz="0" w:space="0" w:color="auto"/>
              </w:divBdr>
              <w:divsChild>
                <w:div w:id="18731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49904d3-ccef-4f19-b7f4-8feec5218c28" xsi:nil="true"/>
    <lcf76f155ced4ddcb4097134ff3c332f xmlns="97186ffb-b134-4d1b-b7d4-cd332fb0c56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FD6F3471744C645A69832B7A074F95B" ma:contentTypeVersion="13" ma:contentTypeDescription="新しいドキュメントを作成します。" ma:contentTypeScope="" ma:versionID="660fefe7b80a9fdd38a651b0d9f55cc7">
  <xsd:schema xmlns:xsd="http://www.w3.org/2001/XMLSchema" xmlns:xs="http://www.w3.org/2001/XMLSchema" xmlns:p="http://schemas.microsoft.com/office/2006/metadata/properties" xmlns:ns2="97186ffb-b134-4d1b-b7d4-cd332fb0c564" xmlns:ns3="449904d3-ccef-4f19-b7f4-8feec5218c28" targetNamespace="http://schemas.microsoft.com/office/2006/metadata/properties" ma:root="true" ma:fieldsID="5c4f86a521238dbba2effb3e7379ba9a" ns2:_="" ns3:_="">
    <xsd:import namespace="97186ffb-b134-4d1b-b7d4-cd332fb0c564"/>
    <xsd:import namespace="449904d3-ccef-4f19-b7f4-8feec5218c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86ffb-b134-4d1b-b7d4-cd332fb0c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a1abd56f-78d4-4289-b5d3-ebb70d802547"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9904d3-ccef-4f19-b7f4-8feec5218c2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53f77f-ba44-4541-8a80-9eb83974288f}" ma:internalName="TaxCatchAll" ma:showField="CatchAllData" ma:web="449904d3-ccef-4f19-b7f4-8feec5218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519718-B807-4AF2-AAA4-A27F84371107}">
  <ds:schemaRefs>
    <ds:schemaRef ds:uri="http://schemas.microsoft.com/office/2006/metadata/properties"/>
    <ds:schemaRef ds:uri="http://schemas.microsoft.com/office/infopath/2007/PartnerControls"/>
    <ds:schemaRef ds:uri="449904d3-ccef-4f19-b7f4-8feec5218c28"/>
    <ds:schemaRef ds:uri="97186ffb-b134-4d1b-b7d4-cd332fb0c564"/>
  </ds:schemaRefs>
</ds:datastoreItem>
</file>

<file path=customXml/itemProps2.xml><?xml version="1.0" encoding="utf-8"?>
<ds:datastoreItem xmlns:ds="http://schemas.openxmlformats.org/officeDocument/2006/customXml" ds:itemID="{C86EE7DE-5130-476D-84E3-1186C27D18CA}">
  <ds:schemaRefs>
    <ds:schemaRef ds:uri="http://schemas.openxmlformats.org/officeDocument/2006/bibliography"/>
  </ds:schemaRefs>
</ds:datastoreItem>
</file>

<file path=customXml/itemProps3.xml><?xml version="1.0" encoding="utf-8"?>
<ds:datastoreItem xmlns:ds="http://schemas.openxmlformats.org/officeDocument/2006/customXml" ds:itemID="{D977655E-7857-463C-BF19-648CA85C3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86ffb-b134-4d1b-b7d4-cd332fb0c564"/>
    <ds:schemaRef ds:uri="449904d3-ccef-4f19-b7f4-8feec5218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714C4F-0CDC-43B7-89B9-DF2EE813FC42}">
  <ds:schemaRefs>
    <ds:schemaRef ds:uri="http://schemas.microsoft.com/sharepoint/v3/contenttype/forms"/>
  </ds:schemaRefs>
</ds:datastoreItem>
</file>

<file path=docMetadata/LabelInfo.xml><?xml version="1.0" encoding="utf-8"?>
<clbl:labelList xmlns:clbl="http://schemas.microsoft.com/office/2020/mipLabelMetadata">
  <clbl:label id="{41e161d0-5b65-430f-b842-a438aa5f1fd2}" enabled="0" method="" siteId="{41e161d0-5b65-430f-b842-a438aa5f1fd2}" removed="1"/>
</clbl:labelList>
</file>

<file path=docProps/app.xml><?xml version="1.0" encoding="utf-8"?>
<Properties xmlns="http://schemas.openxmlformats.org/officeDocument/2006/extended-properties" xmlns:vt="http://schemas.openxmlformats.org/officeDocument/2006/docPropsVTypes">
  <Template>Normal.dotm</Template>
  <TotalTime>409</TotalTime>
  <Pages>5</Pages>
  <Words>1118</Words>
  <Characters>6377</Characters>
  <Application>Microsoft Office Word</Application>
  <DocSecurity>0</DocSecurity>
  <Lines>53</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はじめに</vt:lpstr>
      <vt:lpstr>はじめに</vt:lpstr>
    </vt:vector>
  </TitlesOfParts>
  <Company>名古屋工業大学電気情報工学科</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はじめに</dc:title>
  <dc:subject/>
  <dc:creator>horiike</dc:creator>
  <cp:keywords/>
  <cp:lastModifiedBy>八木　隼平</cp:lastModifiedBy>
  <cp:revision>238</cp:revision>
  <cp:lastPrinted>2013-04-25T10:11:00Z</cp:lastPrinted>
  <dcterms:created xsi:type="dcterms:W3CDTF">2023-05-15T13:34:00Z</dcterms:created>
  <dcterms:modified xsi:type="dcterms:W3CDTF">2026-08-03T04:21:00Z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0x0101008FD6F3471744C645A69832B7A074F95B</vt:lpwstr>
  </property>
  <property fmtid="{D5CDD505-2E9C-101B-9397-08002B2CF9AE}" pid="4" name="MediaServiceImageTags">
    <vt:lpwstr/>
  </property>
  <property fmtid="{D5CDD505-2E9C-101B-9397-08002B2CF9AE}" pid="5" name="Order">
    <vt:r8>87800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