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b/>
          <w:bCs/>
          <w:sz w:val="28"/>
          <w:szCs w:val="28"/>
        </w:rPr>
        <w:t xml:space="preserve">学習済み電波地図に基づく能動的ハンドオーバーの有用性</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22"/>
          <w:szCs w:val="22"/>
        </w:rPr>
        <w:t xml:space="preserve">都市部 2 車線・論理 RSU 8 基における 50 走行の評価</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内部資料</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全容</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ミリ波（60 GHz）で路側機（RSU）と走行車両が通信するとき，1 基の RSU に同時に接続できる車両は 1 台に限られる（802.15.3e のペアネット方式 [2]）．さらに，接続していない相手については，割当の判断に足るだけの受信電力を継続して測ることができない．規格の受動アソシエーションで分かるのは，つなげる見込みがあるかどうかの粗い判定にとどまる．どの車両をどの RSU にいつ接続するかを決めるには，測っていない相手の電波状況を何らかの方法で補う必要がある（図1）．</w:t>
      </w:r>
    </w:p>
    <w:p>
      <w:pPr>
        <w:jc w:val="center"/>
      </w:pPr>
      <w:r>
        <w:rPr>
          <w:sz w:val="20"/>
        </w:rPr>
        <w:t>［図 A_problem.png 未挿入］</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図1　問題設定．1 基の RSU に接続できるのは 1 台のみで，接続していない相手の受信電力は測れない．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提案手法は，過去の走行から学習した電波地図でこれを補い，接続先を能動的に決める．地図は位置を入力すると受信電力の予測値と，その予測がどれだけ不確かかを返す．空間的に離れた地点の値を相関構造から補間する Kriging [1] を基礎とし，道路に沿って置いた基底関数による回帰と，直近の観測に対する残差の空間補間を組み合わせる．定式化と実装は第 2 章に示す．</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本シミュレーション環境において，学習済み電波地図に基づく能動的ハンドオーバーは，802.15.3e 準拠の受動接続に対し総配信量で +15.0% 優位である（対差 +3,574 MB，95% 信頼区間 ±169 MB，Wilcoxon 符号順位検定 p = 8e-10，50 走行）．50 走行すべてで提案手法が上回り，最も差が小さい走行でも +8.2% である．この優位性は事前学習した電波地図に由来し，地図は規格上観測できないペアの現在値を代替する役割を担う．全ペアの現在値を雑音なしで与えた理想反応型に対する到達率は 78.5% である．</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提案手法</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本章では，第 1 章で述べた電波地図の中身と，それを接続先の決定に変換する手順を示す．2.1 節は基礎となる Kriging，2.2 節は本実装の電波地図の構成，2.3 節は割当と切替の手順である．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Kriging の原理</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Kriging [1] は空間統計学における内挿手法であり，観測地点以外の地点における値を，観測値の線形結合として最良線形不偏予測により推定する．空間領域上の位置における確率場を，平均構造と，空間相関を持つ誤差成分に分解して扱う．</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空間データの相関構造は，2 地点間の距離の関数として定義される共分散関数によって特徴づけられる．未観測地点の値を，観測地点の値の線形結合として予測するとき，予測値の期待値が真値の期待値と一致するという制約のもとで平均 2 乗予測誤差を最小化する重み係数は，観測地点間の共分散行列と，観測地点と予測地点との間の共分散ベクトルから定まる．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本実装では，この枠組みを 2 つの形で用いる．1 つは道路に沿って置いた基底関数による平均構造の表現であり，もう 1 つは，その基底では表現しきれない残差成分の補間である．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電波地図の構成</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電波地図は，位置を入力すると受信電力の予測値と，その予測がどれだけ不確かかを返す（図2）．構成は次のとおりである．</w:t>
      </w:r>
    </w:p>
    <w:p>
      <w:pPr>
        <w:spacing w:before="120" w:after="40"/>
        <w:jc w:val="center"/>
      </w:pPr>
      <w:r>
        <w:drawing>
          <wp:inline xmlns:a="http://schemas.openxmlformats.org/drawingml/2006/main" xmlns:pic="http://schemas.openxmlformats.org/drawingml/2006/picture">
            <wp:extent cx="5580000" cy="3393047"/>
            <wp:docPr id="1" name="Picture 1"/>
            <wp:cNvGraphicFramePr>
              <a:graphicFrameLocks noChangeAspect="1"/>
            </wp:cNvGraphicFramePr>
            <a:graphic>
              <a:graphicData uri="http://schemas.openxmlformats.org/drawingml/2006/picture">
                <pic:pic>
                  <pic:nvPicPr>
                    <pic:cNvPr id="0" name="D_map.png"/>
                    <pic:cNvPicPr/>
                  </pic:nvPicPr>
                  <pic:blipFill>
                    <a:blip r:embed="rId14"/>
                    <a:stretch>
                      <a:fillRect/>
                    </a:stretch>
                  </pic:blipFill>
                  <pic:spPr>
                    <a:xfrm>
                      <a:off x="0" y="0"/>
                      <a:ext cx="5580000" cy="3393047"/>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図2　地図が返すもの（学習済みの実データ）．位置ごとに予測値 μ と不確かさ σ を返し，κσ を差し引いた LCB で割当の優先順位を決める．接続の可否は平均で判定する（2.3 節）．</w:t>
      </w:r>
    </w:p>
    <w:tbl>
      <w:tblPr>
        <w:tblStyle w:val="af4"/>
        <w:tblW w:type="auto" w:w="0"/>
        <w:jc w:val="center"/>
        <w:tblLayout w:type="fixed"/>
        <w:tblLook w:firstColumn="1" w:firstRow="1" w:lastColumn="0" w:lastRow="0" w:noHBand="0" w:noVBand="1" w:val="04A0"/>
      </w:tblPr>
      <w:tblGrid>
        <w:gridCol w:w="4819"/>
        <w:gridCol w:w="4819"/>
      </w:tblGrid>
      <w:tr>
        <w:tc>
          <w:tcPr>
            <w:tcW w:type="dxa" w:w="2041"/>
          </w:tcPr>
          <w:p>
            <w:pPr>
              <w:spacing w:after="0" w:line="240" w:lineRule="auto"/>
              <w:jc w:val="center"/>
            </w:pPr>
            <w:r>
              <w:rPr>
                <w:rFonts w:ascii="Times New Roman" w:hAnsi="Times New Roman" w:cs="Times New Roman"/>
                <w:b/>
                <w:bCs/>
                <w:sz w:val="17"/>
                <w:szCs w:val="17"/>
              </w:rPr>
              <w:t>項目</w:t>
            </w:r>
          </w:p>
        </w:tc>
        <w:tc>
          <w:tcPr>
            <w:tcW w:type="dxa" w:w="6746"/>
          </w:tcPr>
          <w:p>
            <w:pPr>
              <w:spacing w:after="0" w:line="240" w:lineRule="auto"/>
              <w:jc w:val="center"/>
            </w:pPr>
            <w:r>
              <w:rPr>
                <w:rFonts w:ascii="Times New Roman" w:hAnsi="Times New Roman" w:cs="Times New Roman"/>
                <w:b/>
                <w:bCs/>
                <w:sz w:val="17"/>
                <w:szCs w:val="17"/>
              </w:rPr>
              <w:t>内容</w:t>
            </w:r>
          </w:p>
        </w:tc>
      </w:tr>
      <w:tr>
        <w:tc>
          <w:tcPr>
            <w:tcW w:type="dxa" w:w="2041"/>
          </w:tcPr>
          <w:p>
            <w:pPr>
              <w:spacing w:after="0" w:line="240" w:lineRule="auto"/>
            </w:pPr>
            <w:r>
              <w:rPr>
                <w:rFonts w:ascii="Times New Roman" w:hAnsi="Times New Roman" w:cs="Times New Roman"/>
                <w:sz w:val="17"/>
                <w:szCs w:val="17"/>
              </w:rPr>
              <w:t>位置</w:t>
            </w:r>
          </w:p>
        </w:tc>
        <w:tc>
          <w:tcPr>
            <w:tcW w:type="dxa" w:w="6746"/>
          </w:tcPr>
          <w:p>
            <w:pPr>
              <w:spacing w:after="0" w:line="240" w:lineRule="auto"/>
              <w:jc w:val="right"/>
            </w:pPr>
            <w:r>
              <w:rPr>
                <w:rFonts w:ascii="Times New Roman" w:hAnsi="Times New Roman" w:cs="Times New Roman"/>
                <w:sz w:val="17"/>
                <w:szCs w:val="17"/>
              </w:rPr>
              <w:t>道路に沿った 1 次元の距離（0〜210 m）</w:t>
            </w:r>
          </w:p>
        </w:tc>
      </w:tr>
      <w:tr>
        <w:tc>
          <w:tcPr>
            <w:tcW w:type="dxa" w:w="2041"/>
          </w:tcPr>
          <w:p>
            <w:pPr>
              <w:spacing w:after="0" w:line="240" w:lineRule="auto"/>
            </w:pPr>
            <w:r>
              <w:rPr>
                <w:rFonts w:ascii="Times New Roman" w:hAnsi="Times New Roman" w:cs="Times New Roman"/>
                <w:sz w:val="17"/>
                <w:szCs w:val="17"/>
              </w:rPr>
              <w:t>空間基底</w:t>
            </w:r>
          </w:p>
        </w:tc>
        <w:tc>
          <w:tcPr>
            <w:tcW w:type="dxa" w:w="6746"/>
          </w:tcPr>
          <w:p>
            <w:pPr>
              <w:spacing w:after="0" w:line="240" w:lineRule="auto"/>
              <w:jc w:val="right"/>
            </w:pPr>
            <w:r>
              <w:rPr>
                <w:rFonts w:ascii="Times New Roman" w:hAnsi="Times New Roman" w:cs="Times New Roman"/>
                <w:sz w:val="17"/>
                <w:szCs w:val="17"/>
              </w:rPr>
              <w:t>道路に沿って等間隔に置いたガウス基底関数 40 個（間隔 5.4 m）</w:t>
            </w:r>
          </w:p>
        </w:tc>
      </w:tr>
      <w:tr>
        <w:tc>
          <w:tcPr>
            <w:tcW w:type="dxa" w:w="2041"/>
          </w:tcPr>
          <w:p>
            <w:pPr>
              <w:spacing w:after="0" w:line="240" w:lineRule="auto"/>
            </w:pPr>
            <w:r>
              <w:rPr>
                <w:rFonts w:ascii="Times New Roman" w:hAnsi="Times New Roman" w:cs="Times New Roman"/>
                <w:sz w:val="17"/>
                <w:szCs w:val="17"/>
              </w:rPr>
              <w:t>係数</w:t>
            </w:r>
          </w:p>
        </w:tc>
        <w:tc>
          <w:tcPr>
            <w:tcW w:type="dxa" w:w="6746"/>
          </w:tcPr>
          <w:p>
            <w:pPr>
              <w:spacing w:after="0" w:line="240" w:lineRule="auto"/>
              <w:jc w:val="right"/>
            </w:pPr>
            <w:r>
              <w:rPr>
                <w:rFonts w:ascii="Times New Roman" w:hAnsi="Times New Roman" w:cs="Times New Roman"/>
                <w:sz w:val="17"/>
                <w:szCs w:val="17"/>
              </w:rPr>
              <w:t>40 個の基底の重み．受信電力の予測値を与える部分の実体である</w:t>
            </w:r>
          </w:p>
        </w:tc>
      </w:tr>
      <w:tr>
        <w:tc>
          <w:tcPr>
            <w:tcW w:type="dxa" w:w="2041"/>
          </w:tcPr>
          <w:p>
            <w:pPr>
              <w:spacing w:after="0" w:line="240" w:lineRule="auto"/>
            </w:pPr>
            <w:r>
              <w:rPr>
                <w:rFonts w:ascii="Times New Roman" w:hAnsi="Times New Roman" w:cs="Times New Roman"/>
                <w:sz w:val="17"/>
                <w:szCs w:val="17"/>
              </w:rPr>
              <w:t>観測</w:t>
            </w:r>
          </w:p>
        </w:tc>
        <w:tc>
          <w:tcPr>
            <w:tcW w:type="dxa" w:w="6746"/>
          </w:tcPr>
          <w:p>
            <w:pPr>
              <w:spacing w:after="0" w:line="240" w:lineRule="auto"/>
              <w:jc w:val="right"/>
            </w:pPr>
            <w:r>
              <w:rPr>
                <w:rFonts w:ascii="Times New Roman" w:hAnsi="Times New Roman" w:cs="Times New Roman"/>
                <w:sz w:val="17"/>
                <w:szCs w:val="17"/>
              </w:rPr>
              <w:t>受信電力レポート（20 Hz）．運用相では割当中のペアに限られる</w:t>
            </w:r>
          </w:p>
        </w:tc>
      </w:tr>
      <w:tr>
        <w:tc>
          <w:tcPr>
            <w:tcW w:type="dxa" w:w="2041"/>
          </w:tcPr>
          <w:p>
            <w:pPr>
              <w:spacing w:after="0" w:line="240" w:lineRule="auto"/>
            </w:pPr>
            <w:r>
              <w:rPr>
                <w:rFonts w:ascii="Times New Roman" w:hAnsi="Times New Roman" w:cs="Times New Roman"/>
                <w:sz w:val="17"/>
                <w:szCs w:val="17"/>
              </w:rPr>
              <w:t>残差</w:t>
            </w:r>
          </w:p>
        </w:tc>
        <w:tc>
          <w:tcPr>
            <w:tcW w:type="dxa" w:w="6746"/>
          </w:tcPr>
          <w:p>
            <w:pPr>
              <w:spacing w:after="0" w:line="240" w:lineRule="auto"/>
              <w:jc w:val="right"/>
            </w:pPr>
            <w:r>
              <w:rPr>
                <w:rFonts w:ascii="Times New Roman" w:hAnsi="Times New Roman" w:cs="Times New Roman"/>
                <w:sz w:val="17"/>
                <w:szCs w:val="17"/>
              </w:rPr>
              <w:t>空間基底では表現しきれない成分．直近の残差は 2.1 節の補間に用い，その分散を位置ごとに保持したものが遮蔽リスク地図 σν²(s) である</w:t>
            </w:r>
          </w:p>
        </w:tc>
      </w:tr>
      <w:tr>
        <w:tc>
          <w:tcPr>
            <w:tcW w:type="dxa" w:w="2041"/>
          </w:tcPr>
          <w:p>
            <w:pPr>
              <w:spacing w:after="0" w:line="240" w:lineRule="auto"/>
            </w:pPr>
            <w:r>
              <w:rPr>
                <w:rFonts w:ascii="Times New Roman" w:hAnsi="Times New Roman" w:cs="Times New Roman"/>
                <w:sz w:val="17"/>
                <w:szCs w:val="17"/>
              </w:rPr>
              <w:t>予測</w:t>
            </w:r>
          </w:p>
        </w:tc>
        <w:tc>
          <w:tcPr>
            <w:tcW w:type="dxa" w:w="6746"/>
          </w:tcPr>
          <w:p>
            <w:pPr>
              <w:spacing w:after="0" w:line="240" w:lineRule="auto"/>
              <w:jc w:val="right"/>
            </w:pPr>
            <w:r>
              <w:rPr>
                <w:rFonts w:ascii="Times New Roman" w:hAnsi="Times New Roman" w:cs="Times New Roman"/>
                <w:sz w:val="17"/>
                <w:szCs w:val="17"/>
              </w:rPr>
              <w:t>未観測ペアの現時刻の受信電力の予測値．空間基底による項に，直近の観測から求めた残差の補間を加えたものを用いる</w:t>
            </w:r>
          </w:p>
        </w:tc>
      </w:tr>
      <w:tr>
        <w:tc>
          <w:tcPr>
            <w:tcW w:type="dxa" w:w="2041"/>
          </w:tcPr>
          <w:p>
            <w:pPr>
              <w:spacing w:after="0" w:line="240" w:lineRule="auto"/>
            </w:pPr>
            <w:r>
              <w:rPr>
                <w:rFonts w:ascii="Times New Roman" w:hAnsi="Times New Roman" w:cs="Times New Roman"/>
                <w:sz w:val="17"/>
                <w:szCs w:val="17"/>
              </w:rPr>
              <w:t>不確かさ σ</w:t>
            </w:r>
          </w:p>
        </w:tc>
        <w:tc>
          <w:tcPr>
            <w:tcW w:type="dxa" w:w="6746"/>
          </w:tcPr>
          <w:p>
            <w:pPr>
              <w:spacing w:after="0" w:line="240" w:lineRule="auto"/>
              <w:jc w:val="right"/>
            </w:pPr>
            <w:r>
              <w:rPr>
                <w:rFonts w:ascii="Times New Roman" w:hAnsi="Times New Roman" w:cs="Times New Roman"/>
                <w:sz w:val="17"/>
                <w:szCs w:val="17"/>
              </w:rPr>
              <w:t>地図が予測値に添えて返す標準偏差．LCB（κσ）に用いる</w:t>
            </w:r>
          </w:p>
        </w:tc>
      </w:tr>
      <w:tr>
        <w:tc>
          <w:tcPr>
            <w:tcW w:type="dxa" w:w="2041"/>
          </w:tcPr>
          <w:p>
            <w:pPr>
              <w:spacing w:after="0" w:line="240" w:lineRule="auto"/>
            </w:pPr>
            <w:r>
              <w:rPr>
                <w:rFonts w:ascii="Times New Roman" w:hAnsi="Times New Roman" w:cs="Times New Roman"/>
                <w:sz w:val="17"/>
                <w:szCs w:val="17"/>
              </w:rPr>
              <w:t>地図の枚数</w:t>
            </w:r>
          </w:p>
        </w:tc>
        <w:tc>
          <w:tcPr>
            <w:tcW w:type="dxa" w:w="6746"/>
          </w:tcPr>
          <w:p>
            <w:pPr>
              <w:spacing w:after="0" w:line="240" w:lineRule="auto"/>
              <w:jc w:val="right"/>
            </w:pPr>
            <w:r>
              <w:rPr>
                <w:rFonts w:ascii="Times New Roman" w:hAnsi="Times New Roman" w:cs="Times New Roman"/>
                <w:sz w:val="17"/>
                <w:szCs w:val="17"/>
              </w:rPr>
              <w:t>（RSU 8 基）×（走行方向 2）×（車載アンテナ 2）= 32 枚を独立に保持する</w:t>
            </w:r>
          </w:p>
        </w:tc>
      </w:tr>
    </w:tbl>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係数の推定は，観測を逐次に取り込むベイズ線形回帰（再帰最小二乗）で行う．学習相では 30 走行にわたって係数と共分散行列を保持し，観測が入るたびに更新する．本実装が学習するのは環境に固有の減衰であり，走行を重ねても変わらないためである．運用相の各走行は，この学習済みの状態を共通の初期値として開始する．したがって評価の 50 走行の間に状態の持ち越しはなく，走行の順序は結果に影響しない．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残差成分の扱いは次のとおりである．直近 64 点の残差（位置・時刻・残差値）を保持し，時空間分離型の指数共分散（空間相関長 20 m，時間相関長 5 s）で2.1 節の補間を解いて，予測値に加える．予測の不確かさも同じ共分散から低減する．これとは別に，位置ごとの残差の分散を遮蔽リスク地図 σν²(s) として保持する．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予測の不確かさ σ は，係数の共分散行列から定まる項，残差場の標準偏差として与えた定数（4 dB），残差の補間による低減，および遮蔽リスク地図 σν²(s) の和として合成される．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割当と切替</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割当を再計算する各時刻において，接続先は次の手順で決まる（図3）．</w:t>
      </w:r>
    </w:p>
    <w:p>
      <w:pPr>
        <w:jc w:val="center"/>
      </w:pPr>
      <w:r>
        <w:rPr>
          <w:sz w:val="20"/>
        </w:rPr>
        <w:t>［図 E_flow.png 未挿入］</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図3　手法の流れ．学習相で電波地図を作り，運用相では地図の予測から割当を決める．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(1) 予測．各（車両アンテナ，RSU）ペアについて，対応する地図から現在位置の受信電力の予測値と，その不確かさ σ を得る．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(2) 慎重な評価．予測値から κσ を差し引いた下側信頼限界（LCB）で評価し，あわせて遮蔽リスク地図 σν²(s) により揺らぎの大きい位置の評価を下げる．確度の低い予測や不安定な位置を高く評価しないための処置である．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(3) 評価値の決定．(2) の LCB を dB のまま評価値として用いる．あわせて，平均の予測値が接続閾値（−68.5 dBm）に届かないペアを割当の候補から外す．掴んでも 1 バイトも送れず，需要が供給を超える状況では他の車両を締め出すだけだからである．この可否の判定には LCB ではなく平均を用いる．LCB で判定すると，揺らぎの大きい位置で過度に保守的になり，繋がる機会を見送るためである．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(4) 割当．1 基の論理 RSU に 1 台という排他制約の下で，評価値の総和が最大になる組合せを求める．これは二部グラフの最大重みマッチングであり，ハンガリアン法によってその時刻における厳密解を得る．ここで最大化しているのは dB のまま足した評価値の和であり，レートに換算した和ではない．また，直前まで使っていた RSU には切替を抑えるための加点（3 dB）を与える．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(5) 切替．前の時刻から接続先の RSU が変わった車両アンテナで，ハンドオーバーが生じる．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手順 (4) の割当層は，受動接続を除く比較手法で共通である．したがって手法間の差は手順 (1) から (3)，すなわち地図が与える予測にのみ由来する．受動接続は手順 (1) から (4) を持たず，規格の受動アソシエーションに従って，閾値を超えた空き RSU に接続して保持する．</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評価の方法</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シミュレーションの設定</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都市部の 2 車線道路を模した環境で，路側の RSU と走行車両がミリ波で通信する．配置を図4に，条件を表2に示す．</w:t>
      </w:r>
    </w:p>
    <w:p>
      <w:pPr>
        <w:jc w:val="center"/>
      </w:pPr>
      <w:r>
        <w:rPr>
          <w:sz w:val="20"/>
        </w:rPr>
        <w:t>［図 B_layout.png 未挿入］</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図4　シミュレーションの配置．ポール 4 本にそれぞれ上流向き・下流向きの面があり，合わせて論理 RSU 8 基となる．断面図は奥車線の車両から RSU への見通しを示す．</w:t>
      </w:r>
    </w:p>
    <w:tbl>
      <w:tblPr>
        <w:tblStyle w:val="af4"/>
        <w:tblW w:type="auto" w:w="0"/>
        <w:jc w:val="center"/>
        <w:tblLayout w:type="fixed"/>
        <w:tblLook w:firstColumn="1" w:firstRow="1" w:lastColumn="0" w:lastRow="0" w:noHBand="0" w:noVBand="1" w:val="04A0"/>
      </w:tblPr>
      <w:tblGrid>
        <w:gridCol w:w="4819"/>
        <w:gridCol w:w="4819"/>
      </w:tblGrid>
      <w:tr>
        <w:tc>
          <w:tcPr>
            <w:tcW w:type="dxa" w:w="1701"/>
          </w:tcPr>
          <w:p>
            <w:pPr>
              <w:spacing w:after="0" w:line="240" w:lineRule="auto"/>
              <w:jc w:val="center"/>
            </w:pPr>
            <w:r>
              <w:rPr>
                <w:rFonts w:ascii="Times New Roman" w:hAnsi="Times New Roman" w:cs="Times New Roman"/>
                <w:b/>
                <w:bCs/>
                <w:sz w:val="17"/>
                <w:szCs w:val="17"/>
              </w:rPr>
              <w:t>項目</w:t>
            </w:r>
          </w:p>
        </w:tc>
        <w:tc>
          <w:tcPr>
            <w:tcW w:type="dxa" w:w="7087"/>
          </w:tcPr>
          <w:p>
            <w:pPr>
              <w:spacing w:after="0" w:line="240" w:lineRule="auto"/>
              <w:jc w:val="center"/>
            </w:pPr>
            <w:r>
              <w:rPr>
                <w:rFonts w:ascii="Times New Roman" w:hAnsi="Times New Roman" w:cs="Times New Roman"/>
                <w:b/>
                <w:bCs/>
                <w:sz w:val="17"/>
                <w:szCs w:val="17"/>
              </w:rPr>
              <w:t>設定</w:t>
            </w:r>
          </w:p>
        </w:tc>
      </w:tr>
      <w:tr>
        <w:tc>
          <w:tcPr>
            <w:tcW w:type="dxa" w:w="1701"/>
          </w:tcPr>
          <w:p>
            <w:pPr>
              <w:spacing w:after="0" w:line="240" w:lineRule="auto"/>
            </w:pPr>
            <w:r>
              <w:rPr>
                <w:rFonts w:ascii="Times New Roman" w:hAnsi="Times New Roman" w:cs="Times New Roman"/>
                <w:sz w:val="17"/>
                <w:szCs w:val="17"/>
              </w:rPr>
              <w:t>道路・RSU</w:t>
            </w:r>
          </w:p>
        </w:tc>
        <w:tc>
          <w:tcPr>
            <w:tcW w:type="dxa" w:w="7087"/>
          </w:tcPr>
          <w:p>
            <w:pPr>
              <w:spacing w:after="0" w:line="240" w:lineRule="auto"/>
              <w:jc w:val="right"/>
            </w:pPr>
            <w:r>
              <w:rPr>
                <w:rFonts w:ascii="Times New Roman" w:hAnsi="Times New Roman" w:cs="Times New Roman"/>
                <w:sz w:val="17"/>
                <w:szCs w:val="17"/>
              </w:rPr>
              <w:t>都市部 2 車線（各方向 1 車線），論理 RSU 8 基（ポール 4 本 × 上流/下流 2 面，ポール間隔 20 m，路側 y = 6 m，高さ 2.5 m）．同一ポールの 2 面は独立した送受信機として扱い，同時に別の車両と通信できる（排他制約は論理 RSU ごとに掛かる）．アンテナ傾き δ_rsu = 70°，車載 δ_veh = 20°</w:t>
            </w:r>
          </w:p>
        </w:tc>
      </w:tr>
      <w:tr>
        <w:tc>
          <w:tcPr>
            <w:tcW w:type="dxa" w:w="1701"/>
          </w:tcPr>
          <w:p>
            <w:pPr>
              <w:spacing w:after="0" w:line="240" w:lineRule="auto"/>
            </w:pPr>
            <w:r>
              <w:rPr>
                <w:rFonts w:ascii="Times New Roman" w:hAnsi="Times New Roman" w:cs="Times New Roman"/>
                <w:sz w:val="17"/>
                <w:szCs w:val="17"/>
              </w:rPr>
              <w:t>車両</w:t>
            </w:r>
          </w:p>
        </w:tc>
        <w:tc>
          <w:tcPr>
            <w:tcW w:type="dxa" w:w="7087"/>
          </w:tcPr>
          <w:p>
            <w:pPr>
              <w:spacing w:after="0" w:line="240" w:lineRule="auto"/>
              <w:jc w:val="right"/>
            </w:pPr>
            <w:r>
              <w:rPr>
                <w:rFonts w:ascii="Times New Roman" w:hAnsi="Times New Roman" w:cs="Times New Roman"/>
                <w:sz w:val="17"/>
                <w:szCs w:val="17"/>
              </w:rPr>
              <w:t>中央 48 台/走行（33〜55），全走行車両が通信対象，速度 7.0 m/s，車頭時間 平均 2.0 s，前後 2 アンテナ（高さ 1.35 m）</w:t>
            </w:r>
          </w:p>
        </w:tc>
      </w:tr>
      <w:tr>
        <w:tc>
          <w:tcPr>
            <w:tcW w:type="dxa" w:w="1701"/>
          </w:tcPr>
          <w:p>
            <w:pPr>
              <w:spacing w:after="0" w:line="240" w:lineRule="auto"/>
            </w:pPr>
            <w:r>
              <w:rPr>
                <w:rFonts w:ascii="Times New Roman" w:hAnsi="Times New Roman" w:cs="Times New Roman"/>
                <w:sz w:val="17"/>
                <w:szCs w:val="17"/>
              </w:rPr>
              <w:t>無線</w:t>
            </w:r>
          </w:p>
        </w:tc>
        <w:tc>
          <w:tcPr>
            <w:tcW w:type="dxa" w:w="7087"/>
          </w:tcPr>
          <w:p>
            <w:pPr>
              <w:spacing w:after="0" w:line="240" w:lineRule="auto"/>
              <w:jc w:val="right"/>
            </w:pPr>
            <w:r>
              <w:rPr>
                <w:rFonts w:ascii="Times New Roman" w:hAnsi="Times New Roman" w:cs="Times New Roman"/>
                <w:sz w:val="17"/>
                <w:szCs w:val="17"/>
              </w:rPr>
              <w:t>60 GHz，送信電力 −7 dBm，接続閾値 −68.5 dBm，帯域 100 MHz，排他接続．観測レポートは 20 Hz，観測雑音の標準偏差 2.0 dB</w:t>
            </w:r>
          </w:p>
        </w:tc>
      </w:tr>
      <w:tr>
        <w:tc>
          <w:tcPr>
            <w:tcW w:type="dxa" w:w="1701"/>
          </w:tcPr>
          <w:p>
            <w:pPr>
              <w:spacing w:after="0" w:line="240" w:lineRule="auto"/>
            </w:pPr>
            <w:r>
              <w:rPr>
                <w:rFonts w:ascii="Times New Roman" w:hAnsi="Times New Roman" w:cs="Times New Roman"/>
                <w:sz w:val="17"/>
                <w:szCs w:val="17"/>
              </w:rPr>
              <w:t>チャネル</w:t>
            </w:r>
          </w:p>
        </w:tc>
        <w:tc>
          <w:tcPr>
            <w:tcW w:type="dxa" w:w="7087"/>
          </w:tcPr>
          <w:p>
            <w:pPr>
              <w:spacing w:after="0" w:line="240" w:lineRule="auto"/>
              <w:jc w:val="right"/>
            </w:pPr>
            <w:r>
              <w:rPr>
                <w:rFonts w:ascii="Times New Roman" w:hAnsi="Times New Roman" w:cs="Times New Roman"/>
                <w:sz w:val="17"/>
                <w:szCs w:val="17"/>
              </w:rPr>
              <w:t>自由空間経路損失 + 持続シャドウイング（標準偏差 4 dB，相関長 6 m）+ 路上駐車 2 台による遮蔽．フェージング無効．シャドウイングの場と駐車位置は環境ごとに固定</w:t>
            </w:r>
          </w:p>
        </w:tc>
      </w:tr>
      <w:tr>
        <w:tc>
          <w:tcPr>
            <w:tcW w:type="dxa" w:w="1701"/>
          </w:tcPr>
          <w:p>
            <w:pPr>
              <w:spacing w:after="0" w:line="240" w:lineRule="auto"/>
            </w:pPr>
            <w:r>
              <w:rPr>
                <w:rFonts w:ascii="Times New Roman" w:hAnsi="Times New Roman" w:cs="Times New Roman"/>
                <w:sz w:val="17"/>
                <w:szCs w:val="17"/>
              </w:rPr>
              <w:t>レート</w:t>
            </w:r>
          </w:p>
        </w:tc>
        <w:tc>
          <w:tcPr>
            <w:tcW w:type="dxa" w:w="7087"/>
          </w:tcPr>
          <w:p>
            <w:pPr>
              <w:spacing w:after="0" w:line="240" w:lineRule="auto"/>
              <w:jc w:val="right"/>
            </w:pPr>
            <w:r>
              <w:rPr>
                <w:rFonts w:ascii="Times New Roman" w:hAnsi="Times New Roman" w:cs="Times New Roman"/>
                <w:sz w:val="17"/>
                <w:szCs w:val="17"/>
              </w:rPr>
              <w:t>Shannon 式（帯域 100 MHz，雑音床 −95 dBm，効率 1.0，SNR 上限 50 dB）．802.15.3e に準拠するのは接続手順（受動アソシエーションと排他接続）であり，チャネル帯域は規格の 2.16 GHz ではない</w:t>
            </w:r>
          </w:p>
        </w:tc>
      </w:tr>
      <w:tr>
        <w:tc>
          <w:tcPr>
            <w:tcW w:type="dxa" w:w="1701"/>
          </w:tcPr>
          <w:p>
            <w:pPr>
              <w:spacing w:after="0" w:line="240" w:lineRule="auto"/>
            </w:pPr>
            <w:r>
              <w:rPr>
                <w:rFonts w:ascii="Times New Roman" w:hAnsi="Times New Roman" w:cs="Times New Roman"/>
                <w:sz w:val="17"/>
                <w:szCs w:val="17"/>
              </w:rPr>
              <w:t>電波地図</w:t>
            </w:r>
          </w:p>
        </w:tc>
        <w:tc>
          <w:tcPr>
            <w:tcW w:type="dxa" w:w="7087"/>
          </w:tcPr>
          <w:p>
            <w:pPr>
              <w:spacing w:after="0" w:line="240" w:lineRule="auto"/>
              <w:jc w:val="right"/>
            </w:pPr>
            <w:r>
              <w:rPr>
                <w:rFonts w:ascii="Times New Roman" w:hAnsi="Times New Roman" w:cs="Times New Roman"/>
                <w:sz w:val="17"/>
                <w:szCs w:val="17"/>
              </w:rPr>
              <w:t>構成は表1のとおり．学習 30 走行（評価とは別の乱数系列）</w:t>
            </w:r>
          </w:p>
        </w:tc>
      </w:tr>
      <w:tr>
        <w:tc>
          <w:tcPr>
            <w:tcW w:type="dxa" w:w="1701"/>
          </w:tcPr>
          <w:p>
            <w:pPr>
              <w:spacing w:after="0" w:line="240" w:lineRule="auto"/>
            </w:pPr>
            <w:r>
              <w:rPr>
                <w:rFonts w:ascii="Times New Roman" w:hAnsi="Times New Roman" w:cs="Times New Roman"/>
                <w:sz w:val="17"/>
                <w:szCs w:val="17"/>
              </w:rPr>
              <w:t>評価</w:t>
            </w:r>
          </w:p>
        </w:tc>
        <w:tc>
          <w:tcPr>
            <w:tcW w:type="dxa" w:w="7087"/>
          </w:tcPr>
          <w:p>
            <w:pPr>
              <w:spacing w:after="0" w:line="240" w:lineRule="auto"/>
              <w:jc w:val="right"/>
            </w:pPr>
            <w:r>
              <w:rPr>
                <w:rFonts w:ascii="Times New Roman" w:hAnsi="Times New Roman" w:cs="Times New Roman"/>
                <w:sz w:val="17"/>
                <w:szCs w:val="17"/>
              </w:rPr>
              <w:t>50 走行．対比較 Wilcoxon 符号順位検定，信頼区間は対差の t 区間</w:t>
            </w:r>
          </w:p>
        </w:tc>
      </w:tr>
    </w:tbl>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接続閾値 −68.5 dBm は，802.15.3e の MCS テーブル下限に対応する受信レベルである．持続シャドウイングの場と路上駐車の位置は，学習相と評価相で同一である．これは環境に固有の減衰を学習対象とする電波地図の前提であり，走行ごとに変わるのは交通実現と観測雑音であ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評価の手続き</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全手法を事後再計算で評価する（図5）．軌跡と全ペアの受信電力を 1 回記録し，同一のチャネル実現の上で通信とスケジューリングだけを再計算するため，同じ交通・同じ電波の実現の上で手法だけを差し替えることになり，条件差が完全に打ち消される．再計算は決定論的である．</w:t>
      </w:r>
    </w:p>
    <w:p>
      <w:pPr>
        <w:jc w:val="center"/>
      </w:pPr>
      <w:r>
        <w:rPr>
          <w:sz w:val="20"/>
        </w:rPr>
        <w:t>［図 C_pipeline.png 未挿入］</w:t>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図5　評価の手続き．記録は手法に依存しないため，手法を増やしても再記録は要らない．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評価は，全車が走り出した時刻を起点とする 35 秒の窓で行う．50 走行すべてで同じ長さの窓を用いる．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用語</w:t>
      </w:r>
    </w:p>
    <w:tbl>
      <w:tblPr>
        <w:tblStyle w:val="af4"/>
        <w:tblW w:type="auto" w:w="0"/>
        <w:jc w:val="center"/>
        <w:tblLayout w:type="fixed"/>
        <w:tblLook w:firstColumn="1" w:firstRow="1" w:lastColumn="0" w:lastRow="0" w:noHBand="0" w:noVBand="1" w:val="04A0"/>
      </w:tblPr>
      <w:tblGrid>
        <w:gridCol w:w="4819"/>
        <w:gridCol w:w="4819"/>
      </w:tblGrid>
      <w:tr>
        <w:tc>
          <w:tcPr>
            <w:tcW w:type="dxa" w:w="2041"/>
          </w:tcPr>
          <w:p>
            <w:pPr>
              <w:spacing w:after="0" w:line="240" w:lineRule="auto"/>
              <w:jc w:val="center"/>
            </w:pPr>
            <w:r>
              <w:rPr>
                <w:rFonts w:ascii="Times New Roman" w:hAnsi="Times New Roman" w:cs="Times New Roman"/>
                <w:b/>
                <w:bCs/>
                <w:sz w:val="17"/>
                <w:szCs w:val="17"/>
              </w:rPr>
              <w:t>用語</w:t>
            </w:r>
          </w:p>
        </w:tc>
        <w:tc>
          <w:tcPr>
            <w:tcW w:type="dxa" w:w="6746"/>
          </w:tcPr>
          <w:p>
            <w:pPr>
              <w:spacing w:after="0" w:line="240" w:lineRule="auto"/>
              <w:jc w:val="center"/>
            </w:pPr>
            <w:r>
              <w:rPr>
                <w:rFonts w:ascii="Times New Roman" w:hAnsi="Times New Roman" w:cs="Times New Roman"/>
                <w:b/>
                <w:bCs/>
                <w:sz w:val="17"/>
                <w:szCs w:val="17"/>
              </w:rPr>
              <w:t>意味</w:t>
            </w:r>
          </w:p>
        </w:tc>
      </w:tr>
      <w:tr>
        <w:tc>
          <w:tcPr>
            <w:tcW w:type="dxa" w:w="2041"/>
          </w:tcPr>
          <w:p>
            <w:pPr>
              <w:spacing w:after="0" w:line="240" w:lineRule="auto"/>
            </w:pPr>
            <w:r>
              <w:rPr>
                <w:rFonts w:ascii="Times New Roman" w:hAnsi="Times New Roman" w:cs="Times New Roman"/>
                <w:sz w:val="17"/>
                <w:szCs w:val="17"/>
              </w:rPr>
              <w:t>割当（grant）</w:t>
            </w:r>
          </w:p>
        </w:tc>
        <w:tc>
          <w:tcPr>
            <w:tcW w:type="dxa" w:w="6746"/>
          </w:tcPr>
          <w:p>
            <w:pPr>
              <w:spacing w:after="0" w:line="240" w:lineRule="auto"/>
              <w:jc w:val="right"/>
            </w:pPr>
            <w:r>
              <w:rPr>
                <w:rFonts w:ascii="Times New Roman" w:hAnsi="Times New Roman" w:cs="Times New Roman"/>
                <w:sz w:val="17"/>
                <w:szCs w:val="17"/>
              </w:rPr>
              <w:t>ある車両にある RSU を使う権利が与えられている状態．割当があっても電波が弱ければ送れないので，割当時間と接続時間は一致しない</w:t>
            </w:r>
          </w:p>
        </w:tc>
      </w:tr>
      <w:tr>
        <w:tc>
          <w:tcPr>
            <w:tcW w:type="dxa" w:w="2041"/>
          </w:tcPr>
          <w:p>
            <w:pPr>
              <w:spacing w:after="0" w:line="240" w:lineRule="auto"/>
            </w:pPr>
            <w:r>
              <w:rPr>
                <w:rFonts w:ascii="Times New Roman" w:hAnsi="Times New Roman" w:cs="Times New Roman"/>
                <w:sz w:val="17"/>
                <w:szCs w:val="17"/>
              </w:rPr>
              <w:t>接続時間</w:t>
            </w:r>
          </w:p>
        </w:tc>
        <w:tc>
          <w:tcPr>
            <w:tcW w:type="dxa" w:w="6746"/>
          </w:tcPr>
          <w:p>
            <w:pPr>
              <w:spacing w:after="0" w:line="240" w:lineRule="auto"/>
              <w:jc w:val="right"/>
            </w:pPr>
            <w:r>
              <w:rPr>
                <w:rFonts w:ascii="Times New Roman" w:hAnsi="Times New Roman" w:cs="Times New Roman"/>
                <w:sz w:val="17"/>
                <w:szCs w:val="17"/>
              </w:rPr>
              <w:t>割当を得たうえで実際に受信電力が閾値を超え，データを送れていた時間</w:t>
            </w:r>
          </w:p>
        </w:tc>
      </w:tr>
      <w:tr>
        <w:tc>
          <w:tcPr>
            <w:tcW w:type="dxa" w:w="2041"/>
          </w:tcPr>
          <w:p>
            <w:pPr>
              <w:spacing w:after="0" w:line="240" w:lineRule="auto"/>
            </w:pPr>
            <w:r>
              <w:rPr>
                <w:rFonts w:ascii="Times New Roman" w:hAnsi="Times New Roman" w:cs="Times New Roman"/>
                <w:sz w:val="17"/>
                <w:szCs w:val="17"/>
              </w:rPr>
              <w:t>対差</w:t>
            </w:r>
          </w:p>
        </w:tc>
        <w:tc>
          <w:tcPr>
            <w:tcW w:type="dxa" w:w="6746"/>
          </w:tcPr>
          <w:p>
            <w:pPr>
              <w:spacing w:after="0" w:line="240" w:lineRule="auto"/>
              <w:jc w:val="right"/>
            </w:pPr>
            <w:r>
              <w:rPr>
                <w:rFonts w:ascii="Times New Roman" w:hAnsi="Times New Roman" w:cs="Times New Roman"/>
                <w:sz w:val="17"/>
                <w:szCs w:val="17"/>
              </w:rPr>
              <w:t>同じ交通実現（同じ記録）どうしで手法間の値を引き算した差．走行ごとの交通の当たり外れが打ち消されるため，本資料の主指標とする</w:t>
            </w:r>
          </w:p>
        </w:tc>
      </w:tr>
      <w:tr>
        <w:tc>
          <w:tcPr>
            <w:tcW w:type="dxa" w:w="2041"/>
          </w:tcPr>
          <w:p>
            <w:pPr>
              <w:spacing w:after="0" w:line="240" w:lineRule="auto"/>
            </w:pPr>
            <w:r>
              <w:rPr>
                <w:rFonts w:ascii="Times New Roman" w:hAnsi="Times New Roman" w:cs="Times New Roman"/>
                <w:sz w:val="17"/>
                <w:szCs w:val="17"/>
              </w:rPr>
              <w:t>走行ごと相対差</w:t>
            </w:r>
          </w:p>
        </w:tc>
        <w:tc>
          <w:tcPr>
            <w:tcW w:type="dxa" w:w="6746"/>
          </w:tcPr>
          <w:p>
            <w:pPr>
              <w:spacing w:after="0" w:line="240" w:lineRule="auto"/>
              <w:jc w:val="right"/>
            </w:pPr>
            <w:r>
              <w:rPr>
                <w:rFonts w:ascii="Times New Roman" w:hAnsi="Times New Roman" w:cs="Times New Roman"/>
                <w:sz w:val="17"/>
                <w:szCs w:val="17"/>
              </w:rPr>
              <w:t>対差を，その走行の受動接続の値で割ったもの</w:t>
            </w:r>
          </w:p>
        </w:tc>
      </w:tr>
      <w:tr>
        <w:tc>
          <w:tcPr>
            <w:tcW w:type="dxa" w:w="2041"/>
          </w:tcPr>
          <w:p>
            <w:pPr>
              <w:spacing w:after="0" w:line="240" w:lineRule="auto"/>
            </w:pPr>
            <w:r>
              <w:rPr>
                <w:rFonts w:ascii="Times New Roman" w:hAnsi="Times New Roman" w:cs="Times New Roman"/>
                <w:sz w:val="17"/>
                <w:szCs w:val="17"/>
              </w:rPr>
              <w:t>到達率</w:t>
            </w:r>
          </w:p>
        </w:tc>
        <w:tc>
          <w:tcPr>
            <w:tcW w:type="dxa" w:w="6746"/>
          </w:tcPr>
          <w:p>
            <w:pPr>
              <w:spacing w:after="0" w:line="240" w:lineRule="auto"/>
              <w:jc w:val="right"/>
            </w:pPr>
            <w:r>
              <w:rPr>
                <w:rFonts w:ascii="Times New Roman" w:hAnsi="Times New Roman" w:cs="Times New Roman"/>
                <w:sz w:val="17"/>
                <w:szCs w:val="17"/>
              </w:rPr>
              <w:t>受動接続との対差のうち，理想反応型（oracle）が得た対差の何 % を提案手法が得たか．地図が完全な計測をどこまで代替できたかを表す</w:t>
            </w:r>
          </w:p>
        </w:tc>
      </w:tr>
      <w:tr>
        <w:tc>
          <w:tcPr>
            <w:tcW w:type="dxa" w:w="2041"/>
          </w:tcPr>
          <w:p>
            <w:pPr>
              <w:spacing w:after="0" w:line="240" w:lineRule="auto"/>
            </w:pPr>
            <w:r>
              <w:rPr>
                <w:rFonts w:ascii="Times New Roman" w:hAnsi="Times New Roman" w:cs="Times New Roman"/>
                <w:sz w:val="17"/>
                <w:szCs w:val="17"/>
              </w:rPr>
              <w:t>LCB（κσ）</w:t>
            </w:r>
          </w:p>
        </w:tc>
        <w:tc>
          <w:tcPr>
            <w:tcW w:type="dxa" w:w="6746"/>
          </w:tcPr>
          <w:p>
            <w:pPr>
              <w:spacing w:after="0" w:line="240" w:lineRule="auto"/>
              <w:jc w:val="right"/>
            </w:pPr>
            <w:r>
              <w:rPr>
                <w:rFonts w:ascii="Times New Roman" w:hAnsi="Times New Roman" w:cs="Times New Roman"/>
                <w:sz w:val="17"/>
                <w:szCs w:val="17"/>
              </w:rPr>
              <w:t>予測値から不確かさ σ の κ 倍を差し引いた値で評価する慎重な選び方（2.3 節）</w:t>
            </w:r>
          </w:p>
        </w:tc>
      </w:tr>
      <w:tr>
        <w:tc>
          <w:tcPr>
            <w:tcW w:type="dxa" w:w="2041"/>
          </w:tcPr>
          <w:p>
            <w:pPr>
              <w:spacing w:after="0" w:line="240" w:lineRule="auto"/>
            </w:pPr>
            <w:r>
              <w:rPr>
                <w:rFonts w:ascii="Times New Roman" w:hAnsi="Times New Roman" w:cs="Times New Roman"/>
                <w:sz w:val="17"/>
                <w:szCs w:val="17"/>
              </w:rPr>
              <w:t>遮蔽リスク地図 σν²</w:t>
            </w:r>
          </w:p>
        </w:tc>
        <w:tc>
          <w:tcPr>
            <w:tcW w:type="dxa" w:w="6746"/>
          </w:tcPr>
          <w:p>
            <w:pPr>
              <w:spacing w:after="0" w:line="240" w:lineRule="auto"/>
              <w:jc w:val="right"/>
            </w:pPr>
            <w:r>
              <w:rPr>
                <w:rFonts w:ascii="Times New Roman" w:hAnsi="Times New Roman" w:cs="Times New Roman"/>
                <w:sz w:val="17"/>
                <w:szCs w:val="17"/>
              </w:rPr>
              <w:t>空間基底では表現しきれない受信電力の変動の大きさを，位置ごとに別に保持する地図（2.2 節）</w:t>
            </w:r>
          </w:p>
        </w:tc>
      </w:tr>
      <w:tr>
        <w:tc>
          <w:tcPr>
            <w:tcW w:type="dxa" w:w="2041"/>
          </w:tcPr>
          <w:p>
            <w:pPr>
              <w:spacing w:after="0" w:line="240" w:lineRule="auto"/>
            </w:pPr>
            <w:r>
              <w:rPr>
                <w:rFonts w:ascii="Times New Roman" w:hAnsi="Times New Roman" w:cs="Times New Roman"/>
                <w:sz w:val="17"/>
                <w:szCs w:val="17"/>
              </w:rPr>
              <w:t>割当層</w:t>
            </w:r>
          </w:p>
        </w:tc>
        <w:tc>
          <w:tcPr>
            <w:tcW w:type="dxa" w:w="6746"/>
          </w:tcPr>
          <w:p>
            <w:pPr>
              <w:spacing w:after="0" w:line="240" w:lineRule="auto"/>
              <w:jc w:val="right"/>
            </w:pPr>
            <w:r>
              <w:rPr>
                <w:rFonts w:ascii="Times New Roman" w:hAnsi="Times New Roman" w:cs="Times New Roman"/>
                <w:sz w:val="17"/>
                <w:szCs w:val="17"/>
              </w:rPr>
              <w:t>各時刻に「どの車両にどの RSU を与えるか」を決める部分．受動接続を除くすべての手法で共通に，ハンガリアン法で評価値の総和を最大化する</w:t>
            </w:r>
          </w:p>
        </w:tc>
      </w:tr>
    </w:tbl>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比較した手法</w:t>
      </w:r>
    </w:p>
    <w:tbl>
      <w:tblPr>
        <w:tblStyle w:val="af4"/>
        <w:tblW w:type="auto" w:w="0"/>
        <w:jc w:val="center"/>
        <w:tblLayout w:type="fixed"/>
        <w:tblLook w:firstColumn="1" w:firstRow="1" w:lastColumn="0" w:lastRow="0" w:noHBand="0" w:noVBand="1" w:val="04A0"/>
      </w:tblPr>
      <w:tblGrid>
        <w:gridCol w:w="4819"/>
        <w:gridCol w:w="4819"/>
      </w:tblGrid>
      <w:tr>
        <w:tc>
          <w:tcPr>
            <w:tcW w:type="dxa" w:w="2041"/>
          </w:tcPr>
          <w:p>
            <w:pPr>
              <w:spacing w:after="0" w:line="240" w:lineRule="auto"/>
              <w:jc w:val="center"/>
            </w:pPr>
            <w:r>
              <w:rPr>
                <w:rFonts w:ascii="Times New Roman" w:hAnsi="Times New Roman" w:cs="Times New Roman"/>
                <w:b/>
                <w:bCs/>
                <w:sz w:val="17"/>
                <w:szCs w:val="17"/>
              </w:rPr>
              <w:t>手法</w:t>
            </w:r>
          </w:p>
        </w:tc>
        <w:tc>
          <w:tcPr>
            <w:tcW w:type="dxa" w:w="6746"/>
          </w:tcPr>
          <w:p>
            <w:pPr>
              <w:spacing w:after="0" w:line="240" w:lineRule="auto"/>
              <w:jc w:val="center"/>
            </w:pPr>
            <w:r>
              <w:rPr>
                <w:rFonts w:ascii="Times New Roman" w:hAnsi="Times New Roman" w:cs="Times New Roman"/>
                <w:b/>
                <w:bCs/>
                <w:sz w:val="17"/>
                <w:szCs w:val="17"/>
              </w:rPr>
              <w:t>内容</w:t>
            </w:r>
          </w:p>
        </w:tc>
      </w:tr>
      <w:tr>
        <w:tc>
          <w:tcPr>
            <w:tcW w:type="dxa" w:w="2041"/>
          </w:tcPr>
          <w:p>
            <w:pPr>
              <w:spacing w:after="0" w:line="240" w:lineRule="auto"/>
            </w:pPr>
            <w:r>
              <w:rPr>
                <w:rFonts w:ascii="Times New Roman" w:hAnsi="Times New Roman" w:cs="Times New Roman"/>
                <w:sz w:val="17"/>
                <w:szCs w:val="17"/>
              </w:rPr>
              <w:t>assoc_hold</w:t>
            </w:r>
          </w:p>
        </w:tc>
        <w:tc>
          <w:tcPr>
            <w:tcW w:type="dxa" w:w="6746"/>
          </w:tcPr>
          <w:p>
            <w:pPr>
              <w:spacing w:after="0" w:line="240" w:lineRule="auto"/>
              <w:jc w:val="right"/>
            </w:pPr>
            <w:r>
              <w:rPr>
                <w:rFonts w:ascii="Times New Roman" w:hAnsi="Times New Roman" w:cs="Times New Roman"/>
                <w:sz w:val="17"/>
                <w:szCs w:val="17"/>
              </w:rPr>
              <w:t>802.15.3e 準拠の受動接続．閾値を超えた空き RSU に接続し保持する．能動的なハンドオーバーを行わない標準ベースライン</w:t>
            </w:r>
          </w:p>
        </w:tc>
      </w:tr>
      <w:tr>
        <w:tc>
          <w:tcPr>
            <w:tcW w:type="dxa" w:w="2041"/>
          </w:tcPr>
          <w:p>
            <w:pPr>
              <w:spacing w:after="0" w:line="240" w:lineRule="auto"/>
            </w:pPr>
            <w:r>
              <w:rPr>
                <w:rFonts w:ascii="Times New Roman" w:hAnsi="Times New Roman" w:cs="Times New Roman"/>
                <w:sz w:val="17"/>
                <w:szCs w:val="17"/>
              </w:rPr>
              <w:t>rem_conv</w:t>
            </w:r>
          </w:p>
        </w:tc>
        <w:tc>
          <w:tcPr>
            <w:tcW w:type="dxa" w:w="6746"/>
          </w:tcPr>
          <w:p>
            <w:pPr>
              <w:spacing w:after="0" w:line="240" w:lineRule="auto"/>
              <w:jc w:val="right"/>
            </w:pPr>
            <w:r>
              <w:rPr>
                <w:rFonts w:ascii="Times New Roman" w:hAnsi="Times New Roman" w:cs="Times New Roman"/>
                <w:sz w:val="17"/>
                <w:szCs w:val="17"/>
              </w:rPr>
              <w:t>提案手法．学習済みの電波地図を持ち，観測は割当中のペアに限る（規格忠実）</w:t>
            </w:r>
          </w:p>
        </w:tc>
      </w:tr>
      <w:tr>
        <w:tc>
          <w:tcPr>
            <w:tcW w:type="dxa" w:w="2041"/>
          </w:tcPr>
          <w:p>
            <w:pPr>
              <w:spacing w:after="0" w:line="240" w:lineRule="auto"/>
            </w:pPr>
            <w:r>
              <w:rPr>
                <w:rFonts w:ascii="Times New Roman" w:hAnsi="Times New Roman" w:cs="Times New Roman"/>
                <w:sz w:val="17"/>
                <w:szCs w:val="17"/>
              </w:rPr>
              <w:t>rem_cold</w:t>
            </w:r>
          </w:p>
        </w:tc>
        <w:tc>
          <w:tcPr>
            <w:tcW w:type="dxa" w:w="6746"/>
          </w:tcPr>
          <w:p>
            <w:pPr>
              <w:spacing w:after="0" w:line="240" w:lineRule="auto"/>
              <w:jc w:val="right"/>
            </w:pPr>
            <w:r>
              <w:rPr>
                <w:rFonts w:ascii="Times New Roman" w:hAnsi="Times New Roman" w:cs="Times New Roman"/>
                <w:sz w:val="17"/>
                <w:szCs w:val="17"/>
              </w:rPr>
              <w:t>地図を持たず，観測も割当中のペアに限る．規格忠実な条件で事前学習だけを外した構成</w:t>
            </w:r>
          </w:p>
        </w:tc>
      </w:tr>
      <w:tr>
        <w:tc>
          <w:tcPr>
            <w:tcW w:type="dxa" w:w="2041"/>
          </w:tcPr>
          <w:p>
            <w:pPr>
              <w:spacing w:after="0" w:line="240" w:lineRule="auto"/>
            </w:pPr>
            <w:r>
              <w:rPr>
                <w:rFonts w:ascii="Times New Roman" w:hAnsi="Times New Roman" w:cs="Times New Roman"/>
                <w:sz w:val="17"/>
                <w:szCs w:val="17"/>
              </w:rPr>
              <w:t>rem_cold_probe</w:t>
            </w:r>
          </w:p>
        </w:tc>
        <w:tc>
          <w:tcPr>
            <w:tcW w:type="dxa" w:w="6746"/>
          </w:tcPr>
          <w:p>
            <w:pPr>
              <w:spacing w:after="0" w:line="240" w:lineRule="auto"/>
              <w:jc w:val="right"/>
            </w:pPr>
            <w:r>
              <w:rPr>
                <w:rFonts w:ascii="Times New Roman" w:hAnsi="Times New Roman" w:cs="Times New Roman"/>
                <w:sz w:val="17"/>
                <w:szCs w:val="17"/>
              </w:rPr>
              <w:t>地図を持たないが，全ペアを観測して走行内で地図を育てる．規格の接続手順では実行できない参照条件</w:t>
            </w:r>
          </w:p>
        </w:tc>
      </w:tr>
      <w:tr>
        <w:tc>
          <w:tcPr>
            <w:tcW w:type="dxa" w:w="2041"/>
          </w:tcPr>
          <w:p>
            <w:pPr>
              <w:spacing w:after="0" w:line="240" w:lineRule="auto"/>
            </w:pPr>
            <w:r>
              <w:rPr>
                <w:rFonts w:ascii="Times New Roman" w:hAnsi="Times New Roman" w:cs="Times New Roman"/>
                <w:sz w:val="17"/>
                <w:szCs w:val="17"/>
              </w:rPr>
              <w:t>rem_nolcb</w:t>
            </w:r>
          </w:p>
        </w:tc>
        <w:tc>
          <w:tcPr>
            <w:tcW w:type="dxa" w:w="6746"/>
          </w:tcPr>
          <w:p>
            <w:pPr>
              <w:spacing w:after="0" w:line="240" w:lineRule="auto"/>
              <w:jc w:val="right"/>
            </w:pPr>
            <w:r>
              <w:rPr>
                <w:rFonts w:ascii="Times New Roman" w:hAnsi="Times New Roman" w:cs="Times New Roman"/>
                <w:sz w:val="17"/>
                <w:szCs w:val="17"/>
              </w:rPr>
              <w:t>提案手法から不確実性の利用（LCB，κσ）を外した構成</w:t>
            </w:r>
          </w:p>
        </w:tc>
      </w:tr>
      <w:tr>
        <w:tc>
          <w:tcPr>
            <w:tcW w:type="dxa" w:w="2041"/>
          </w:tcPr>
          <w:p>
            <w:pPr>
              <w:spacing w:after="0" w:line="240" w:lineRule="auto"/>
            </w:pPr>
            <w:r>
              <w:rPr>
                <w:rFonts w:ascii="Times New Roman" w:hAnsi="Times New Roman" w:cs="Times New Roman"/>
                <w:sz w:val="17"/>
                <w:szCs w:val="17"/>
              </w:rPr>
              <w:t>rem_novar</w:t>
            </w:r>
          </w:p>
        </w:tc>
        <w:tc>
          <w:tcPr>
            <w:tcW w:type="dxa" w:w="6746"/>
          </w:tcPr>
          <w:p>
            <w:pPr>
              <w:spacing w:after="0" w:line="240" w:lineRule="auto"/>
              <w:jc w:val="right"/>
            </w:pPr>
            <w:r>
              <w:rPr>
                <w:rFonts w:ascii="Times New Roman" w:hAnsi="Times New Roman" w:cs="Times New Roman"/>
                <w:sz w:val="17"/>
                <w:szCs w:val="17"/>
              </w:rPr>
              <w:t>提案手法から遮蔽リスク地図（σν²）を外した構成</w:t>
            </w:r>
          </w:p>
        </w:tc>
      </w:tr>
      <w:tr>
        <w:tc>
          <w:tcPr>
            <w:tcW w:type="dxa" w:w="2041"/>
          </w:tcPr>
          <w:p>
            <w:pPr>
              <w:spacing w:after="0" w:line="240" w:lineRule="auto"/>
            </w:pPr>
            <w:r>
              <w:rPr>
                <w:rFonts w:ascii="Times New Roman" w:hAnsi="Times New Roman" w:cs="Times New Roman"/>
                <w:sz w:val="17"/>
                <w:szCs w:val="17"/>
              </w:rPr>
              <w:t>rem_nokrig</w:t>
            </w:r>
          </w:p>
        </w:tc>
        <w:tc>
          <w:tcPr>
            <w:tcW w:type="dxa" w:w="6746"/>
          </w:tcPr>
          <w:p>
            <w:pPr>
              <w:spacing w:after="0" w:line="240" w:lineRule="auto"/>
              <w:jc w:val="right"/>
            </w:pPr>
            <w:r>
              <w:rPr>
                <w:rFonts w:ascii="Times New Roman" w:hAnsi="Times New Roman" w:cs="Times New Roman"/>
                <w:sz w:val="17"/>
                <w:szCs w:val="17"/>
              </w:rPr>
              <w:t>提案手法から残差の補間を外した構成</w:t>
            </w:r>
          </w:p>
        </w:tc>
      </w:tr>
      <w:tr>
        <w:tc>
          <w:tcPr>
            <w:tcW w:type="dxa" w:w="2041"/>
          </w:tcPr>
          <w:p>
            <w:pPr>
              <w:spacing w:after="0" w:line="240" w:lineRule="auto"/>
            </w:pPr>
            <w:r>
              <w:rPr>
                <w:rFonts w:ascii="Times New Roman" w:hAnsi="Times New Roman" w:cs="Times New Roman"/>
                <w:sz w:val="17"/>
                <w:szCs w:val="17"/>
              </w:rPr>
              <w:t>rem_frozen</w:t>
            </w:r>
          </w:p>
        </w:tc>
        <w:tc>
          <w:tcPr>
            <w:tcW w:type="dxa" w:w="6746"/>
          </w:tcPr>
          <w:p>
            <w:pPr>
              <w:spacing w:after="0" w:line="240" w:lineRule="auto"/>
              <w:jc w:val="right"/>
            </w:pPr>
            <w:r>
              <w:rPr>
                <w:rFonts w:ascii="Times New Roman" w:hAnsi="Times New Roman" w:cs="Times New Roman"/>
                <w:sz w:val="17"/>
                <w:szCs w:val="17"/>
              </w:rPr>
              <w:t>提案手法から走行内の地図更新を外した構成</w:t>
            </w:r>
          </w:p>
        </w:tc>
      </w:tr>
      <w:tr>
        <w:tc>
          <w:tcPr>
            <w:tcW w:type="dxa" w:w="2041"/>
          </w:tcPr>
          <w:p>
            <w:pPr>
              <w:spacing w:after="0" w:line="240" w:lineRule="auto"/>
            </w:pPr>
            <w:r>
              <w:rPr>
                <w:rFonts w:ascii="Times New Roman" w:hAnsi="Times New Roman" w:cs="Times New Roman"/>
                <w:sz w:val="17"/>
                <w:szCs w:val="17"/>
              </w:rPr>
              <w:t>oracle</w:t>
            </w:r>
          </w:p>
        </w:tc>
        <w:tc>
          <w:tcPr>
            <w:tcW w:type="dxa" w:w="6746"/>
          </w:tcPr>
          <w:p>
            <w:pPr>
              <w:spacing w:after="0" w:line="240" w:lineRule="auto"/>
              <w:jc w:val="right"/>
            </w:pPr>
            <w:r>
              <w:rPr>
                <w:rFonts w:ascii="Times New Roman" w:hAnsi="Times New Roman" w:cs="Times New Roman"/>
                <w:sz w:val="17"/>
                <w:szCs w:val="17"/>
              </w:rPr>
              <w:t>全ペアの現在の真値を雑音なしで用いる理想反応型．割当層は提案手法と同じ．未来の予測ではなく「完全な計測が得られたらどれだけ配信できるか」を表す</w:t>
            </w:r>
          </w:p>
        </w:tc>
      </w:tr>
    </w:tbl>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主張の根拠</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受動接続に対する優位</w:t>
      </w:r>
    </w:p>
    <w:p>
      <w:pPr>
        <w:spacing w:before="120" w:after="40"/>
        <w:jc w:val="center"/>
      </w:pPr>
      <w:r>
        <w:drawing>
          <wp:inline xmlns:a="http://schemas.openxmlformats.org/drawingml/2006/main" xmlns:pic="http://schemas.openxmlformats.org/drawingml/2006/picture">
            <wp:extent cx="5580000" cy="3142800"/>
            <wp:docPr id="2" name="Picture 2"/>
            <wp:cNvGraphicFramePr>
              <a:graphicFrameLocks noChangeAspect="1"/>
            </wp:cNvGraphicFramePr>
            <a:graphic>
              <a:graphicData uri="http://schemas.openxmlformats.org/drawingml/2006/picture">
                <pic:pic>
                  <pic:nvPicPr>
                    <pic:cNvPr id="0" name="H_gain.png"/>
                    <pic:cNvPicPr/>
                  </pic:nvPicPr>
                  <pic:blipFill>
                    <a:blip r:embed="rId15"/>
                    <a:stretch>
                      <a:fillRect/>
                    </a:stretch>
                  </pic:blipFill>
                  <pic:spPr>
                    <a:xfrm>
                      <a:off x="0" y="0"/>
                      <a:ext cx="5580000" cy="3142800"/>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図6　受動接続（assoc_hold）に対する対差（50 走行）．誤差棒は対応データの 95% 信頼区間．</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提案手法の対差は +3,574 MB（95% 信頼区間 ±169 MB，Wilcoxon 符号順位検定 p = 8e-10），走行ごと相対差の平均は +15.0% である．全ペアの受信電力が既知の理想反応型に対する到達率は，対差ベースで 3,574 / 4,553 = 78.5% であり，地図が規格上行えない計測をこの水準まで代替できたことを意味する．</w:t>
      </w:r>
    </w:p>
    <w:p>
      <w:pPr>
        <w:spacing w:before="120" w:after="40"/>
        <w:jc w:val="center"/>
      </w:pPr>
      <w:r>
        <w:drawing>
          <wp:inline xmlns:a="http://schemas.openxmlformats.org/drawingml/2006/main" xmlns:pic="http://schemas.openxmlformats.org/drawingml/2006/picture">
            <wp:extent cx="5580000" cy="3104258"/>
            <wp:docPr id="3" name="Picture 3"/>
            <wp:cNvGraphicFramePr>
              <a:graphicFrameLocks noChangeAspect="1"/>
            </wp:cNvGraphicFramePr>
            <a:graphic>
              <a:graphicData uri="http://schemas.openxmlformats.org/drawingml/2006/picture">
                <pic:pic>
                  <pic:nvPicPr>
                    <pic:cNvPr id="0" name="I_runs.png"/>
                    <pic:cNvPicPr/>
                  </pic:nvPicPr>
                  <pic:blipFill>
                    <a:blip r:embed="rId16"/>
                    <a:stretch>
                      <a:fillRect/>
                    </a:stretch>
                  </pic:blipFill>
                  <pic:spPr>
                    <a:xfrm>
                      <a:off x="0" y="0"/>
                      <a:ext cx="5580000" cy="3104258"/>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図7　走行ごとの相対差（50 走行，昇順）．</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50 走行すべてで提案手法が受動接続を上回る．最も差が小さい走行でも +8.2%，最も大きい走行で +22.2% である．走行ごとの交通実現のばらつきに対して，優位は一貫している．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利得の源泉は割当時間の質である</w:t>
      </w:r>
    </w:p>
    <w:p>
      <w:pPr>
        <w:spacing w:before="120" w:after="40"/>
        <w:jc w:val="center"/>
      </w:pPr>
      <w:r>
        <w:drawing>
          <wp:inline xmlns:a="http://schemas.openxmlformats.org/drawingml/2006/main" xmlns:pic="http://schemas.openxmlformats.org/drawingml/2006/picture">
            <wp:extent cx="5580000" cy="3206418"/>
            <wp:docPr id="4" name="Picture 4"/>
            <wp:cNvGraphicFramePr>
              <a:graphicFrameLocks noChangeAspect="1"/>
            </wp:cNvGraphicFramePr>
            <a:graphic>
              <a:graphicData uri="http://schemas.openxmlformats.org/drawingml/2006/picture">
                <pic:pic>
                  <pic:nvPicPr>
                    <pic:cNvPr id="0" name="J_grant.png"/>
                    <pic:cNvPicPr/>
                  </pic:nvPicPr>
                  <pic:blipFill>
                    <a:blip r:embed="rId17"/>
                    <a:stretch>
                      <a:fillRect/>
                    </a:stretch>
                  </pic:blipFill>
                  <pic:spPr>
                    <a:xfrm>
                      <a:off x="0" y="0"/>
                      <a:ext cx="5580000" cy="3206418"/>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図8　割当を得ていた時間（grant）のうち，実際に送れた時間（接続時間）の割合．</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割当を得ていた時間のうち実際に送れた割合でみると，受動接続の 85.1% に対し提案手法は 97.0% である．すなわち利得は割当時間を延ばすことではなく，接続できない相手を選ばないことから来ている．1 基の RSU に同時に接続できる車両は1 台に限られるため，送れていない割当はその RSU を使えたはずの他の車両にとっての損失でもある．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どの機構が効いているか</w:t>
      </w:r>
    </w:p>
    <w:p>
      <w:pPr>
        <w:spacing w:before="120" w:after="40"/>
        <w:jc w:val="center"/>
      </w:pPr>
      <w:r>
        <w:drawing>
          <wp:inline xmlns:a="http://schemas.openxmlformats.org/drawingml/2006/main" xmlns:pic="http://schemas.openxmlformats.org/drawingml/2006/picture">
            <wp:extent cx="5580000" cy="2421835"/>
            <wp:docPr id="5" name="Picture 5"/>
            <wp:cNvGraphicFramePr>
              <a:graphicFrameLocks noChangeAspect="1"/>
            </wp:cNvGraphicFramePr>
            <a:graphic>
              <a:graphicData uri="http://schemas.openxmlformats.org/drawingml/2006/picture">
                <pic:pic>
                  <pic:nvPicPr>
                    <pic:cNvPr id="0" name="K_ablation.png"/>
                    <pic:cNvPicPr/>
                  </pic:nvPicPr>
                  <pic:blipFill>
                    <a:blip r:embed="rId18"/>
                    <a:stretch>
                      <a:fillRect/>
                    </a:stretch>
                  </pic:blipFill>
                  <pic:spPr>
                    <a:xfrm>
                      <a:off x="0" y="0"/>
                      <a:ext cx="5580000" cy="2421835"/>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図9　提案手法から機構を 1 つずつ外したときの対差（50 走行）．正の値は提案手法が上回ることを意味する．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地図を持たない rem_cold は総配信量 0 MB であった．割当層は各ペアの見込みを必要とするため，割当中のペアしか観測できない規格忠実な条件では，接続しなければ観測できず，観測できなければ割り当てられないという循環に陥る．本実装においてこの循環を断っている機構は事前学習した地図のみ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利得は地図の内部機構ではなく，事前学習した地図を持つこと自体に帰属する．構成要素ごとに切り分けると，遮蔽リスク地図 σν² の寄与が +347 MB（利得の 9.7%，p = 8e-10），不確実性を用いた慎重な選択（LCB）が +165 MB（4.6%，p = 8e-10），残差の補間が +135 MB（3.8%，p = 3e-07）である．いずれも符号は正だが，利得全体に占める割合は限られる．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一方，走行内の地図更新を外した構成との差は -31 MB（p = 0.23）で，有意でない．本評価の環境ではシャドウイングの場も遮蔽体も走行間で固定されており，学習済みの地図に対して走行内の観測が加える情報が小さいためである．</w:t>
      </w:r>
    </w:p>
    <w:tbl>
      <w:tblPr>
        <w:tblStyle w:val="af4"/>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608"/>
          </w:tcPr>
          <w:p>
            <w:pPr>
              <w:spacing w:after="0" w:line="240" w:lineRule="auto"/>
              <w:jc w:val="center"/>
            </w:pPr>
            <w:r>
              <w:rPr>
                <w:rFonts w:ascii="Times New Roman" w:hAnsi="Times New Roman" w:cs="Times New Roman"/>
                <w:b/>
                <w:bCs/>
                <w:sz w:val="17"/>
                <w:szCs w:val="17"/>
              </w:rPr>
              <w:t>外した機構</w:t>
            </w:r>
          </w:p>
        </w:tc>
        <w:tc>
          <w:tcPr>
            <w:tcW w:type="dxa" w:w="1474"/>
          </w:tcPr>
          <w:p>
            <w:pPr>
              <w:spacing w:after="0" w:line="240" w:lineRule="auto"/>
              <w:jc w:val="center"/>
            </w:pPr>
            <w:r>
              <w:rPr>
                <w:rFonts w:ascii="Times New Roman" w:hAnsi="Times New Roman" w:cs="Times New Roman"/>
                <w:b/>
                <w:bCs/>
                <w:sz w:val="17"/>
                <w:szCs w:val="17"/>
              </w:rPr>
              <w:t>対差 [MB]</w:t>
            </w:r>
          </w:p>
        </w:tc>
        <w:tc>
          <w:tcPr>
            <w:tcW w:type="dxa" w:w="1247"/>
          </w:tcPr>
          <w:p>
            <w:pPr>
              <w:spacing w:after="0" w:line="240" w:lineRule="auto"/>
              <w:jc w:val="center"/>
            </w:pPr>
            <w:r>
              <w:rPr>
                <w:rFonts w:ascii="Times New Roman" w:hAnsi="Times New Roman" w:cs="Times New Roman"/>
                <w:b/>
                <w:bCs/>
                <w:sz w:val="17"/>
                <w:szCs w:val="17"/>
              </w:rPr>
              <w:t>95%CI</w:t>
            </w:r>
          </w:p>
        </w:tc>
        <w:tc>
          <w:tcPr>
            <w:tcW w:type="dxa" w:w="1871"/>
          </w:tcPr>
          <w:p>
            <w:pPr>
              <w:spacing w:after="0" w:line="240" w:lineRule="auto"/>
              <w:jc w:val="center"/>
            </w:pPr>
            <w:r>
              <w:rPr>
                <w:rFonts w:ascii="Times New Roman" w:hAnsi="Times New Roman" w:cs="Times New Roman"/>
                <w:b/>
                <w:bCs/>
                <w:sz w:val="17"/>
                <w:szCs w:val="17"/>
              </w:rPr>
              <w:t>利得に占める割合</w:t>
            </w:r>
          </w:p>
        </w:tc>
        <w:tc>
          <w:tcPr>
            <w:tcW w:type="dxa" w:w="1587"/>
          </w:tcPr>
          <w:p>
            <w:pPr>
              <w:spacing w:after="0" w:line="240" w:lineRule="auto"/>
              <w:jc w:val="center"/>
            </w:pPr>
            <w:r>
              <w:rPr>
                <w:rFonts w:ascii="Times New Roman" w:hAnsi="Times New Roman" w:cs="Times New Roman"/>
                <w:b/>
                <w:bCs/>
                <w:sz w:val="17"/>
                <w:szCs w:val="17"/>
              </w:rPr>
              <w:t>p</w:t>
            </w:r>
          </w:p>
        </w:tc>
      </w:tr>
      <w:tr>
        <w:tc>
          <w:tcPr>
            <w:tcW w:type="dxa" w:w="2608"/>
          </w:tcPr>
          <w:p>
            <w:pPr>
              <w:spacing w:after="0" w:line="240" w:lineRule="auto"/>
            </w:pPr>
            <w:r>
              <w:rPr>
                <w:rFonts w:ascii="Times New Roman" w:hAnsi="Times New Roman" w:cs="Times New Roman"/>
                <w:sz w:val="17"/>
                <w:szCs w:val="17"/>
              </w:rPr>
              <w:t>遮蔽リスク地図 σν²</w:t>
            </w:r>
          </w:p>
        </w:tc>
        <w:tc>
          <w:tcPr>
            <w:tcW w:type="dxa" w:w="1474"/>
          </w:tcPr>
          <w:p>
            <w:pPr>
              <w:spacing w:after="0" w:line="240" w:lineRule="auto"/>
              <w:jc w:val="right"/>
            </w:pPr>
            <w:r>
              <w:rPr>
                <w:rFonts w:ascii="Times New Roman" w:hAnsi="Times New Roman" w:cs="Times New Roman"/>
                <w:sz w:val="17"/>
                <w:szCs w:val="17"/>
              </w:rPr>
              <w:t>+347</w:t>
            </w:r>
          </w:p>
        </w:tc>
        <w:tc>
          <w:tcPr>
            <w:tcW w:type="dxa" w:w="1247"/>
          </w:tcPr>
          <w:p>
            <w:pPr>
              <w:spacing w:after="0" w:line="240" w:lineRule="auto"/>
              <w:jc w:val="right"/>
            </w:pPr>
            <w:r>
              <w:rPr>
                <w:rFonts w:ascii="Times New Roman" w:hAnsi="Times New Roman" w:cs="Times New Roman"/>
                <w:sz w:val="17"/>
                <w:szCs w:val="17"/>
              </w:rPr>
              <w:t>±25</w:t>
            </w:r>
          </w:p>
        </w:tc>
        <w:tc>
          <w:tcPr>
            <w:tcW w:type="dxa" w:w="1871"/>
          </w:tcPr>
          <w:p>
            <w:pPr>
              <w:spacing w:after="0" w:line="240" w:lineRule="auto"/>
              <w:jc w:val="right"/>
            </w:pPr>
            <w:r>
              <w:rPr>
                <w:rFonts w:ascii="Times New Roman" w:hAnsi="Times New Roman" w:cs="Times New Roman"/>
                <w:sz w:val="17"/>
                <w:szCs w:val="17"/>
              </w:rPr>
              <w:t>+9.7%</w:t>
            </w:r>
          </w:p>
        </w:tc>
        <w:tc>
          <w:tcPr>
            <w:tcW w:type="dxa" w:w="1587"/>
          </w:tcPr>
          <w:p>
            <w:pPr>
              <w:spacing w:after="0" w:line="240" w:lineRule="auto"/>
              <w:jc w:val="right"/>
            </w:pPr>
            <w:r>
              <w:rPr>
                <w:rFonts w:ascii="Times New Roman" w:hAnsi="Times New Roman" w:cs="Times New Roman"/>
                <w:sz w:val="17"/>
                <w:szCs w:val="17"/>
              </w:rPr>
              <w:t>8e-10</w:t>
            </w:r>
          </w:p>
        </w:tc>
      </w:tr>
      <w:tr>
        <w:tc>
          <w:tcPr>
            <w:tcW w:type="dxa" w:w="2608"/>
          </w:tcPr>
          <w:p>
            <w:pPr>
              <w:spacing w:after="0" w:line="240" w:lineRule="auto"/>
            </w:pPr>
            <w:r>
              <w:rPr>
                <w:rFonts w:ascii="Times New Roman" w:hAnsi="Times New Roman" w:cs="Times New Roman"/>
                <w:sz w:val="17"/>
                <w:szCs w:val="17"/>
              </w:rPr>
              <w:t>不確実性の利用（LCB）</w:t>
            </w:r>
          </w:p>
        </w:tc>
        <w:tc>
          <w:tcPr>
            <w:tcW w:type="dxa" w:w="1474"/>
          </w:tcPr>
          <w:p>
            <w:pPr>
              <w:spacing w:after="0" w:line="240" w:lineRule="auto"/>
              <w:jc w:val="right"/>
            </w:pPr>
            <w:r>
              <w:rPr>
                <w:rFonts w:ascii="Times New Roman" w:hAnsi="Times New Roman" w:cs="Times New Roman"/>
                <w:sz w:val="17"/>
                <w:szCs w:val="17"/>
              </w:rPr>
              <w:t>+165</w:t>
            </w:r>
          </w:p>
        </w:tc>
        <w:tc>
          <w:tcPr>
            <w:tcW w:type="dxa" w:w="1247"/>
          </w:tcPr>
          <w:p>
            <w:pPr>
              <w:spacing w:after="0" w:line="240" w:lineRule="auto"/>
              <w:jc w:val="right"/>
            </w:pPr>
            <w:r>
              <w:rPr>
                <w:rFonts w:ascii="Times New Roman" w:hAnsi="Times New Roman" w:cs="Times New Roman"/>
                <w:sz w:val="17"/>
                <w:szCs w:val="17"/>
              </w:rPr>
              <w:t>±27</w:t>
            </w:r>
          </w:p>
        </w:tc>
        <w:tc>
          <w:tcPr>
            <w:tcW w:type="dxa" w:w="1871"/>
          </w:tcPr>
          <w:p>
            <w:pPr>
              <w:spacing w:after="0" w:line="240" w:lineRule="auto"/>
              <w:jc w:val="right"/>
            </w:pPr>
            <w:r>
              <w:rPr>
                <w:rFonts w:ascii="Times New Roman" w:hAnsi="Times New Roman" w:cs="Times New Roman"/>
                <w:sz w:val="17"/>
                <w:szCs w:val="17"/>
              </w:rPr>
              <w:t>+4.6%</w:t>
            </w:r>
          </w:p>
        </w:tc>
        <w:tc>
          <w:tcPr>
            <w:tcW w:type="dxa" w:w="1587"/>
          </w:tcPr>
          <w:p>
            <w:pPr>
              <w:spacing w:after="0" w:line="240" w:lineRule="auto"/>
              <w:jc w:val="right"/>
            </w:pPr>
            <w:r>
              <w:rPr>
                <w:rFonts w:ascii="Times New Roman" w:hAnsi="Times New Roman" w:cs="Times New Roman"/>
                <w:sz w:val="17"/>
                <w:szCs w:val="17"/>
              </w:rPr>
              <w:t>8e-10</w:t>
            </w:r>
          </w:p>
        </w:tc>
      </w:tr>
      <w:tr>
        <w:tc>
          <w:tcPr>
            <w:tcW w:type="dxa" w:w="2608"/>
          </w:tcPr>
          <w:p>
            <w:pPr>
              <w:spacing w:after="0" w:line="240" w:lineRule="auto"/>
            </w:pPr>
            <w:r>
              <w:rPr>
                <w:rFonts w:ascii="Times New Roman" w:hAnsi="Times New Roman" w:cs="Times New Roman"/>
                <w:sz w:val="17"/>
                <w:szCs w:val="17"/>
              </w:rPr>
              <w:t>残差の補間</w:t>
            </w:r>
          </w:p>
        </w:tc>
        <w:tc>
          <w:tcPr>
            <w:tcW w:type="dxa" w:w="1474"/>
          </w:tcPr>
          <w:p>
            <w:pPr>
              <w:spacing w:after="0" w:line="240" w:lineRule="auto"/>
              <w:jc w:val="right"/>
            </w:pPr>
            <w:r>
              <w:rPr>
                <w:rFonts w:ascii="Times New Roman" w:hAnsi="Times New Roman" w:cs="Times New Roman"/>
                <w:sz w:val="17"/>
                <w:szCs w:val="17"/>
              </w:rPr>
              <w:t>+135</w:t>
            </w:r>
          </w:p>
        </w:tc>
        <w:tc>
          <w:tcPr>
            <w:tcW w:type="dxa" w:w="1247"/>
          </w:tcPr>
          <w:p>
            <w:pPr>
              <w:spacing w:after="0" w:line="240" w:lineRule="auto"/>
              <w:jc w:val="right"/>
            </w:pPr>
            <w:r>
              <w:rPr>
                <w:rFonts w:ascii="Times New Roman" w:hAnsi="Times New Roman" w:cs="Times New Roman"/>
                <w:sz w:val="17"/>
                <w:szCs w:val="17"/>
              </w:rPr>
              <w:t>±37</w:t>
            </w:r>
          </w:p>
        </w:tc>
        <w:tc>
          <w:tcPr>
            <w:tcW w:type="dxa" w:w="1871"/>
          </w:tcPr>
          <w:p>
            <w:pPr>
              <w:spacing w:after="0" w:line="240" w:lineRule="auto"/>
              <w:jc w:val="right"/>
            </w:pPr>
            <w:r>
              <w:rPr>
                <w:rFonts w:ascii="Times New Roman" w:hAnsi="Times New Roman" w:cs="Times New Roman"/>
                <w:sz w:val="17"/>
                <w:szCs w:val="17"/>
              </w:rPr>
              <w:t>+3.8%</w:t>
            </w:r>
          </w:p>
        </w:tc>
        <w:tc>
          <w:tcPr>
            <w:tcW w:type="dxa" w:w="1587"/>
          </w:tcPr>
          <w:p>
            <w:pPr>
              <w:spacing w:after="0" w:line="240" w:lineRule="auto"/>
              <w:jc w:val="right"/>
            </w:pPr>
            <w:r>
              <w:rPr>
                <w:rFonts w:ascii="Times New Roman" w:hAnsi="Times New Roman" w:cs="Times New Roman"/>
                <w:sz w:val="17"/>
                <w:szCs w:val="17"/>
              </w:rPr>
              <w:t>3e-07</w:t>
            </w:r>
          </w:p>
        </w:tc>
      </w:tr>
      <w:tr>
        <w:tc>
          <w:tcPr>
            <w:tcW w:type="dxa" w:w="2608"/>
          </w:tcPr>
          <w:p>
            <w:pPr>
              <w:spacing w:after="0" w:line="240" w:lineRule="auto"/>
            </w:pPr>
            <w:r>
              <w:rPr>
                <w:rFonts w:ascii="Times New Roman" w:hAnsi="Times New Roman" w:cs="Times New Roman"/>
                <w:sz w:val="17"/>
                <w:szCs w:val="17"/>
              </w:rPr>
              <w:t>走行内の地図更新</w:t>
            </w:r>
          </w:p>
        </w:tc>
        <w:tc>
          <w:tcPr>
            <w:tcW w:type="dxa" w:w="1474"/>
          </w:tcPr>
          <w:p>
            <w:pPr>
              <w:spacing w:after="0" w:line="240" w:lineRule="auto"/>
              <w:jc w:val="right"/>
            </w:pPr>
            <w:r>
              <w:rPr>
                <w:rFonts w:ascii="Times New Roman" w:hAnsi="Times New Roman" w:cs="Times New Roman"/>
                <w:sz w:val="17"/>
                <w:szCs w:val="17"/>
              </w:rPr>
              <w:t>-31</w:t>
            </w:r>
          </w:p>
        </w:tc>
        <w:tc>
          <w:tcPr>
            <w:tcW w:type="dxa" w:w="1247"/>
          </w:tcPr>
          <w:p>
            <w:pPr>
              <w:spacing w:after="0" w:line="240" w:lineRule="auto"/>
              <w:jc w:val="right"/>
            </w:pPr>
            <w:r>
              <w:rPr>
                <w:rFonts w:ascii="Times New Roman" w:hAnsi="Times New Roman" w:cs="Times New Roman"/>
                <w:sz w:val="17"/>
                <w:szCs w:val="17"/>
              </w:rPr>
              <w:t>±36</w:t>
            </w:r>
          </w:p>
        </w:tc>
        <w:tc>
          <w:tcPr>
            <w:tcW w:type="dxa" w:w="1871"/>
          </w:tcPr>
          <w:p>
            <w:pPr>
              <w:spacing w:after="0" w:line="240" w:lineRule="auto"/>
              <w:jc w:val="right"/>
            </w:pPr>
            <w:r>
              <w:rPr>
                <w:rFonts w:ascii="Times New Roman" w:hAnsi="Times New Roman" w:cs="Times New Roman"/>
                <w:sz w:val="17"/>
                <w:szCs w:val="17"/>
              </w:rPr>
              <w:t>-0.9%</w:t>
            </w:r>
          </w:p>
        </w:tc>
        <w:tc>
          <w:tcPr>
            <w:tcW w:type="dxa" w:w="1587"/>
          </w:tcPr>
          <w:p>
            <w:pPr>
              <w:spacing w:after="0" w:line="240" w:lineRule="auto"/>
              <w:jc w:val="right"/>
            </w:pPr>
            <w:r>
              <w:rPr>
                <w:rFonts w:ascii="Times New Roman" w:hAnsi="Times New Roman" w:cs="Times New Roman"/>
                <w:sz w:val="17"/>
                <w:szCs w:val="17"/>
              </w:rPr>
              <w:t>0.23</w:t>
            </w:r>
          </w:p>
        </w:tc>
      </w:tr>
    </w:tbl>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対差は提案手法から見た差であり，正の値は提案手法が上回ることを意味する．探索的比較であり多重比較の補正は行っていない．</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地図は接続可否を当てられるか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本文の主張は，地図が「その相手に今つないだら送れるか」を当てられることに依存する．これを，記録した真値を答え合わせに用いて測った（図10）．</w:t>
      </w:r>
    </w:p>
    <w:p>
      <w:pPr>
        <w:spacing w:before="120" w:after="40"/>
        <w:jc w:val="center"/>
      </w:pPr>
      <w:r>
        <w:drawing>
          <wp:inline xmlns:a="http://schemas.openxmlformats.org/drawingml/2006/main" xmlns:pic="http://schemas.openxmlformats.org/drawingml/2006/picture">
            <wp:extent cx="5580000" cy="2300877"/>
            <wp:docPr id="6" name="Picture 6"/>
            <wp:cNvGraphicFramePr>
              <a:graphicFrameLocks noChangeAspect="1"/>
            </wp:cNvGraphicFramePr>
            <a:graphic>
              <a:graphicData uri="http://schemas.openxmlformats.org/drawingml/2006/picture">
                <pic:pic>
                  <pic:nvPicPr>
                    <pic:cNvPr id="0" name="L_calibration.png"/>
                    <pic:cNvPicPr/>
                  </pic:nvPicPr>
                  <pic:blipFill>
                    <a:blip r:embed="rId19"/>
                    <a:stretch>
                      <a:fillRect/>
                    </a:stretch>
                  </pic:blipFill>
                  <pic:spPr>
                    <a:xfrm>
                      <a:off x="0" y="0"/>
                      <a:ext cx="5580000" cy="2300877"/>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図10　地図の判定精度（50 走行）．(a) 予測と真値，(b) 不確かさの較正．</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取りこぼし（真に接続可能なのに地図が接続不可と判定した割合）は 8.8%，幻リンク（その逆）は 0.96% で，地図は接続可否をおおむね正しく判定できている．接続可能な標本での予測誤差はバイアス -0.45 dB，RMSE 2.7 dB 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不確かさ σ については，実際の誤差との比 z =（予測値 − 真値）/ σ の標準偏差が 0.62 であり，σ は実際の誤差より大きく見積もられている．一方で σ と誤差の大きさの順位相関は 0.85 と高い．すなわち σ は誤差の絶対的な大きさは表していないが，どのペアの予測がより不確かかという順序は捉えており，LCB による順位付けが機能する．</w:t>
      </w:r>
    </w:p>
    <w:p w14:paraId="26AE476C" w14:textId="4B3FC785"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 xml:space="preserve">車両間の公平性</w:t>
      </w:r>
    </w:p>
    <w:p>
      <w:pPr>
        <w:spacing w:before="120" w:after="40"/>
        <w:jc w:val="center"/>
      </w:pPr>
      <w:r>
        <w:drawing>
          <wp:inline xmlns:a="http://schemas.openxmlformats.org/drawingml/2006/main" xmlns:pic="http://schemas.openxmlformats.org/drawingml/2006/picture">
            <wp:extent cx="5580000" cy="2160089"/>
            <wp:docPr id="7" name="Picture 7"/>
            <wp:cNvGraphicFramePr>
              <a:graphicFrameLocks noChangeAspect="1"/>
            </wp:cNvGraphicFramePr>
            <a:graphic>
              <a:graphicData uri="http://schemas.openxmlformats.org/drawingml/2006/picture">
                <pic:pic>
                  <pic:nvPicPr>
                    <pic:cNvPr id="0" name="M_fairness.png"/>
                    <pic:cNvPicPr/>
                  </pic:nvPicPr>
                  <pic:blipFill>
                    <a:blip r:embed="rId20"/>
                    <a:stretch>
                      <a:fillRect/>
                    </a:stretch>
                  </pic:blipFill>
                  <pic:spPr>
                    <a:xfrm>
                      <a:off x="0" y="0"/>
                      <a:ext cx="5580000" cy="2160089"/>
                    </a:xfrm>
                    <a:prstGeom prst="rect"/>
                  </pic:spPr>
                </pic:pic>
              </a:graphicData>
            </a:graphic>
          </wp:inline>
        </w:drawing>
      </w:r>
    </w:p>
    <w:p w14:paraId="1724DF4D" w14:textId="2126DF1B" w:rsidR="004C6DB6" w:rsidRDefault="004C6DB6" w:rsidP="00C21166">
      <w:pPr>
        <w:rPr>
          <w:rFonts w:ascii="Times New Roman" w:eastAsiaTheme="minorEastAsia" w:hAnsi="Times New Roman"/>
          <w:sz w:val="21"/>
          <w:szCs w:val="21"/>
        </w:rPr>
        <w:jc w:val="center"/>
      </w:pPr>
      <w:r w:rsidRPr="004C6DB6">
        <w:rPr>
          <w:rFonts w:ascii="Times New Roman" w:eastAsiaTheme="minorEastAsia" w:hAnsi="Times New Roman"/>
          <w:sz w:val="19"/>
          <w:szCs w:val="19"/>
        </w:rPr>
        <w:t xml:space="preserve">図11　車両ごとの配信量からみた公平性（50 走行）．</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提案手法は，最も恵まれない車両の配信量で受動接続の 2.9 倍（29 MB 対 10 MB）であり，配信量が 0 の車両の割合も 3.55% から 1.76% に減る．総配信量を増やす一方で取りこぼしを増やしてはいない．これは目的関数の性質でもある．2.3 節のとおり割当層が最大化するのは評価値を dB のまま足した和であり，dB 和の最大化は線形の受信電力の積の最大化にあたる．レートの総和を最大化する場合より，弱い相手を切り捨てにくい目的関数になっている．</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限界</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第一に，提案手法自体の測定はこの RSU 配置の 1 点に限られる．配置を変えたときに到達率が保たれるかは確かめていない．条件ごとに地図の学習が必要なため，他の配置での測定は行っていない．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第二に，能動的な切替を行う非提案ベースラインを置いていない．比較対象は受動接続および地図を外した構成のみである．受動接続は閾値を超えた RSU に接続して保持するだけで切替を行わない．閾値割れで解放して再アソシエートする反応型は規格の枠内で構成でき，提案手法の利得のうち「切替を行うこと自体」に帰属する分を切り分けるにはこのベースラインの測定が要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第三に，oracle は絶対的な上界ではない．oracle が持つのは全ペアの現在値であって未来ではなく，割当層は提案手法と同じである．本実装は将来時刻の予測を行わない設定で評価しているが，地図は位置の関数であるため，車両の未来位置を与えれば未来の受信電力を返せる．この意味で，地図には oracle を超えうる余地が残っている．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第四に，学習した環境と評価する環境が同一である．環境が変わったときに地図がどれだけ陳腐化するか，また学習 30 走行という取得コストが利得に見合うかは評価していない．また学習相のみ全ペア観測を用いており規格忠実ではない．評価相は割当中のペアに限った観測に戻しているため比較の公正性は保たれるが，現地で地図を育てる運用には初期探索方策が別途必要である．</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第五に，走行中の車両を遮蔽体として扱っていない．本評価で電波をさえぎるのは位置の固定された路上駐車 2 台のみである．60 GHz では走行車両による見通しの遮断が主要因になるため，実環境では遮蔽の頻度も予測の難しさも本評価より大きい．</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第六に，ハンドオーバー回数・ping-pong 率（同じ 2 基の間を往復する切替の割合）・無接続時間の最大連続長を測定していない．接続時間と割当時間で代替しているが，切替コストの直接評価は今後の課題である．</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付録：本実装の設定値</w:t>
      </w:r>
    </w:p>
    <w:tbl>
      <w:tblPr>
        <w:tblStyle w:val="af4"/>
        <w:tblW w:type="auto" w:w="0"/>
        <w:jc w:val="center"/>
        <w:tblLayout w:type="fixed"/>
        <w:tblLook w:firstColumn="1" w:firstRow="1" w:lastColumn="0" w:lastRow="0" w:noHBand="0" w:noVBand="1" w:val="04A0"/>
      </w:tblPr>
      <w:tblGrid>
        <w:gridCol w:w="4819"/>
        <w:gridCol w:w="4819"/>
      </w:tblGrid>
      <w:tr>
        <w:tc>
          <w:tcPr>
            <w:tcW w:type="dxa" w:w="3061"/>
          </w:tcPr>
          <w:p>
            <w:pPr>
              <w:spacing w:after="0" w:line="240" w:lineRule="auto"/>
              <w:jc w:val="center"/>
            </w:pPr>
            <w:r>
              <w:rPr>
                <w:rFonts w:ascii="Times New Roman" w:hAnsi="Times New Roman" w:cs="Times New Roman"/>
                <w:b/>
                <w:bCs/>
                <w:sz w:val="17"/>
                <w:szCs w:val="17"/>
              </w:rPr>
              <w:t>項目</w:t>
            </w:r>
          </w:p>
        </w:tc>
        <w:tc>
          <w:tcPr>
            <w:tcW w:type="dxa" w:w="5726"/>
          </w:tcPr>
          <w:p>
            <w:pPr>
              <w:spacing w:after="0" w:line="240" w:lineRule="auto"/>
              <w:jc w:val="center"/>
            </w:pPr>
            <w:r>
              <w:rPr>
                <w:rFonts w:ascii="Times New Roman" w:hAnsi="Times New Roman" w:cs="Times New Roman"/>
                <w:b/>
                <w:bCs/>
                <w:sz w:val="17"/>
                <w:szCs w:val="17"/>
              </w:rPr>
              <w:t>値</w:t>
            </w:r>
          </w:p>
        </w:tc>
      </w:tr>
      <w:tr>
        <w:tc>
          <w:tcPr>
            <w:tcW w:type="dxa" w:w="3061"/>
          </w:tcPr>
          <w:p>
            <w:pPr>
              <w:spacing w:after="0" w:line="240" w:lineRule="auto"/>
            </w:pPr>
            <w:r>
              <w:rPr>
                <w:rFonts w:ascii="Times New Roman" w:hAnsi="Times New Roman" w:cs="Times New Roman"/>
                <w:sz w:val="17"/>
                <w:szCs w:val="17"/>
              </w:rPr>
              <w:t>空間基底</w:t>
            </w:r>
          </w:p>
        </w:tc>
        <w:tc>
          <w:tcPr>
            <w:tcW w:type="dxa" w:w="5726"/>
          </w:tcPr>
          <w:p>
            <w:pPr>
              <w:spacing w:after="0" w:line="240" w:lineRule="auto"/>
              <w:jc w:val="right"/>
            </w:pPr>
            <w:r>
              <w:rPr>
                <w:rFonts w:ascii="Times New Roman" w:hAnsi="Times New Roman" w:cs="Times New Roman"/>
                <w:sz w:val="17"/>
                <w:szCs w:val="17"/>
              </w:rPr>
              <w:t>ガウス基底 40 個，道路に沿って 0〜210 m に等間隔．幅は中心間隔と同じ（約 5.4 m）</w:t>
            </w:r>
          </w:p>
        </w:tc>
      </w:tr>
      <w:tr>
        <w:tc>
          <w:tcPr>
            <w:tcW w:type="dxa" w:w="3061"/>
          </w:tcPr>
          <w:p>
            <w:pPr>
              <w:spacing w:after="0" w:line="240" w:lineRule="auto"/>
            </w:pPr>
            <w:r>
              <w:rPr>
                <w:rFonts w:ascii="Times New Roman" w:hAnsi="Times New Roman" w:cs="Times New Roman"/>
                <w:sz w:val="17"/>
                <w:szCs w:val="17"/>
              </w:rPr>
              <w:t>係数の事前分散</w:t>
            </w:r>
          </w:p>
        </w:tc>
        <w:tc>
          <w:tcPr>
            <w:tcW w:type="dxa" w:w="5726"/>
          </w:tcPr>
          <w:p>
            <w:pPr>
              <w:spacing w:after="0" w:line="240" w:lineRule="auto"/>
              <w:jc w:val="right"/>
            </w:pPr>
            <w:r>
              <w:rPr>
                <w:rFonts w:ascii="Times New Roman" w:hAnsi="Times New Roman" w:cs="Times New Roman"/>
                <w:sz w:val="17"/>
                <w:szCs w:val="17"/>
              </w:rPr>
              <w:t>100</w:t>
            </w:r>
          </w:p>
        </w:tc>
      </w:tr>
      <w:tr>
        <w:tc>
          <w:tcPr>
            <w:tcW w:type="dxa" w:w="3061"/>
          </w:tcPr>
          <w:p>
            <w:pPr>
              <w:spacing w:after="0" w:line="240" w:lineRule="auto"/>
            </w:pPr>
            <w:r>
              <w:rPr>
                <w:rFonts w:ascii="Times New Roman" w:hAnsi="Times New Roman" w:cs="Times New Roman"/>
                <w:sz w:val="17"/>
                <w:szCs w:val="17"/>
              </w:rPr>
              <w:t>共分散の膨張項</w:t>
            </w:r>
          </w:p>
        </w:tc>
        <w:tc>
          <w:tcPr>
            <w:tcW w:type="dxa" w:w="5726"/>
          </w:tcPr>
          <w:p>
            <w:pPr>
              <w:spacing w:after="0" w:line="240" w:lineRule="auto"/>
              <w:jc w:val="right"/>
            </w:pPr>
            <w:r>
              <w:rPr>
                <w:rFonts w:ascii="Times New Roman" w:hAnsi="Times New Roman" w:cs="Times New Roman"/>
                <w:sz w:val="17"/>
                <w:szCs w:val="17"/>
              </w:rPr>
              <w:t>1×10⁻⁴ ×Δt（観測間で加える）</w:t>
            </w:r>
          </w:p>
        </w:tc>
      </w:tr>
      <w:tr>
        <w:tc>
          <w:tcPr>
            <w:tcW w:type="dxa" w:w="3061"/>
          </w:tcPr>
          <w:p>
            <w:pPr>
              <w:spacing w:after="0" w:line="240" w:lineRule="auto"/>
            </w:pPr>
            <w:r>
              <w:rPr>
                <w:rFonts w:ascii="Times New Roman" w:hAnsi="Times New Roman" w:cs="Times New Roman"/>
                <w:sz w:val="17"/>
                <w:szCs w:val="17"/>
              </w:rPr>
              <w:t>平均場の事前値</w:t>
            </w:r>
          </w:p>
        </w:tc>
        <w:tc>
          <w:tcPr>
            <w:tcW w:type="dxa" w:w="5726"/>
          </w:tcPr>
          <w:p>
            <w:pPr>
              <w:spacing w:after="0" w:line="240" w:lineRule="auto"/>
              <w:jc w:val="right"/>
            </w:pPr>
            <w:r>
              <w:rPr>
                <w:rFonts w:ascii="Times New Roman" w:hAnsi="Times New Roman" w:cs="Times New Roman"/>
                <w:sz w:val="17"/>
                <w:szCs w:val="17"/>
              </w:rPr>
              <w:t>−110 dBm（地図はこの値からの偏差を学習する）</w:t>
            </w:r>
          </w:p>
        </w:tc>
      </w:tr>
      <w:tr>
        <w:tc>
          <w:tcPr>
            <w:tcW w:type="dxa" w:w="3061"/>
          </w:tcPr>
          <w:p>
            <w:pPr>
              <w:spacing w:after="0" w:line="240" w:lineRule="auto"/>
            </w:pPr>
            <w:r>
              <w:rPr>
                <w:rFonts w:ascii="Times New Roman" w:hAnsi="Times New Roman" w:cs="Times New Roman"/>
                <w:sz w:val="17"/>
                <w:szCs w:val="17"/>
              </w:rPr>
              <w:t>残差場の標準偏差</w:t>
            </w:r>
          </w:p>
        </w:tc>
        <w:tc>
          <w:tcPr>
            <w:tcW w:type="dxa" w:w="5726"/>
          </w:tcPr>
          <w:p>
            <w:pPr>
              <w:spacing w:after="0" w:line="240" w:lineRule="auto"/>
              <w:jc w:val="right"/>
            </w:pPr>
            <w:r>
              <w:rPr>
                <w:rFonts w:ascii="Times New Roman" w:hAnsi="Times New Roman" w:cs="Times New Roman"/>
                <w:sz w:val="17"/>
                <w:szCs w:val="17"/>
              </w:rPr>
              <w:t>4.0 dB（定数）</w:t>
            </w:r>
          </w:p>
        </w:tc>
      </w:tr>
      <w:tr>
        <w:tc>
          <w:tcPr>
            <w:tcW w:type="dxa" w:w="3061"/>
          </w:tcPr>
          <w:p>
            <w:pPr>
              <w:spacing w:after="0" w:line="240" w:lineRule="auto"/>
            </w:pPr>
            <w:r>
              <w:rPr>
                <w:rFonts w:ascii="Times New Roman" w:hAnsi="Times New Roman" w:cs="Times New Roman"/>
                <w:sz w:val="17"/>
                <w:szCs w:val="17"/>
              </w:rPr>
              <w:t>残差の空間相関長 / 時間相関長</w:t>
            </w:r>
          </w:p>
        </w:tc>
        <w:tc>
          <w:tcPr>
            <w:tcW w:type="dxa" w:w="5726"/>
          </w:tcPr>
          <w:p>
            <w:pPr>
              <w:spacing w:after="0" w:line="240" w:lineRule="auto"/>
              <w:jc w:val="right"/>
            </w:pPr>
            <w:r>
              <w:rPr>
                <w:rFonts w:ascii="Times New Roman" w:hAnsi="Times New Roman" w:cs="Times New Roman"/>
                <w:sz w:val="17"/>
                <w:szCs w:val="17"/>
              </w:rPr>
              <w:t>20 m / 5 s</w:t>
            </w:r>
          </w:p>
        </w:tc>
      </w:tr>
      <w:tr>
        <w:tc>
          <w:tcPr>
            <w:tcW w:type="dxa" w:w="3061"/>
          </w:tcPr>
          <w:p>
            <w:pPr>
              <w:spacing w:after="0" w:line="240" w:lineRule="auto"/>
            </w:pPr>
            <w:r>
              <w:rPr>
                <w:rFonts w:ascii="Times New Roman" w:hAnsi="Times New Roman" w:cs="Times New Roman"/>
                <w:sz w:val="17"/>
                <w:szCs w:val="17"/>
              </w:rPr>
              <w:t>残差バッファ</w:t>
            </w:r>
          </w:p>
        </w:tc>
        <w:tc>
          <w:tcPr>
            <w:tcW w:type="dxa" w:w="5726"/>
          </w:tcPr>
          <w:p>
            <w:pPr>
              <w:spacing w:after="0" w:line="240" w:lineRule="auto"/>
              <w:jc w:val="right"/>
            </w:pPr>
            <w:r>
              <w:rPr>
                <w:rFonts w:ascii="Times New Roman" w:hAnsi="Times New Roman" w:cs="Times New Roman"/>
                <w:sz w:val="17"/>
                <w:szCs w:val="17"/>
              </w:rPr>
              <w:t>64 点（古いものから捨てる）</w:t>
            </w:r>
          </w:p>
        </w:tc>
      </w:tr>
      <w:tr>
        <w:tc>
          <w:tcPr>
            <w:tcW w:type="dxa" w:w="3061"/>
          </w:tcPr>
          <w:p>
            <w:pPr>
              <w:spacing w:after="0" w:line="240" w:lineRule="auto"/>
            </w:pPr>
            <w:r>
              <w:rPr>
                <w:rFonts w:ascii="Times New Roman" w:hAnsi="Times New Roman" w:cs="Times New Roman"/>
                <w:sz w:val="17"/>
                <w:szCs w:val="17"/>
              </w:rPr>
              <w:t>遮蔽リスク地図 σν²(s)</w:t>
            </w:r>
          </w:p>
        </w:tc>
        <w:tc>
          <w:tcPr>
            <w:tcW w:type="dxa" w:w="5726"/>
          </w:tcPr>
          <w:p>
            <w:pPr>
              <w:spacing w:after="0" w:line="240" w:lineRule="auto"/>
              <w:jc w:val="right"/>
            </w:pPr>
            <w:r>
              <w:rPr>
                <w:rFonts w:ascii="Times New Roman" w:hAnsi="Times New Roman" w:cs="Times New Roman"/>
                <w:sz w:val="17"/>
                <w:szCs w:val="17"/>
              </w:rPr>
              <w:t>有効．格子 2.0 m，カーネル幅は格子と同じ</w:t>
            </w:r>
          </w:p>
        </w:tc>
      </w:tr>
      <w:tr>
        <w:tc>
          <w:tcPr>
            <w:tcW w:type="dxa" w:w="3061"/>
          </w:tcPr>
          <w:p>
            <w:pPr>
              <w:spacing w:after="0" w:line="240" w:lineRule="auto"/>
            </w:pPr>
            <w:r>
              <w:rPr>
                <w:rFonts w:ascii="Times New Roman" w:hAnsi="Times New Roman" w:cs="Times New Roman"/>
                <w:sz w:val="17"/>
                <w:szCs w:val="17"/>
              </w:rPr>
              <w:t>LCB の係数 κ</w:t>
            </w:r>
          </w:p>
        </w:tc>
        <w:tc>
          <w:tcPr>
            <w:tcW w:type="dxa" w:w="5726"/>
          </w:tcPr>
          <w:p>
            <w:pPr>
              <w:spacing w:after="0" w:line="240" w:lineRule="auto"/>
              <w:jc w:val="right"/>
            </w:pPr>
            <w:r>
              <w:rPr>
                <w:rFonts w:ascii="Times New Roman" w:hAnsi="Times New Roman" w:cs="Times New Roman"/>
                <w:sz w:val="17"/>
                <w:szCs w:val="17"/>
              </w:rPr>
              <w:t>1.0</w:t>
            </w:r>
          </w:p>
        </w:tc>
      </w:tr>
      <w:tr>
        <w:tc>
          <w:tcPr>
            <w:tcW w:type="dxa" w:w="3061"/>
          </w:tcPr>
          <w:p>
            <w:pPr>
              <w:spacing w:after="0" w:line="240" w:lineRule="auto"/>
            </w:pPr>
            <w:r>
              <w:rPr>
                <w:rFonts w:ascii="Times New Roman" w:hAnsi="Times New Roman" w:cs="Times New Roman"/>
                <w:sz w:val="17"/>
                <w:szCs w:val="17"/>
              </w:rPr>
              <w:t>接続見込みの判定</w:t>
            </w:r>
          </w:p>
        </w:tc>
        <w:tc>
          <w:tcPr>
            <w:tcW w:type="dxa" w:w="5726"/>
          </w:tcPr>
          <w:p>
            <w:pPr>
              <w:spacing w:after="0" w:line="240" w:lineRule="auto"/>
              <w:jc w:val="right"/>
            </w:pPr>
            <w:r>
              <w:rPr>
                <w:rFonts w:ascii="Times New Roman" w:hAnsi="Times New Roman" w:cs="Times New Roman"/>
                <w:sz w:val="17"/>
                <w:szCs w:val="17"/>
              </w:rPr>
              <w:t>平均の予測値が −68.5 dBm 以上（接続閾値と同値）</w:t>
            </w:r>
          </w:p>
        </w:tc>
      </w:tr>
      <w:tr>
        <w:tc>
          <w:tcPr>
            <w:tcW w:type="dxa" w:w="3061"/>
          </w:tcPr>
          <w:p>
            <w:pPr>
              <w:spacing w:after="0" w:line="240" w:lineRule="auto"/>
            </w:pPr>
            <w:r>
              <w:rPr>
                <w:rFonts w:ascii="Times New Roman" w:hAnsi="Times New Roman" w:cs="Times New Roman"/>
                <w:sz w:val="17"/>
                <w:szCs w:val="17"/>
              </w:rPr>
              <w:t>割当</w:t>
            </w:r>
          </w:p>
        </w:tc>
        <w:tc>
          <w:tcPr>
            <w:tcW w:type="dxa" w:w="5726"/>
          </w:tcPr>
          <w:p>
            <w:pPr>
              <w:spacing w:after="0" w:line="240" w:lineRule="auto"/>
              <w:jc w:val="right"/>
            </w:pPr>
            <w:r>
              <w:rPr>
                <w:rFonts w:ascii="Times New Roman" w:hAnsi="Times New Roman" w:cs="Times New Roman"/>
                <w:sz w:val="17"/>
                <w:szCs w:val="17"/>
              </w:rPr>
              <w:t>ハンガリアン法．切替の抑制は現割当 RSU への加点 3.0 dB</w:t>
            </w:r>
          </w:p>
        </w:tc>
      </w:tr>
      <w:tr>
        <w:tc>
          <w:tcPr>
            <w:tcW w:type="dxa" w:w="3061"/>
          </w:tcPr>
          <w:p>
            <w:pPr>
              <w:spacing w:after="0" w:line="240" w:lineRule="auto"/>
            </w:pPr>
            <w:r>
              <w:rPr>
                <w:rFonts w:ascii="Times New Roman" w:hAnsi="Times New Roman" w:cs="Times New Roman"/>
                <w:sz w:val="17"/>
                <w:szCs w:val="17"/>
              </w:rPr>
              <w:t>再計画周期</w:t>
            </w:r>
          </w:p>
        </w:tc>
        <w:tc>
          <w:tcPr>
            <w:tcW w:type="dxa" w:w="5726"/>
          </w:tcPr>
          <w:p>
            <w:pPr>
              <w:spacing w:after="0" w:line="240" w:lineRule="auto"/>
              <w:jc w:val="right"/>
            </w:pPr>
            <w:r>
              <w:rPr>
                <w:rFonts w:ascii="Times New Roman" w:hAnsi="Times New Roman" w:cs="Times New Roman"/>
                <w:sz w:val="17"/>
                <w:szCs w:val="17"/>
              </w:rPr>
              <w:t>0.05 s</w:t>
            </w:r>
          </w:p>
        </w:tc>
      </w:tr>
      <w:tr>
        <w:tc>
          <w:tcPr>
            <w:tcW w:type="dxa" w:w="3061"/>
          </w:tcPr>
          <w:p>
            <w:pPr>
              <w:spacing w:after="0" w:line="240" w:lineRule="auto"/>
            </w:pPr>
            <w:r>
              <w:rPr>
                <w:rFonts w:ascii="Times New Roman" w:hAnsi="Times New Roman" w:cs="Times New Roman"/>
                <w:sz w:val="17"/>
                <w:szCs w:val="17"/>
              </w:rPr>
              <w:t>学習走行数</w:t>
            </w:r>
          </w:p>
        </w:tc>
        <w:tc>
          <w:tcPr>
            <w:tcW w:type="dxa" w:w="5726"/>
          </w:tcPr>
          <w:p>
            <w:pPr>
              <w:spacing w:after="0" w:line="240" w:lineRule="auto"/>
              <w:jc w:val="right"/>
            </w:pPr>
            <w:r>
              <w:rPr>
                <w:rFonts w:ascii="Times New Roman" w:hAnsi="Times New Roman" w:cs="Times New Roman"/>
                <w:sz w:val="17"/>
                <w:szCs w:val="17"/>
              </w:rPr>
              <w:t>30</w:t>
            </w:r>
          </w:p>
        </w:tc>
      </w:tr>
    </w:tbl>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付録：再現手順</w:t>
      </w:r>
    </w:p>
    <w:p w14:paraId="1724DF4D" w14:textId="2126DF1B"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記録は手法にも設定にも依存しないため，一度記録すれば手法を変えた評価はGazebo なしで再現できる．</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 記録
python3 tools/sim.py run --sweep-config scratch/record_p4_all_n50.yaml
python3 tools/verify_recording.py sim_results/rec_p4_all_n50 --duration 35
# 評価
python3 tools/replay_sweep.py scratch/rec50 \
  --state-dir sim_results/urban_cm_d70_learn/rem_state \
  --out sim_results/ablation_n50 --jobs 12 --from-motion --duration 35
# 地図の判定精度
python3 tools/audit_rem_calibration.py scratch/rec50 \
  --state-dir sim_results/urban_cm_d70_learn/rem_state \
  --out sim_results/rem_audit_n50 --mode frozen --from-motion --duration 35</w:t>
      </w:r>
    </w:p>
    <w:p w14:paraId="09E74CB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 xml:space="preserve">参考文献</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[1] N. Cressie, Statistics for Spatial Data. New York, NY, USA: John Wiley &amp; Sons, 1993.</w:t>
      </w:r>
    </w:p>
    <w:p w14:paraId="1724DF4D" w14:textId="2126DF1B"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 xml:space="preserve">[2] IEEE Std 802.15.3e-2017, IEEE Standard for High Data Rate Wireless Multi-Media Networks—Amendment 1: High-Rate Close Proximity Point-to-Point Communications, 2017.</w:t>
      </w:r>
    </w:p>
    <w:sectPr w:rsidR="007849BD" w:rsidRPr="0082569D" w:rsidSect="005F2643">
      <w:headerReference w:type="default" r:id="rId11"/>
      <w:pgSz w:w="11906" w:h="16838"/>
      <w:pgMar w:top="1418" w:right="1134" w:bottom="1418" w:left="1134" w:header="1418" w:footer="992" w:gutter="0"/>
      <w:paperSrc w:first="263" w:other="263"/>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C2E8" w14:textId="77777777" w:rsidR="00B212B9" w:rsidRDefault="00B212B9">
      <w:r>
        <w:separator/>
      </w:r>
    </w:p>
  </w:endnote>
  <w:endnote w:type="continuationSeparator" w:id="0">
    <w:p w14:paraId="07E2650A" w14:textId="77777777" w:rsidR="00B212B9" w:rsidRDefault="00B212B9">
      <w:r>
        <w:continuationSeparator/>
      </w:r>
    </w:p>
  </w:endnote>
  <w:endnote w:type="continuationNotice" w:id="1">
    <w:p w14:paraId="39888A14" w14:textId="77777777" w:rsidR="00B212B9" w:rsidRDefault="00B212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1716" w14:textId="77777777" w:rsidR="00B212B9" w:rsidRDefault="00B212B9">
      <w:r>
        <w:separator/>
      </w:r>
    </w:p>
  </w:footnote>
  <w:footnote w:type="continuationSeparator" w:id="0">
    <w:p w14:paraId="5A076AAF" w14:textId="77777777" w:rsidR="00B212B9" w:rsidRDefault="00B212B9">
      <w:r>
        <w:continuationSeparator/>
      </w:r>
    </w:p>
  </w:footnote>
  <w:footnote w:type="continuationNotice" w:id="1">
    <w:p w14:paraId="086DA48F" w14:textId="77777777" w:rsidR="00B212B9" w:rsidRDefault="00B212B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2012" w14:textId="3C9692C9" w:rsidR="00885C13" w:rsidRPr="004C7FDF" w:rsidRDefault="00DD67F2">
    <w:pPr>
      <w:pStyle w:val="a4"/>
      <w:tabs>
        <w:tab w:val="clear" w:pos="4252"/>
        <w:tab w:val="clear" w:pos="8504"/>
        <w:tab w:val="center" w:pos="3420"/>
        <w:tab w:val="left" w:pos="7560"/>
        <w:tab w:val="center" w:pos="8280"/>
      </w:tabs>
      <w:spacing w:line="240" w:lineRule="auto"/>
      <w:rPr>
        <w:u w:val="single"/>
      </w:rPr>
    </w:pPr>
    <w:r>
      <w:tab/>
    </w:r>
    <w:r w:rsidR="00B75AF1" w:rsidRPr="007F5382">
      <w:rPr>
        <w:rFonts w:hint="eastAsia"/>
        <w:noProof/>
        <w:sz w:val="21"/>
      </w:rPr>
      <w:object w:dxaOrig="5785" w:dyaOrig="301" w14:anchorId="2C208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9.25pt;height:15.05pt;mso-width-percent:0;mso-height-percent:0;mso-width-percent:0;mso-height-percent:0" fillcolor="window">
          <v:imagedata r:id="rId1" o:title=""/>
        </v:shape>
        <o:OLEObject Type="Embed" ProgID="Unknown" ShapeID="_x0000_i1025" DrawAspect="Content" ObjectID="_1847268442" r:id="rId2">
          <o:FieldCodes>\s</o:FieldCodes>
        </o:OLEObject>
      </w:object>
    </w:r>
    <w:r>
      <w:tab/>
    </w:r>
    <w:r>
      <w:rPr>
        <w:rFonts w:ascii="ＭＳ 明朝"/>
        <w:sz w:val="28"/>
        <w:u w:val="single"/>
      </w:rPr>
      <w:t>No.</w:t>
    </w:r>
    <w:r w:rsidR="004C7FDF" w:rsidRPr="004C7FDF">
      <w:rPr>
        <w:rFonts w:ascii="ＭＳ 明朝"/>
        <w:sz w:val="28"/>
        <w:u w:val="single"/>
      </w:rPr>
      <w:t xml:space="preserve"> </w:t>
    </w:r>
    <w:r w:rsidR="004C7FDF" w:rsidRPr="00FE21CC">
      <w:rPr>
        <w:rFonts w:ascii="ＭＳ 明朝"/>
        <w:sz w:val="28"/>
        <w:u w:val="single"/>
      </w:rPr>
      <w:fldChar w:fldCharType="begin"/>
    </w:r>
    <w:r w:rsidR="004C7FDF" w:rsidRPr="00FE21CC">
      <w:rPr>
        <w:rFonts w:ascii="ＭＳ 明朝" w:hint="eastAsia"/>
        <w:sz w:val="28"/>
        <w:u w:val="single"/>
      </w:rPr>
      <w:instrText xml:space="preserve"> =</w:instrText>
    </w:r>
    <w:r w:rsidR="004C7FDF" w:rsidRPr="00FE21CC">
      <w:rPr>
        <w:rStyle w:val="a6"/>
        <w:u w:val="single"/>
      </w:rPr>
      <w:fldChar w:fldCharType="begin"/>
    </w:r>
    <w:r w:rsidR="004C7FDF" w:rsidRPr="00FE21CC">
      <w:rPr>
        <w:rStyle w:val="a6"/>
        <w:u w:val="single"/>
      </w:rPr>
      <w:instrText xml:space="preserve"> PAGE </w:instrText>
    </w:r>
    <w:r w:rsidR="004C7FDF" w:rsidRPr="00FE21CC">
      <w:rPr>
        <w:rStyle w:val="a6"/>
        <w:u w:val="single"/>
      </w:rPr>
      <w:fldChar w:fldCharType="separate"/>
    </w:r>
    <w:r w:rsidR="00A25B60">
      <w:rPr>
        <w:rStyle w:val="a6"/>
        <w:noProof/>
        <w:u w:val="single"/>
      </w:rPr>
      <w:instrText>1</w:instrText>
    </w:r>
    <w:r w:rsidR="004C7FDF" w:rsidRPr="00FE21CC">
      <w:rPr>
        <w:rStyle w:val="a6"/>
        <w:u w:val="single"/>
      </w:rPr>
      <w:fldChar w:fldCharType="end"/>
    </w:r>
    <w:r w:rsidR="004C7FDF" w:rsidRPr="00FE21CC">
      <w:rPr>
        <w:rStyle w:val="a6"/>
        <w:rFonts w:hint="eastAsia"/>
        <w:u w:val="single"/>
      </w:rPr>
      <w:instrText>+</w:instrText>
    </w:r>
    <w:r w:rsidR="00785C98">
      <w:rPr>
        <w:rStyle w:val="a6"/>
        <w:rFonts w:hint="eastAsia"/>
        <w:u w:val="single"/>
      </w:rPr>
      <w:instrText>0</w:instrText>
    </w:r>
    <w:r w:rsidR="004C7FDF" w:rsidRPr="00FE21CC">
      <w:rPr>
        <w:rFonts w:ascii="ＭＳ 明朝"/>
        <w:sz w:val="28"/>
        <w:u w:val="single"/>
      </w:rPr>
      <w:fldChar w:fldCharType="separate"/>
    </w:r>
    <w:r w:rsidR="00A25B60">
      <w:rPr>
        <w:rFonts w:ascii="ＭＳ 明朝"/>
        <w:noProof/>
        <w:sz w:val="28"/>
        <w:u w:val="single"/>
      </w:rPr>
      <w:t>1</w:t>
    </w:r>
    <w:r w:rsidR="004C7FDF" w:rsidRPr="00FE21CC">
      <w:rPr>
        <w:rFonts w:ascii="ＭＳ 明朝"/>
        <w:sz w:val="28"/>
        <w:u w:val="single"/>
      </w:rPr>
      <w:fldChar w:fldCharType="end"/>
    </w:r>
  </w:p>
  <w:p w14:paraId="1EC71234" w14:textId="77777777" w:rsidR="00DD67F2" w:rsidRDefault="00DD67F2">
    <w:pPr>
      <w:pStyle w:val="a4"/>
      <w:tabs>
        <w:tab w:val="clear" w:pos="4252"/>
        <w:tab w:val="clear" w:pos="8504"/>
      </w:tabs>
      <w:spacing w:line="100" w:lineRule="exact"/>
    </w:pPr>
  </w:p>
  <w:tbl>
    <w:tblPr>
      <w:tblW w:w="0" w:type="auto"/>
      <w:tblInd w:w="1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035"/>
      <w:gridCol w:w="2595"/>
      <w:gridCol w:w="1485"/>
      <w:gridCol w:w="1515"/>
    </w:tblGrid>
    <w:tr w:rsidR="00DD67F2" w14:paraId="49D0B2F0" w14:textId="77777777">
      <w:trPr>
        <w:trHeight w:val="435"/>
      </w:trPr>
      <w:tc>
        <w:tcPr>
          <w:tcW w:w="6630" w:type="dxa"/>
          <w:gridSpan w:val="2"/>
          <w:vAlign w:val="center"/>
        </w:tcPr>
        <w:p w14:paraId="56120538"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TITLE</w:t>
          </w:r>
        </w:p>
        <w:p w14:paraId="0C5F1541" w14:textId="192BD8C5" w:rsidR="00DD67F2" w:rsidRPr="00D16DC8" w:rsidRDefault="00D16DC8">
          <w:pPr>
            <w:pStyle w:val="a4"/>
            <w:tabs>
              <w:tab w:val="clear" w:pos="4252"/>
              <w:tab w:val="clear" w:pos="8504"/>
            </w:tabs>
            <w:spacing w:line="240" w:lineRule="auto"/>
            <w:jc w:val="center"/>
            <w:rPr>
              <w:rFonts w:asciiTheme="minorEastAsia" w:eastAsiaTheme="minorEastAsia" w:hAnsiTheme="minorEastAsia"/>
            </w:rPr>
          </w:pPr>
          <w:r w:rsidRPr="00D16DC8">
            <w:rPr>
              <w:rFonts w:asciiTheme="minorEastAsia" w:eastAsiaTheme="minorEastAsia" w:hAnsiTheme="minorEastAsia" w:hint="eastAsia"/>
            </w:rPr>
            <w:t>ゼ　ミ</w:t>
          </w:r>
        </w:p>
      </w:tc>
      <w:tc>
        <w:tcPr>
          <w:tcW w:w="1485" w:type="dxa"/>
          <w:vAlign w:val="center"/>
        </w:tcPr>
        <w:p w14:paraId="36BF2546"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REPORT No.</w:t>
          </w:r>
        </w:p>
        <w:p w14:paraId="5E05ACEB" w14:textId="31F0307A" w:rsidR="00DD67F2" w:rsidRPr="00B13FA2" w:rsidRDefault="00DD67F2" w:rsidP="008805E3">
          <w:pPr>
            <w:pStyle w:val="a4"/>
            <w:tabs>
              <w:tab w:val="clear" w:pos="4252"/>
              <w:tab w:val="clear" w:pos="8504"/>
            </w:tabs>
            <w:spacing w:line="240" w:lineRule="auto"/>
            <w:jc w:val="center"/>
            <w:rPr>
              <w:rFonts w:ascii="Times New Roman" w:eastAsia="ＭＳ ゴシック" w:hAnsi="Times New Roman"/>
            </w:rPr>
          </w:pPr>
        </w:p>
      </w:tc>
      <w:tc>
        <w:tcPr>
          <w:tcW w:w="1515" w:type="dxa"/>
          <w:vAlign w:val="center"/>
        </w:tcPr>
        <w:p w14:paraId="1AC79FF2"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TOTAL PAGES</w:t>
          </w:r>
        </w:p>
        <w:p w14:paraId="774FC1F4" w14:textId="456AD8DA" w:rsidR="00DD67F2" w:rsidRDefault="00DD67F2">
          <w:pPr>
            <w:pStyle w:val="a4"/>
            <w:tabs>
              <w:tab w:val="clear" w:pos="4252"/>
              <w:tab w:val="clear" w:pos="8504"/>
            </w:tabs>
            <w:spacing w:line="240" w:lineRule="auto"/>
            <w:jc w:val="center"/>
            <w:rPr>
              <w:rFonts w:ascii="ＭＳ ゴシック" w:eastAsia="ＭＳ ゴシック"/>
            </w:rPr>
          </w:pPr>
        </w:p>
      </w:tc>
    </w:tr>
    <w:tr w:rsidR="00DD67F2" w14:paraId="3CF2C70D" w14:textId="77777777">
      <w:trPr>
        <w:trHeight w:val="435"/>
      </w:trPr>
      <w:tc>
        <w:tcPr>
          <w:tcW w:w="4035" w:type="dxa"/>
          <w:vAlign w:val="center"/>
        </w:tcPr>
        <w:p w14:paraId="666D806B"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AUTHOR(S)</w:t>
          </w:r>
        </w:p>
        <w:p w14:paraId="11E483E8" w14:textId="38719828" w:rsidR="00DD67F2" w:rsidRPr="00B13FA2" w:rsidRDefault="00C21166" w:rsidP="002D1171">
          <w:pPr>
            <w:pStyle w:val="a4"/>
            <w:tabs>
              <w:tab w:val="clear" w:pos="4252"/>
              <w:tab w:val="clear" w:pos="8504"/>
            </w:tabs>
            <w:spacing w:line="240" w:lineRule="auto"/>
            <w:jc w:val="center"/>
            <w:rPr>
              <w:rFonts w:ascii="ＭＳ 明朝" w:hAnsi="ＭＳ 明朝"/>
            </w:rPr>
          </w:pPr>
          <w:r>
            <w:rPr>
              <w:rFonts w:ascii="ＭＳ 明朝" w:hAnsi="ＭＳ 明朝" w:hint="eastAsia"/>
            </w:rPr>
            <w:t>八木</w:t>
          </w:r>
          <w:r w:rsidR="00FF3C05">
            <w:rPr>
              <w:rFonts w:ascii="ＭＳ 明朝" w:hAnsi="ＭＳ 明朝"/>
            </w:rPr>
            <w:t xml:space="preserve">　</w:t>
          </w:r>
          <w:r>
            <w:rPr>
              <w:rFonts w:ascii="ＭＳ 明朝" w:hAnsi="ＭＳ 明朝" w:hint="eastAsia"/>
            </w:rPr>
            <w:t>隼平</w:t>
          </w:r>
        </w:p>
      </w:tc>
      <w:tc>
        <w:tcPr>
          <w:tcW w:w="2595" w:type="dxa"/>
          <w:vAlign w:val="center"/>
        </w:tcPr>
        <w:p w14:paraId="06A51880"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POSITION</w:t>
          </w:r>
        </w:p>
        <w:p w14:paraId="06A9A957" w14:textId="37AEF238" w:rsidR="00DD67F2" w:rsidRDefault="00A25B60">
          <w:pPr>
            <w:pStyle w:val="a4"/>
            <w:tabs>
              <w:tab w:val="clear" w:pos="4252"/>
              <w:tab w:val="clear" w:pos="8504"/>
            </w:tabs>
            <w:spacing w:line="240" w:lineRule="auto"/>
            <w:jc w:val="center"/>
            <w:rPr>
              <w:rFonts w:ascii="ＭＳ ゴシック" w:eastAsia="ＭＳ ゴシック"/>
            </w:rPr>
          </w:pPr>
          <w:r>
            <w:rPr>
              <w:rFonts w:hint="eastAsia"/>
              <w:sz w:val="28"/>
            </w:rPr>
            <w:t>M</w:t>
          </w:r>
          <w:r w:rsidR="00DD67F2">
            <w:rPr>
              <w:rFonts w:hint="eastAsia"/>
              <w:sz w:val="28"/>
            </w:rPr>
            <w:t>－</w:t>
          </w:r>
          <w:r>
            <w:rPr>
              <w:rFonts w:hint="eastAsia"/>
              <w:sz w:val="28"/>
            </w:rPr>
            <w:t>2</w:t>
          </w:r>
        </w:p>
      </w:tc>
      <w:tc>
        <w:tcPr>
          <w:tcW w:w="3000" w:type="dxa"/>
          <w:gridSpan w:val="2"/>
          <w:vAlign w:val="center"/>
        </w:tcPr>
        <w:p w14:paraId="35D222FB"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DATE</w:t>
          </w:r>
        </w:p>
        <w:p w14:paraId="5994CFBF" w14:textId="2D06E678" w:rsidR="009E3D47" w:rsidRPr="009E3D47" w:rsidRDefault="009E3D47" w:rsidP="00D2771D">
          <w:pPr>
            <w:pStyle w:val="a4"/>
            <w:tabs>
              <w:tab w:val="clear" w:pos="4252"/>
              <w:tab w:val="clear" w:pos="8504"/>
            </w:tabs>
            <w:spacing w:line="240" w:lineRule="auto"/>
            <w:jc w:val="center"/>
            <w:rPr>
              <w:rFonts w:ascii="Times New Roman" w:eastAsia="ＭＳ ゴシック" w:hAnsi="Times New Roman"/>
              <w:szCs w:val="21"/>
            </w:rPr>
          </w:pPr>
        </w:p>
      </w:tc>
    </w:tr>
  </w:tbl>
  <w:p w14:paraId="48CB1071" w14:textId="77777777" w:rsidR="00DD67F2" w:rsidRDefault="00DD67F2">
    <w:pPr>
      <w:pStyle w:val="a4"/>
      <w:tabs>
        <w:tab w:val="clear" w:pos="4252"/>
        <w:tab w:val="clear" w:pos="8504"/>
      </w:tabs>
      <w:spacing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2488C2"/>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9EC636E"/>
    <w:multiLevelType w:val="hybridMultilevel"/>
    <w:tmpl w:val="FA1CB052"/>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CD7158"/>
    <w:multiLevelType w:val="multilevel"/>
    <w:tmpl w:val="077A3194"/>
    <w:styleLink w:val="1"/>
    <w:lvl w:ilvl="0">
      <w:start w:val="1"/>
      <w:numFmt w:val="decimal"/>
      <w:lvlText w:val="2.%1."/>
      <w:lvlJc w:val="left"/>
      <w:pPr>
        <w:ind w:left="420" w:hanging="420"/>
      </w:pPr>
      <w:rPr>
        <w:rFonts w:hint="eastAsia"/>
        <w:b/>
        <w:i w:val="0"/>
        <w:u w:val="none"/>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 w15:restartNumberingAfterBreak="0">
    <w:nsid w:val="0C611E31"/>
    <w:multiLevelType w:val="hybridMultilevel"/>
    <w:tmpl w:val="78861AE8"/>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677EDD"/>
    <w:multiLevelType w:val="hybridMultilevel"/>
    <w:tmpl w:val="5384518C"/>
    <w:lvl w:ilvl="0" w:tplc="9432C048">
      <w:start w:val="1"/>
      <w:numFmt w:val="decimal"/>
      <w:lvlText w:val="2.%1."/>
      <w:lvlJc w:val="left"/>
      <w:pPr>
        <w:ind w:left="440" w:hanging="440"/>
      </w:pPr>
      <w:rPr>
        <w:rFonts w:hint="eastAsia"/>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2B024DE"/>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2BD1E32"/>
    <w:multiLevelType w:val="hybridMultilevel"/>
    <w:tmpl w:val="6FCA1FFA"/>
    <w:lvl w:ilvl="0" w:tplc="FCCE32A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CE0AB8"/>
    <w:multiLevelType w:val="hybridMultilevel"/>
    <w:tmpl w:val="C9E2598C"/>
    <w:lvl w:ilvl="0" w:tplc="6D7494CA">
      <w:numFmt w:val="decimal"/>
      <w:lvlText w:val=""/>
      <w:lvlJc w:val="left"/>
      <w:pPr>
        <w:tabs>
          <w:tab w:val="num" w:pos="1920"/>
        </w:tabs>
      </w:pPr>
      <w:rPr>
        <w:rFonts w:hint="default"/>
      </w:rPr>
    </w:lvl>
    <w:lvl w:ilvl="1" w:tplc="04090017" w:tentative="1">
      <w:start w:val="1"/>
      <w:numFmt w:val="aiueoFullWidth"/>
      <w:lvlText w:val="(%2)"/>
      <w:lvlJc w:val="left"/>
      <w:pPr>
        <w:tabs>
          <w:tab w:val="num" w:pos="2400"/>
        </w:tabs>
        <w:ind w:left="2400" w:hanging="420"/>
      </w:pPr>
    </w:lvl>
    <w:lvl w:ilvl="2" w:tplc="04090011" w:tentative="1">
      <w:start w:val="1"/>
      <w:numFmt w:val="decimalEnclosedCircle"/>
      <w:lvlText w:val="%3"/>
      <w:lvlJc w:val="left"/>
      <w:pPr>
        <w:tabs>
          <w:tab w:val="num" w:pos="2820"/>
        </w:tabs>
        <w:ind w:left="2820" w:hanging="420"/>
      </w:pPr>
    </w:lvl>
    <w:lvl w:ilvl="3" w:tplc="0409000F" w:tentative="1">
      <w:start w:val="1"/>
      <w:numFmt w:val="decimal"/>
      <w:lvlText w:val="%4."/>
      <w:lvlJc w:val="left"/>
      <w:pPr>
        <w:tabs>
          <w:tab w:val="num" w:pos="3240"/>
        </w:tabs>
        <w:ind w:left="3240" w:hanging="420"/>
      </w:pPr>
    </w:lvl>
    <w:lvl w:ilvl="4" w:tplc="04090017" w:tentative="1">
      <w:start w:val="1"/>
      <w:numFmt w:val="aiueoFullWidth"/>
      <w:lvlText w:val="(%5)"/>
      <w:lvlJc w:val="left"/>
      <w:pPr>
        <w:tabs>
          <w:tab w:val="num" w:pos="3660"/>
        </w:tabs>
        <w:ind w:left="3660" w:hanging="420"/>
      </w:pPr>
    </w:lvl>
    <w:lvl w:ilvl="5" w:tplc="04090011" w:tentative="1">
      <w:start w:val="1"/>
      <w:numFmt w:val="decimalEnclosedCircle"/>
      <w:lvlText w:val="%6"/>
      <w:lvlJc w:val="left"/>
      <w:pPr>
        <w:tabs>
          <w:tab w:val="num" w:pos="4080"/>
        </w:tabs>
        <w:ind w:left="4080" w:hanging="420"/>
      </w:pPr>
    </w:lvl>
    <w:lvl w:ilvl="6" w:tplc="0409000F" w:tentative="1">
      <w:start w:val="1"/>
      <w:numFmt w:val="decimal"/>
      <w:lvlText w:val="%7."/>
      <w:lvlJc w:val="left"/>
      <w:pPr>
        <w:tabs>
          <w:tab w:val="num" w:pos="4500"/>
        </w:tabs>
        <w:ind w:left="4500" w:hanging="420"/>
      </w:pPr>
    </w:lvl>
    <w:lvl w:ilvl="7" w:tplc="04090017" w:tentative="1">
      <w:start w:val="1"/>
      <w:numFmt w:val="aiueoFullWidth"/>
      <w:lvlText w:val="(%8)"/>
      <w:lvlJc w:val="left"/>
      <w:pPr>
        <w:tabs>
          <w:tab w:val="num" w:pos="4920"/>
        </w:tabs>
        <w:ind w:left="4920" w:hanging="420"/>
      </w:pPr>
    </w:lvl>
    <w:lvl w:ilvl="8" w:tplc="04090011" w:tentative="1">
      <w:start w:val="1"/>
      <w:numFmt w:val="decimalEnclosedCircle"/>
      <w:lvlText w:val="%9"/>
      <w:lvlJc w:val="left"/>
      <w:pPr>
        <w:tabs>
          <w:tab w:val="num" w:pos="5340"/>
        </w:tabs>
        <w:ind w:left="5340" w:hanging="420"/>
      </w:pPr>
    </w:lvl>
  </w:abstractNum>
  <w:abstractNum w:abstractNumId="8" w15:restartNumberingAfterBreak="0">
    <w:nsid w:val="172520A0"/>
    <w:multiLevelType w:val="hybridMultilevel"/>
    <w:tmpl w:val="85CA09BA"/>
    <w:lvl w:ilvl="0" w:tplc="1E7A760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9521EDB"/>
    <w:multiLevelType w:val="hybridMultilevel"/>
    <w:tmpl w:val="037628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C120DE1"/>
    <w:multiLevelType w:val="hybridMultilevel"/>
    <w:tmpl w:val="4C8017F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5F67915"/>
    <w:multiLevelType w:val="hybridMultilevel"/>
    <w:tmpl w:val="96B2A96C"/>
    <w:lvl w:ilvl="0" w:tplc="E5544FF4">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2BF05F1C"/>
    <w:multiLevelType w:val="multilevel"/>
    <w:tmpl w:val="F6E6756C"/>
    <w:lvl w:ilvl="0">
      <w:start w:val="2"/>
      <w:numFmt w:val="decimalFullWidth"/>
      <w:lvlText w:val="%1"/>
      <w:lvlJc w:val="left"/>
      <w:pPr>
        <w:tabs>
          <w:tab w:val="num" w:pos="855"/>
        </w:tabs>
        <w:ind w:left="855" w:hanging="855"/>
      </w:pPr>
      <w:rPr>
        <w:rFonts w:hint="default"/>
      </w:rPr>
    </w:lvl>
    <w:lvl w:ilvl="1">
      <w:start w:val="3"/>
      <w:numFmt w:val="decimalFullWidth"/>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C76748C"/>
    <w:multiLevelType w:val="hybridMultilevel"/>
    <w:tmpl w:val="379854A0"/>
    <w:lvl w:ilvl="0" w:tplc="03C84AA2">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pacing w:val="0"/>
        <w:sz w:val="21"/>
        <w:szCs w:val="21"/>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14" w15:restartNumberingAfterBreak="0">
    <w:nsid w:val="31095A82"/>
    <w:multiLevelType w:val="hybridMultilevel"/>
    <w:tmpl w:val="79B22E5A"/>
    <w:lvl w:ilvl="0" w:tplc="147AEE66">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1E01E7D"/>
    <w:multiLevelType w:val="multilevel"/>
    <w:tmpl w:val="3A6A81DC"/>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43C135A"/>
    <w:multiLevelType w:val="hybridMultilevel"/>
    <w:tmpl w:val="C4604D0A"/>
    <w:lvl w:ilvl="0" w:tplc="C2C80908">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6BF6A50"/>
    <w:multiLevelType w:val="hybridMultilevel"/>
    <w:tmpl w:val="A3FA22C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E8421DD"/>
    <w:multiLevelType w:val="hybridMultilevel"/>
    <w:tmpl w:val="12162FE2"/>
    <w:lvl w:ilvl="0" w:tplc="2DF8E6E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436D6549"/>
    <w:multiLevelType w:val="hybridMultilevel"/>
    <w:tmpl w:val="012C33A8"/>
    <w:lvl w:ilvl="0" w:tplc="AFD03B22">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43EC07B9"/>
    <w:multiLevelType w:val="hybridMultilevel"/>
    <w:tmpl w:val="3708880A"/>
    <w:lvl w:ilvl="0" w:tplc="A2760D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47677645"/>
    <w:multiLevelType w:val="hybridMultilevel"/>
    <w:tmpl w:val="8B2C8268"/>
    <w:lvl w:ilvl="0" w:tplc="467C758E">
      <w:start w:val="1"/>
      <w:numFmt w:val="decimal"/>
      <w:lvlText w:val="(%1)"/>
      <w:lvlJc w:val="left"/>
      <w:pPr>
        <w:ind w:left="440" w:hanging="440"/>
      </w:pPr>
      <w:rPr>
        <w:rFonts w:hint="eastAsia"/>
      </w:rPr>
    </w:lvl>
    <w:lvl w:ilvl="1" w:tplc="3ED01A9C">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C92457A"/>
    <w:multiLevelType w:val="hybridMultilevel"/>
    <w:tmpl w:val="B81459F2"/>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53815273"/>
    <w:multiLevelType w:val="hybridMultilevel"/>
    <w:tmpl w:val="9B3E48AC"/>
    <w:lvl w:ilvl="0" w:tplc="275C57DA">
      <w:start w:val="1"/>
      <w:numFmt w:val="decimal"/>
      <w:lvlText w:val="2.1.%1."/>
      <w:lvlJc w:val="left"/>
      <w:pPr>
        <w:ind w:left="420" w:hanging="420"/>
      </w:pPr>
      <w:rPr>
        <w:rFonts w:hint="eastAsia"/>
        <w:b/>
        <w:i w:val="0"/>
        <w:u w:val="none"/>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4" w15:restartNumberingAfterBreak="0">
    <w:nsid w:val="55C65081"/>
    <w:multiLevelType w:val="hybridMultilevel"/>
    <w:tmpl w:val="C4604D0A"/>
    <w:lvl w:ilvl="0" w:tplc="FFFFFFFF">
      <w:start w:val="2"/>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5" w15:restartNumberingAfterBreak="0">
    <w:nsid w:val="598505C2"/>
    <w:multiLevelType w:val="multilevel"/>
    <w:tmpl w:val="6BE8336E"/>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5B3719BA"/>
    <w:multiLevelType w:val="hybridMultilevel"/>
    <w:tmpl w:val="7488E2DC"/>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D8C0B44"/>
    <w:multiLevelType w:val="hybridMultilevel"/>
    <w:tmpl w:val="B81459F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5F5F06B9"/>
    <w:multiLevelType w:val="hybridMultilevel"/>
    <w:tmpl w:val="8272CE2E"/>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6281488D"/>
    <w:multiLevelType w:val="hybridMultilevel"/>
    <w:tmpl w:val="084212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62CA223D"/>
    <w:multiLevelType w:val="hybridMultilevel"/>
    <w:tmpl w:val="077A3194"/>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4B36B93"/>
    <w:multiLevelType w:val="hybridMultilevel"/>
    <w:tmpl w:val="803C0416"/>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8822043"/>
    <w:multiLevelType w:val="hybridMultilevel"/>
    <w:tmpl w:val="E3DAD9E0"/>
    <w:lvl w:ilvl="0" w:tplc="C9E8787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69646006"/>
    <w:multiLevelType w:val="hybridMultilevel"/>
    <w:tmpl w:val="FFECC8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A1448BD"/>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7D1D06E1"/>
    <w:multiLevelType w:val="hybridMultilevel"/>
    <w:tmpl w:val="D3CA7B7E"/>
    <w:lvl w:ilvl="0" w:tplc="E654B57E">
      <w:start w:val="1"/>
      <w:numFmt w:val="decimal"/>
      <w:lvlText w:val="2.%1."/>
      <w:lvlJc w:val="left"/>
      <w:pPr>
        <w:ind w:left="840" w:hanging="420"/>
      </w:pPr>
      <w:rPr>
        <w:rFonts w:hint="eastAsia"/>
        <w:b/>
        <w:i w:val="0"/>
        <w:u w:val="none"/>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7E6B29FE"/>
    <w:multiLevelType w:val="hybridMultilevel"/>
    <w:tmpl w:val="E558E07E"/>
    <w:lvl w:ilvl="0" w:tplc="5BB22E06">
      <w:start w:val="1"/>
      <w:numFmt w:val="decimalFullWidth"/>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585257544">
    <w:abstractNumId w:val="32"/>
  </w:num>
  <w:num w:numId="2" w16cid:durableId="135609027">
    <w:abstractNumId w:val="8"/>
  </w:num>
  <w:num w:numId="3" w16cid:durableId="1323390522">
    <w:abstractNumId w:val="19"/>
  </w:num>
  <w:num w:numId="4" w16cid:durableId="1145198763">
    <w:abstractNumId w:val="14"/>
  </w:num>
  <w:num w:numId="5" w16cid:durableId="1711611741">
    <w:abstractNumId w:val="20"/>
  </w:num>
  <w:num w:numId="6" w16cid:durableId="1978560216">
    <w:abstractNumId w:val="11"/>
  </w:num>
  <w:num w:numId="7" w16cid:durableId="269316753">
    <w:abstractNumId w:val="7"/>
  </w:num>
  <w:num w:numId="8" w16cid:durableId="2063558996">
    <w:abstractNumId w:val="12"/>
  </w:num>
  <w:num w:numId="9" w16cid:durableId="1381049826">
    <w:abstractNumId w:val="13"/>
  </w:num>
  <w:num w:numId="10" w16cid:durableId="704797508">
    <w:abstractNumId w:val="13"/>
    <w:lvlOverride w:ilvl="0">
      <w:startOverride w:val="1"/>
    </w:lvlOverride>
  </w:num>
  <w:num w:numId="11" w16cid:durableId="60908490">
    <w:abstractNumId w:val="36"/>
  </w:num>
  <w:num w:numId="12" w16cid:durableId="2049602409">
    <w:abstractNumId w:val="18"/>
  </w:num>
  <w:num w:numId="13" w16cid:durableId="1974752262">
    <w:abstractNumId w:val="15"/>
  </w:num>
  <w:num w:numId="14" w16cid:durableId="136846622">
    <w:abstractNumId w:val="34"/>
  </w:num>
  <w:num w:numId="15" w16cid:durableId="737215546">
    <w:abstractNumId w:val="29"/>
  </w:num>
  <w:num w:numId="16" w16cid:durableId="1273324214">
    <w:abstractNumId w:val="9"/>
  </w:num>
  <w:num w:numId="17" w16cid:durableId="2052261185">
    <w:abstractNumId w:val="17"/>
  </w:num>
  <w:num w:numId="18" w16cid:durableId="423307188">
    <w:abstractNumId w:val="33"/>
  </w:num>
  <w:num w:numId="19" w16cid:durableId="679158229">
    <w:abstractNumId w:val="30"/>
  </w:num>
  <w:num w:numId="20" w16cid:durableId="1771508420">
    <w:abstractNumId w:val="2"/>
  </w:num>
  <w:num w:numId="21" w16cid:durableId="486551222">
    <w:abstractNumId w:val="23"/>
  </w:num>
  <w:num w:numId="22" w16cid:durableId="667443619">
    <w:abstractNumId w:val="0"/>
  </w:num>
  <w:num w:numId="23" w16cid:durableId="790055715">
    <w:abstractNumId w:val="16"/>
  </w:num>
  <w:num w:numId="24" w16cid:durableId="1372267002">
    <w:abstractNumId w:val="24"/>
  </w:num>
  <w:num w:numId="25" w16cid:durableId="1808156374">
    <w:abstractNumId w:val="35"/>
  </w:num>
  <w:num w:numId="26" w16cid:durableId="1230843739">
    <w:abstractNumId w:val="1"/>
  </w:num>
  <w:num w:numId="27" w16cid:durableId="205063770">
    <w:abstractNumId w:val="26"/>
  </w:num>
  <w:num w:numId="28" w16cid:durableId="568923572">
    <w:abstractNumId w:val="3"/>
  </w:num>
  <w:num w:numId="29" w16cid:durableId="613437372">
    <w:abstractNumId w:val="6"/>
  </w:num>
  <w:num w:numId="30" w16cid:durableId="822817018">
    <w:abstractNumId w:val="31"/>
  </w:num>
  <w:num w:numId="31" w16cid:durableId="1996182391">
    <w:abstractNumId w:val="28"/>
  </w:num>
  <w:num w:numId="32" w16cid:durableId="96993918">
    <w:abstractNumId w:val="27"/>
  </w:num>
  <w:num w:numId="33" w16cid:durableId="731386148">
    <w:abstractNumId w:val="22"/>
  </w:num>
  <w:num w:numId="34" w16cid:durableId="157616392">
    <w:abstractNumId w:val="5"/>
  </w:num>
  <w:num w:numId="35" w16cid:durableId="1273511049">
    <w:abstractNumId w:val="4"/>
  </w:num>
  <w:num w:numId="36" w16cid:durableId="260727331">
    <w:abstractNumId w:val="10"/>
  </w:num>
  <w:num w:numId="37" w16cid:durableId="88082443">
    <w:abstractNumId w:val="25"/>
  </w:num>
  <w:num w:numId="38" w16cid:durableId="17059050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40"/>
  <w:doNotHyphenateCaps/>
  <w:drawingGridHorizontalSpacing w:val="170"/>
  <w:drawingGridVerticalSpacing w:val="170"/>
  <w:characterSpacingControl w:val="compressPunctuation"/>
  <w:noLineBreaksAfter w:lang="ja-JP" w:val="$([\{‘“〈《「『【〔＄（［｛｢￡￥"/>
  <w:noLineBreaksBefore w:lang="ja-JP" w:val="!%),.:;?]}°’”‰′″℃、。々〉》」』】〕゛゜ゝゞ・ヽヾ！％），．：；？］｝｡｣､･ﾞﾟ￠"/>
  <w:hdrShapeDefaults>
    <o:shapedefaults v:ext="edit" spidmax="2050" fillcolor="white">
      <v:fill color="white"/>
      <v:textbox inset="0,0,0,0"/>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260AB8"/>
    <w:rsid w:val="0000309F"/>
    <w:rsid w:val="000074BB"/>
    <w:rsid w:val="000107BA"/>
    <w:rsid w:val="000143E6"/>
    <w:rsid w:val="000153DA"/>
    <w:rsid w:val="00016B1D"/>
    <w:rsid w:val="0001755A"/>
    <w:rsid w:val="00020913"/>
    <w:rsid w:val="00020DE2"/>
    <w:rsid w:val="000228F0"/>
    <w:rsid w:val="00022B50"/>
    <w:rsid w:val="0002661E"/>
    <w:rsid w:val="00027203"/>
    <w:rsid w:val="00027618"/>
    <w:rsid w:val="00027755"/>
    <w:rsid w:val="00027873"/>
    <w:rsid w:val="0003052C"/>
    <w:rsid w:val="00030E18"/>
    <w:rsid w:val="0003242F"/>
    <w:rsid w:val="00032634"/>
    <w:rsid w:val="00033450"/>
    <w:rsid w:val="0003460B"/>
    <w:rsid w:val="000354D1"/>
    <w:rsid w:val="00037CDD"/>
    <w:rsid w:val="000414D7"/>
    <w:rsid w:val="00041DF2"/>
    <w:rsid w:val="00043837"/>
    <w:rsid w:val="00050420"/>
    <w:rsid w:val="00050F3B"/>
    <w:rsid w:val="00052C6C"/>
    <w:rsid w:val="00054ABC"/>
    <w:rsid w:val="0005577F"/>
    <w:rsid w:val="00056B9B"/>
    <w:rsid w:val="00056CC8"/>
    <w:rsid w:val="00057B78"/>
    <w:rsid w:val="00060AA8"/>
    <w:rsid w:val="000624BD"/>
    <w:rsid w:val="000659D5"/>
    <w:rsid w:val="000660B0"/>
    <w:rsid w:val="000668DB"/>
    <w:rsid w:val="00066EFD"/>
    <w:rsid w:val="00066F4B"/>
    <w:rsid w:val="000671F1"/>
    <w:rsid w:val="00070596"/>
    <w:rsid w:val="00070FCF"/>
    <w:rsid w:val="00071048"/>
    <w:rsid w:val="00072DF1"/>
    <w:rsid w:val="000735B0"/>
    <w:rsid w:val="0007419A"/>
    <w:rsid w:val="0007607C"/>
    <w:rsid w:val="00082E51"/>
    <w:rsid w:val="00085661"/>
    <w:rsid w:val="00085881"/>
    <w:rsid w:val="00085F32"/>
    <w:rsid w:val="000861D6"/>
    <w:rsid w:val="00090E46"/>
    <w:rsid w:val="00092CD5"/>
    <w:rsid w:val="0009374C"/>
    <w:rsid w:val="00093ADC"/>
    <w:rsid w:val="00094F70"/>
    <w:rsid w:val="00095E08"/>
    <w:rsid w:val="00097CAB"/>
    <w:rsid w:val="000A04B0"/>
    <w:rsid w:val="000A0BF4"/>
    <w:rsid w:val="000A0BFF"/>
    <w:rsid w:val="000A1737"/>
    <w:rsid w:val="000A2D9C"/>
    <w:rsid w:val="000A2F9B"/>
    <w:rsid w:val="000A3EFE"/>
    <w:rsid w:val="000A4ECA"/>
    <w:rsid w:val="000A5BB7"/>
    <w:rsid w:val="000A5F4E"/>
    <w:rsid w:val="000A60B0"/>
    <w:rsid w:val="000A6680"/>
    <w:rsid w:val="000A70B8"/>
    <w:rsid w:val="000A77B7"/>
    <w:rsid w:val="000B2361"/>
    <w:rsid w:val="000B2978"/>
    <w:rsid w:val="000B39E0"/>
    <w:rsid w:val="000B3D09"/>
    <w:rsid w:val="000B3E56"/>
    <w:rsid w:val="000B5F83"/>
    <w:rsid w:val="000C0575"/>
    <w:rsid w:val="000C0BCE"/>
    <w:rsid w:val="000C1844"/>
    <w:rsid w:val="000C242F"/>
    <w:rsid w:val="000C582C"/>
    <w:rsid w:val="000C7630"/>
    <w:rsid w:val="000D00C2"/>
    <w:rsid w:val="000D0BE0"/>
    <w:rsid w:val="000D1F75"/>
    <w:rsid w:val="000D2097"/>
    <w:rsid w:val="000D245B"/>
    <w:rsid w:val="000D3E9B"/>
    <w:rsid w:val="000D4F06"/>
    <w:rsid w:val="000D5115"/>
    <w:rsid w:val="000D5A44"/>
    <w:rsid w:val="000D69A6"/>
    <w:rsid w:val="000D6B60"/>
    <w:rsid w:val="000D7A97"/>
    <w:rsid w:val="000E0C78"/>
    <w:rsid w:val="000E1AD2"/>
    <w:rsid w:val="000E209F"/>
    <w:rsid w:val="000E3D73"/>
    <w:rsid w:val="000E475B"/>
    <w:rsid w:val="000F07A9"/>
    <w:rsid w:val="000F417D"/>
    <w:rsid w:val="000F4B28"/>
    <w:rsid w:val="000F4CA6"/>
    <w:rsid w:val="000F4D6F"/>
    <w:rsid w:val="000F75DE"/>
    <w:rsid w:val="001007E2"/>
    <w:rsid w:val="0010212B"/>
    <w:rsid w:val="0010233D"/>
    <w:rsid w:val="001032F5"/>
    <w:rsid w:val="00104D48"/>
    <w:rsid w:val="00105C67"/>
    <w:rsid w:val="00106F95"/>
    <w:rsid w:val="00111823"/>
    <w:rsid w:val="00112749"/>
    <w:rsid w:val="00112CF1"/>
    <w:rsid w:val="00112D04"/>
    <w:rsid w:val="00112FD1"/>
    <w:rsid w:val="001130D9"/>
    <w:rsid w:val="00116E67"/>
    <w:rsid w:val="001201F0"/>
    <w:rsid w:val="00120917"/>
    <w:rsid w:val="00120FFC"/>
    <w:rsid w:val="001218E5"/>
    <w:rsid w:val="00121C96"/>
    <w:rsid w:val="00121EF1"/>
    <w:rsid w:val="001228A2"/>
    <w:rsid w:val="001235AB"/>
    <w:rsid w:val="00124581"/>
    <w:rsid w:val="00124A4A"/>
    <w:rsid w:val="00125A4A"/>
    <w:rsid w:val="00126282"/>
    <w:rsid w:val="00127B33"/>
    <w:rsid w:val="001318DC"/>
    <w:rsid w:val="00132780"/>
    <w:rsid w:val="001328C2"/>
    <w:rsid w:val="00133631"/>
    <w:rsid w:val="001346C0"/>
    <w:rsid w:val="00134AD2"/>
    <w:rsid w:val="00136EF9"/>
    <w:rsid w:val="00136F6A"/>
    <w:rsid w:val="00137262"/>
    <w:rsid w:val="00137AAB"/>
    <w:rsid w:val="00137EED"/>
    <w:rsid w:val="00143E7B"/>
    <w:rsid w:val="00144910"/>
    <w:rsid w:val="001455EC"/>
    <w:rsid w:val="001458BC"/>
    <w:rsid w:val="001465D9"/>
    <w:rsid w:val="00150B18"/>
    <w:rsid w:val="0015156F"/>
    <w:rsid w:val="00156716"/>
    <w:rsid w:val="00157620"/>
    <w:rsid w:val="00157651"/>
    <w:rsid w:val="00161167"/>
    <w:rsid w:val="00161612"/>
    <w:rsid w:val="001618D4"/>
    <w:rsid w:val="00163520"/>
    <w:rsid w:val="001641A7"/>
    <w:rsid w:val="00164BDD"/>
    <w:rsid w:val="001651B1"/>
    <w:rsid w:val="00166CFF"/>
    <w:rsid w:val="00167500"/>
    <w:rsid w:val="001678AC"/>
    <w:rsid w:val="001679B3"/>
    <w:rsid w:val="001722B1"/>
    <w:rsid w:val="00173AD8"/>
    <w:rsid w:val="00173ADF"/>
    <w:rsid w:val="00176A61"/>
    <w:rsid w:val="001824BC"/>
    <w:rsid w:val="00182B3C"/>
    <w:rsid w:val="00185331"/>
    <w:rsid w:val="001859EE"/>
    <w:rsid w:val="00186080"/>
    <w:rsid w:val="0018747B"/>
    <w:rsid w:val="00187830"/>
    <w:rsid w:val="001905B1"/>
    <w:rsid w:val="00190B56"/>
    <w:rsid w:val="001914E9"/>
    <w:rsid w:val="00191A31"/>
    <w:rsid w:val="001A0D08"/>
    <w:rsid w:val="001A160D"/>
    <w:rsid w:val="001A2867"/>
    <w:rsid w:val="001A4A0D"/>
    <w:rsid w:val="001A52B9"/>
    <w:rsid w:val="001A5A83"/>
    <w:rsid w:val="001A5D17"/>
    <w:rsid w:val="001A740F"/>
    <w:rsid w:val="001B0625"/>
    <w:rsid w:val="001B1020"/>
    <w:rsid w:val="001B12F2"/>
    <w:rsid w:val="001B2CA7"/>
    <w:rsid w:val="001B32A9"/>
    <w:rsid w:val="001C0B4C"/>
    <w:rsid w:val="001C253E"/>
    <w:rsid w:val="001C5EF3"/>
    <w:rsid w:val="001C7B78"/>
    <w:rsid w:val="001D01B8"/>
    <w:rsid w:val="001D0428"/>
    <w:rsid w:val="001D3563"/>
    <w:rsid w:val="001D5E48"/>
    <w:rsid w:val="001D65DE"/>
    <w:rsid w:val="001E1406"/>
    <w:rsid w:val="001E16A0"/>
    <w:rsid w:val="001E30CC"/>
    <w:rsid w:val="001E3EF7"/>
    <w:rsid w:val="001E4B72"/>
    <w:rsid w:val="001E4FA5"/>
    <w:rsid w:val="001E7B58"/>
    <w:rsid w:val="001F0D8C"/>
    <w:rsid w:val="001F32CF"/>
    <w:rsid w:val="001F446D"/>
    <w:rsid w:val="001F62A7"/>
    <w:rsid w:val="001F66EA"/>
    <w:rsid w:val="001F7113"/>
    <w:rsid w:val="001F7249"/>
    <w:rsid w:val="001F7402"/>
    <w:rsid w:val="001F7BE1"/>
    <w:rsid w:val="00200114"/>
    <w:rsid w:val="00201C55"/>
    <w:rsid w:val="00204C2E"/>
    <w:rsid w:val="00204C33"/>
    <w:rsid w:val="0020582F"/>
    <w:rsid w:val="0020605F"/>
    <w:rsid w:val="00206212"/>
    <w:rsid w:val="00207277"/>
    <w:rsid w:val="00211962"/>
    <w:rsid w:val="00211A6F"/>
    <w:rsid w:val="00215422"/>
    <w:rsid w:val="00216566"/>
    <w:rsid w:val="00220E79"/>
    <w:rsid w:val="00222DC6"/>
    <w:rsid w:val="00230086"/>
    <w:rsid w:val="002301F4"/>
    <w:rsid w:val="00230E8E"/>
    <w:rsid w:val="0023155E"/>
    <w:rsid w:val="00236111"/>
    <w:rsid w:val="002405E9"/>
    <w:rsid w:val="00240BB2"/>
    <w:rsid w:val="0024133F"/>
    <w:rsid w:val="002415B8"/>
    <w:rsid w:val="00241A69"/>
    <w:rsid w:val="00243191"/>
    <w:rsid w:val="00243838"/>
    <w:rsid w:val="00244F78"/>
    <w:rsid w:val="0024577F"/>
    <w:rsid w:val="00245887"/>
    <w:rsid w:val="00247352"/>
    <w:rsid w:val="00250976"/>
    <w:rsid w:val="00250A69"/>
    <w:rsid w:val="0025414E"/>
    <w:rsid w:val="00255B14"/>
    <w:rsid w:val="00257192"/>
    <w:rsid w:val="00260075"/>
    <w:rsid w:val="00260592"/>
    <w:rsid w:val="00260AB8"/>
    <w:rsid w:val="00260BCE"/>
    <w:rsid w:val="00260D5B"/>
    <w:rsid w:val="00260F9C"/>
    <w:rsid w:val="0027037F"/>
    <w:rsid w:val="0027091D"/>
    <w:rsid w:val="00270E11"/>
    <w:rsid w:val="00271A03"/>
    <w:rsid w:val="0027249B"/>
    <w:rsid w:val="00272B99"/>
    <w:rsid w:val="002737E1"/>
    <w:rsid w:val="002740C8"/>
    <w:rsid w:val="002746AB"/>
    <w:rsid w:val="00276575"/>
    <w:rsid w:val="00277357"/>
    <w:rsid w:val="00281A14"/>
    <w:rsid w:val="0028255B"/>
    <w:rsid w:val="00282D68"/>
    <w:rsid w:val="002833A9"/>
    <w:rsid w:val="002833C0"/>
    <w:rsid w:val="00283829"/>
    <w:rsid w:val="00286DEB"/>
    <w:rsid w:val="00290FF0"/>
    <w:rsid w:val="00292352"/>
    <w:rsid w:val="002938B2"/>
    <w:rsid w:val="00297F0F"/>
    <w:rsid w:val="002A0A5B"/>
    <w:rsid w:val="002A0E71"/>
    <w:rsid w:val="002A2521"/>
    <w:rsid w:val="002A4C18"/>
    <w:rsid w:val="002B1D6F"/>
    <w:rsid w:val="002B2094"/>
    <w:rsid w:val="002B2B9C"/>
    <w:rsid w:val="002B3573"/>
    <w:rsid w:val="002B413D"/>
    <w:rsid w:val="002B63FB"/>
    <w:rsid w:val="002B6F4E"/>
    <w:rsid w:val="002C2BB8"/>
    <w:rsid w:val="002C3CF0"/>
    <w:rsid w:val="002C3E50"/>
    <w:rsid w:val="002C4B29"/>
    <w:rsid w:val="002C5522"/>
    <w:rsid w:val="002C5AB1"/>
    <w:rsid w:val="002C641E"/>
    <w:rsid w:val="002C7F9E"/>
    <w:rsid w:val="002D1171"/>
    <w:rsid w:val="002D2DA4"/>
    <w:rsid w:val="002D32CB"/>
    <w:rsid w:val="002D37AB"/>
    <w:rsid w:val="002D5E43"/>
    <w:rsid w:val="002D6E62"/>
    <w:rsid w:val="002D7B5B"/>
    <w:rsid w:val="002E0459"/>
    <w:rsid w:val="002E3CBE"/>
    <w:rsid w:val="002E4CDA"/>
    <w:rsid w:val="002E5407"/>
    <w:rsid w:val="002E6951"/>
    <w:rsid w:val="002F16A7"/>
    <w:rsid w:val="002F22A1"/>
    <w:rsid w:val="002F249F"/>
    <w:rsid w:val="00300D90"/>
    <w:rsid w:val="003023E9"/>
    <w:rsid w:val="00303AA1"/>
    <w:rsid w:val="00303AC9"/>
    <w:rsid w:val="003045DF"/>
    <w:rsid w:val="00304704"/>
    <w:rsid w:val="00312115"/>
    <w:rsid w:val="00314BEF"/>
    <w:rsid w:val="0031740D"/>
    <w:rsid w:val="00324AB0"/>
    <w:rsid w:val="003258FA"/>
    <w:rsid w:val="00325C13"/>
    <w:rsid w:val="0032777D"/>
    <w:rsid w:val="00327796"/>
    <w:rsid w:val="00330882"/>
    <w:rsid w:val="00332BCB"/>
    <w:rsid w:val="00333D14"/>
    <w:rsid w:val="00336F77"/>
    <w:rsid w:val="00337ED5"/>
    <w:rsid w:val="0034184F"/>
    <w:rsid w:val="00342153"/>
    <w:rsid w:val="00344941"/>
    <w:rsid w:val="00344A61"/>
    <w:rsid w:val="00344A65"/>
    <w:rsid w:val="003451B6"/>
    <w:rsid w:val="003462A4"/>
    <w:rsid w:val="0034661B"/>
    <w:rsid w:val="00350669"/>
    <w:rsid w:val="003506FB"/>
    <w:rsid w:val="00350815"/>
    <w:rsid w:val="003525E2"/>
    <w:rsid w:val="0035330A"/>
    <w:rsid w:val="00354DA9"/>
    <w:rsid w:val="00357166"/>
    <w:rsid w:val="0035771E"/>
    <w:rsid w:val="0036019C"/>
    <w:rsid w:val="003605FC"/>
    <w:rsid w:val="00361F87"/>
    <w:rsid w:val="00363226"/>
    <w:rsid w:val="0036463A"/>
    <w:rsid w:val="00364CC1"/>
    <w:rsid w:val="00365780"/>
    <w:rsid w:val="00365902"/>
    <w:rsid w:val="00365B37"/>
    <w:rsid w:val="00366FDC"/>
    <w:rsid w:val="003722F2"/>
    <w:rsid w:val="00372A03"/>
    <w:rsid w:val="0037343C"/>
    <w:rsid w:val="0037511A"/>
    <w:rsid w:val="003754DC"/>
    <w:rsid w:val="0038050E"/>
    <w:rsid w:val="0038164F"/>
    <w:rsid w:val="00381C51"/>
    <w:rsid w:val="00383539"/>
    <w:rsid w:val="00385768"/>
    <w:rsid w:val="00385783"/>
    <w:rsid w:val="00385E35"/>
    <w:rsid w:val="003862B4"/>
    <w:rsid w:val="0038664B"/>
    <w:rsid w:val="00386F79"/>
    <w:rsid w:val="003876A9"/>
    <w:rsid w:val="00392283"/>
    <w:rsid w:val="00393BE3"/>
    <w:rsid w:val="00393EF0"/>
    <w:rsid w:val="00395811"/>
    <w:rsid w:val="00395C31"/>
    <w:rsid w:val="00395D29"/>
    <w:rsid w:val="003960F8"/>
    <w:rsid w:val="00397952"/>
    <w:rsid w:val="00397991"/>
    <w:rsid w:val="003A35CF"/>
    <w:rsid w:val="003A3C02"/>
    <w:rsid w:val="003A4DE1"/>
    <w:rsid w:val="003B13AC"/>
    <w:rsid w:val="003B2028"/>
    <w:rsid w:val="003B4A00"/>
    <w:rsid w:val="003B4C51"/>
    <w:rsid w:val="003C3326"/>
    <w:rsid w:val="003C4291"/>
    <w:rsid w:val="003C5355"/>
    <w:rsid w:val="003C5999"/>
    <w:rsid w:val="003D11B8"/>
    <w:rsid w:val="003D404F"/>
    <w:rsid w:val="003D7D58"/>
    <w:rsid w:val="003E1080"/>
    <w:rsid w:val="003E1708"/>
    <w:rsid w:val="003E4F97"/>
    <w:rsid w:val="003E5A67"/>
    <w:rsid w:val="003E7219"/>
    <w:rsid w:val="003F369F"/>
    <w:rsid w:val="003F43F2"/>
    <w:rsid w:val="003F772B"/>
    <w:rsid w:val="003F782A"/>
    <w:rsid w:val="00402067"/>
    <w:rsid w:val="00403BDA"/>
    <w:rsid w:val="00406358"/>
    <w:rsid w:val="00406529"/>
    <w:rsid w:val="00407276"/>
    <w:rsid w:val="00410072"/>
    <w:rsid w:val="00410AD8"/>
    <w:rsid w:val="00415BF4"/>
    <w:rsid w:val="0041760B"/>
    <w:rsid w:val="00417A8E"/>
    <w:rsid w:val="004227F4"/>
    <w:rsid w:val="00424023"/>
    <w:rsid w:val="00424726"/>
    <w:rsid w:val="00425FA7"/>
    <w:rsid w:val="0042670C"/>
    <w:rsid w:val="00431B1A"/>
    <w:rsid w:val="00432279"/>
    <w:rsid w:val="00432668"/>
    <w:rsid w:val="00432DA6"/>
    <w:rsid w:val="00435512"/>
    <w:rsid w:val="00437AC5"/>
    <w:rsid w:val="00437B8C"/>
    <w:rsid w:val="004403A9"/>
    <w:rsid w:val="00440EDC"/>
    <w:rsid w:val="00444A2A"/>
    <w:rsid w:val="00445B4C"/>
    <w:rsid w:val="00446628"/>
    <w:rsid w:val="00446B39"/>
    <w:rsid w:val="004503D1"/>
    <w:rsid w:val="00450E73"/>
    <w:rsid w:val="00451AE7"/>
    <w:rsid w:val="0045470B"/>
    <w:rsid w:val="00454F1E"/>
    <w:rsid w:val="00457332"/>
    <w:rsid w:val="00461BE6"/>
    <w:rsid w:val="00461C89"/>
    <w:rsid w:val="00462067"/>
    <w:rsid w:val="00462319"/>
    <w:rsid w:val="00462829"/>
    <w:rsid w:val="004642FE"/>
    <w:rsid w:val="00464EBB"/>
    <w:rsid w:val="00464F91"/>
    <w:rsid w:val="0047001E"/>
    <w:rsid w:val="00471A4D"/>
    <w:rsid w:val="0047307D"/>
    <w:rsid w:val="00475A61"/>
    <w:rsid w:val="0047696B"/>
    <w:rsid w:val="00480964"/>
    <w:rsid w:val="00481B1F"/>
    <w:rsid w:val="00483ACC"/>
    <w:rsid w:val="00484A84"/>
    <w:rsid w:val="00484DB0"/>
    <w:rsid w:val="004913AC"/>
    <w:rsid w:val="00492503"/>
    <w:rsid w:val="00492784"/>
    <w:rsid w:val="00494409"/>
    <w:rsid w:val="00494CFA"/>
    <w:rsid w:val="00494E87"/>
    <w:rsid w:val="00495A93"/>
    <w:rsid w:val="00495B0F"/>
    <w:rsid w:val="004965A5"/>
    <w:rsid w:val="004966FE"/>
    <w:rsid w:val="004A1E4A"/>
    <w:rsid w:val="004A22F5"/>
    <w:rsid w:val="004A2B5B"/>
    <w:rsid w:val="004A4845"/>
    <w:rsid w:val="004A58A6"/>
    <w:rsid w:val="004A5CB6"/>
    <w:rsid w:val="004A63E9"/>
    <w:rsid w:val="004A68F4"/>
    <w:rsid w:val="004A7AC3"/>
    <w:rsid w:val="004A7E2D"/>
    <w:rsid w:val="004B27CD"/>
    <w:rsid w:val="004B3434"/>
    <w:rsid w:val="004B71C4"/>
    <w:rsid w:val="004B7438"/>
    <w:rsid w:val="004B74AD"/>
    <w:rsid w:val="004C511A"/>
    <w:rsid w:val="004C5B65"/>
    <w:rsid w:val="004C5DE1"/>
    <w:rsid w:val="004C6DB6"/>
    <w:rsid w:val="004C7FDF"/>
    <w:rsid w:val="004D0202"/>
    <w:rsid w:val="004D2B0C"/>
    <w:rsid w:val="004D2DC8"/>
    <w:rsid w:val="004D3E74"/>
    <w:rsid w:val="004D4D4E"/>
    <w:rsid w:val="004D51F1"/>
    <w:rsid w:val="004D60F8"/>
    <w:rsid w:val="004D7975"/>
    <w:rsid w:val="004E028E"/>
    <w:rsid w:val="004E0A42"/>
    <w:rsid w:val="004E18F2"/>
    <w:rsid w:val="004E1C62"/>
    <w:rsid w:val="004E242C"/>
    <w:rsid w:val="004E2FD2"/>
    <w:rsid w:val="004E3DD2"/>
    <w:rsid w:val="004E3E42"/>
    <w:rsid w:val="004E5BA9"/>
    <w:rsid w:val="004E75A9"/>
    <w:rsid w:val="004E7883"/>
    <w:rsid w:val="004E7A7F"/>
    <w:rsid w:val="004E7C97"/>
    <w:rsid w:val="004E7F7D"/>
    <w:rsid w:val="004F0BD6"/>
    <w:rsid w:val="004F2E3A"/>
    <w:rsid w:val="004F37BC"/>
    <w:rsid w:val="004F456A"/>
    <w:rsid w:val="004F4C53"/>
    <w:rsid w:val="004F734C"/>
    <w:rsid w:val="0050010C"/>
    <w:rsid w:val="005025A0"/>
    <w:rsid w:val="00503F48"/>
    <w:rsid w:val="0051071C"/>
    <w:rsid w:val="00510BE9"/>
    <w:rsid w:val="005111EE"/>
    <w:rsid w:val="0051423E"/>
    <w:rsid w:val="00514264"/>
    <w:rsid w:val="005150B3"/>
    <w:rsid w:val="00515705"/>
    <w:rsid w:val="00515CEA"/>
    <w:rsid w:val="0052000E"/>
    <w:rsid w:val="0052025F"/>
    <w:rsid w:val="00521058"/>
    <w:rsid w:val="00522BCC"/>
    <w:rsid w:val="0052482B"/>
    <w:rsid w:val="00526CDB"/>
    <w:rsid w:val="005308A0"/>
    <w:rsid w:val="005317A6"/>
    <w:rsid w:val="0053199C"/>
    <w:rsid w:val="0053346C"/>
    <w:rsid w:val="0053368E"/>
    <w:rsid w:val="00533ED3"/>
    <w:rsid w:val="0053440A"/>
    <w:rsid w:val="0053746B"/>
    <w:rsid w:val="00540366"/>
    <w:rsid w:val="00540B6C"/>
    <w:rsid w:val="00543483"/>
    <w:rsid w:val="00543A2A"/>
    <w:rsid w:val="00543D63"/>
    <w:rsid w:val="0054450A"/>
    <w:rsid w:val="00546052"/>
    <w:rsid w:val="00551411"/>
    <w:rsid w:val="00551EEE"/>
    <w:rsid w:val="005534AB"/>
    <w:rsid w:val="00553B92"/>
    <w:rsid w:val="00553C48"/>
    <w:rsid w:val="00555AE9"/>
    <w:rsid w:val="0055654D"/>
    <w:rsid w:val="00561010"/>
    <w:rsid w:val="0056119E"/>
    <w:rsid w:val="0056213E"/>
    <w:rsid w:val="00562B10"/>
    <w:rsid w:val="00563503"/>
    <w:rsid w:val="00563CD5"/>
    <w:rsid w:val="00564422"/>
    <w:rsid w:val="0057062E"/>
    <w:rsid w:val="0057556C"/>
    <w:rsid w:val="00576019"/>
    <w:rsid w:val="005762D1"/>
    <w:rsid w:val="005770E9"/>
    <w:rsid w:val="00577731"/>
    <w:rsid w:val="00577A17"/>
    <w:rsid w:val="00577B39"/>
    <w:rsid w:val="00577F29"/>
    <w:rsid w:val="00583B60"/>
    <w:rsid w:val="00591CDF"/>
    <w:rsid w:val="00591E02"/>
    <w:rsid w:val="00594CD8"/>
    <w:rsid w:val="005950D9"/>
    <w:rsid w:val="005A06ED"/>
    <w:rsid w:val="005A0B8A"/>
    <w:rsid w:val="005A0BE8"/>
    <w:rsid w:val="005A0E50"/>
    <w:rsid w:val="005A1C57"/>
    <w:rsid w:val="005A4326"/>
    <w:rsid w:val="005B1F56"/>
    <w:rsid w:val="005B27FA"/>
    <w:rsid w:val="005B4F37"/>
    <w:rsid w:val="005B7A2D"/>
    <w:rsid w:val="005B7E83"/>
    <w:rsid w:val="005C0001"/>
    <w:rsid w:val="005C016C"/>
    <w:rsid w:val="005C1F0E"/>
    <w:rsid w:val="005C6FBB"/>
    <w:rsid w:val="005D1130"/>
    <w:rsid w:val="005D1665"/>
    <w:rsid w:val="005D27FF"/>
    <w:rsid w:val="005E049C"/>
    <w:rsid w:val="005E183B"/>
    <w:rsid w:val="005E2CF1"/>
    <w:rsid w:val="005E3CC3"/>
    <w:rsid w:val="005E44FA"/>
    <w:rsid w:val="005E48BF"/>
    <w:rsid w:val="005E5523"/>
    <w:rsid w:val="005E7EF9"/>
    <w:rsid w:val="005F0673"/>
    <w:rsid w:val="005F0C8D"/>
    <w:rsid w:val="005F2643"/>
    <w:rsid w:val="005F348F"/>
    <w:rsid w:val="005F3C3F"/>
    <w:rsid w:val="005F455A"/>
    <w:rsid w:val="005F50BB"/>
    <w:rsid w:val="005F5543"/>
    <w:rsid w:val="00602442"/>
    <w:rsid w:val="00602447"/>
    <w:rsid w:val="00603247"/>
    <w:rsid w:val="0060599A"/>
    <w:rsid w:val="006061EE"/>
    <w:rsid w:val="00606ACE"/>
    <w:rsid w:val="006079E3"/>
    <w:rsid w:val="00610175"/>
    <w:rsid w:val="00610E48"/>
    <w:rsid w:val="00611859"/>
    <w:rsid w:val="0061197A"/>
    <w:rsid w:val="00612FFF"/>
    <w:rsid w:val="00613213"/>
    <w:rsid w:val="00613526"/>
    <w:rsid w:val="00617141"/>
    <w:rsid w:val="00617E1A"/>
    <w:rsid w:val="006201E5"/>
    <w:rsid w:val="0062270C"/>
    <w:rsid w:val="00622B2B"/>
    <w:rsid w:val="006262BF"/>
    <w:rsid w:val="00626D40"/>
    <w:rsid w:val="00627C63"/>
    <w:rsid w:val="00632071"/>
    <w:rsid w:val="0063220A"/>
    <w:rsid w:val="00632ACF"/>
    <w:rsid w:val="00632BA5"/>
    <w:rsid w:val="00635613"/>
    <w:rsid w:val="0063648A"/>
    <w:rsid w:val="00637A66"/>
    <w:rsid w:val="00640BF6"/>
    <w:rsid w:val="00644353"/>
    <w:rsid w:val="006446B1"/>
    <w:rsid w:val="00645742"/>
    <w:rsid w:val="00646F19"/>
    <w:rsid w:val="0065184F"/>
    <w:rsid w:val="00653A43"/>
    <w:rsid w:val="0065574A"/>
    <w:rsid w:val="006557D4"/>
    <w:rsid w:val="00656136"/>
    <w:rsid w:val="006576E1"/>
    <w:rsid w:val="00657B25"/>
    <w:rsid w:val="0066079D"/>
    <w:rsid w:val="0066186F"/>
    <w:rsid w:val="006620C4"/>
    <w:rsid w:val="00662739"/>
    <w:rsid w:val="00663CFC"/>
    <w:rsid w:val="00667D3D"/>
    <w:rsid w:val="00672B1B"/>
    <w:rsid w:val="00672B5A"/>
    <w:rsid w:val="00673855"/>
    <w:rsid w:val="00674BA1"/>
    <w:rsid w:val="00675230"/>
    <w:rsid w:val="0068129B"/>
    <w:rsid w:val="00681ED4"/>
    <w:rsid w:val="0068210E"/>
    <w:rsid w:val="00683F2C"/>
    <w:rsid w:val="00684C82"/>
    <w:rsid w:val="00684EA0"/>
    <w:rsid w:val="00687BD6"/>
    <w:rsid w:val="00693D63"/>
    <w:rsid w:val="00693E41"/>
    <w:rsid w:val="006A466D"/>
    <w:rsid w:val="006A5020"/>
    <w:rsid w:val="006B0B1E"/>
    <w:rsid w:val="006B13A9"/>
    <w:rsid w:val="006B144D"/>
    <w:rsid w:val="006B2158"/>
    <w:rsid w:val="006B28C9"/>
    <w:rsid w:val="006B2E8D"/>
    <w:rsid w:val="006B36B6"/>
    <w:rsid w:val="006B3969"/>
    <w:rsid w:val="006B6CB1"/>
    <w:rsid w:val="006B7FF0"/>
    <w:rsid w:val="006C06BD"/>
    <w:rsid w:val="006C098D"/>
    <w:rsid w:val="006C293D"/>
    <w:rsid w:val="006C4407"/>
    <w:rsid w:val="006C4781"/>
    <w:rsid w:val="006D43CC"/>
    <w:rsid w:val="006D6608"/>
    <w:rsid w:val="006E14AC"/>
    <w:rsid w:val="006E30A8"/>
    <w:rsid w:val="006E3550"/>
    <w:rsid w:val="006E42B7"/>
    <w:rsid w:val="006E4C6F"/>
    <w:rsid w:val="006E4F1B"/>
    <w:rsid w:val="006E5442"/>
    <w:rsid w:val="006E65AD"/>
    <w:rsid w:val="006F1052"/>
    <w:rsid w:val="006F29C6"/>
    <w:rsid w:val="006F2ABB"/>
    <w:rsid w:val="006F62FA"/>
    <w:rsid w:val="006F6512"/>
    <w:rsid w:val="007002E1"/>
    <w:rsid w:val="00701CF4"/>
    <w:rsid w:val="00701ED2"/>
    <w:rsid w:val="00702C13"/>
    <w:rsid w:val="007039B5"/>
    <w:rsid w:val="00704470"/>
    <w:rsid w:val="00704589"/>
    <w:rsid w:val="00706503"/>
    <w:rsid w:val="007077A6"/>
    <w:rsid w:val="00712850"/>
    <w:rsid w:val="007129BC"/>
    <w:rsid w:val="00712E33"/>
    <w:rsid w:val="007148EA"/>
    <w:rsid w:val="007155B2"/>
    <w:rsid w:val="00721009"/>
    <w:rsid w:val="00723B5A"/>
    <w:rsid w:val="00724FDF"/>
    <w:rsid w:val="00727B25"/>
    <w:rsid w:val="007312D2"/>
    <w:rsid w:val="00733623"/>
    <w:rsid w:val="00735FBB"/>
    <w:rsid w:val="00736322"/>
    <w:rsid w:val="00736675"/>
    <w:rsid w:val="007370B2"/>
    <w:rsid w:val="007415E8"/>
    <w:rsid w:val="0074324F"/>
    <w:rsid w:val="00744BE1"/>
    <w:rsid w:val="00745051"/>
    <w:rsid w:val="00745069"/>
    <w:rsid w:val="00746B3F"/>
    <w:rsid w:val="007535AC"/>
    <w:rsid w:val="00753D70"/>
    <w:rsid w:val="007616CB"/>
    <w:rsid w:val="007636CB"/>
    <w:rsid w:val="00763EF4"/>
    <w:rsid w:val="00764892"/>
    <w:rsid w:val="00766161"/>
    <w:rsid w:val="00770D0B"/>
    <w:rsid w:val="00771220"/>
    <w:rsid w:val="00771EDA"/>
    <w:rsid w:val="00776899"/>
    <w:rsid w:val="00776A25"/>
    <w:rsid w:val="00776D7E"/>
    <w:rsid w:val="00777148"/>
    <w:rsid w:val="00777666"/>
    <w:rsid w:val="00777758"/>
    <w:rsid w:val="00781DB1"/>
    <w:rsid w:val="0078342E"/>
    <w:rsid w:val="00784079"/>
    <w:rsid w:val="007849BD"/>
    <w:rsid w:val="00785BAB"/>
    <w:rsid w:val="00785C98"/>
    <w:rsid w:val="0078727D"/>
    <w:rsid w:val="007912E1"/>
    <w:rsid w:val="00793D80"/>
    <w:rsid w:val="00794151"/>
    <w:rsid w:val="00795510"/>
    <w:rsid w:val="007A1A5C"/>
    <w:rsid w:val="007A2381"/>
    <w:rsid w:val="007A2BCB"/>
    <w:rsid w:val="007A31D6"/>
    <w:rsid w:val="007A535C"/>
    <w:rsid w:val="007A5639"/>
    <w:rsid w:val="007A5CF1"/>
    <w:rsid w:val="007A6C2B"/>
    <w:rsid w:val="007A7C13"/>
    <w:rsid w:val="007B194A"/>
    <w:rsid w:val="007B405C"/>
    <w:rsid w:val="007B5F28"/>
    <w:rsid w:val="007B66CA"/>
    <w:rsid w:val="007B7C7B"/>
    <w:rsid w:val="007C0C77"/>
    <w:rsid w:val="007C33BA"/>
    <w:rsid w:val="007C4F2C"/>
    <w:rsid w:val="007C50B7"/>
    <w:rsid w:val="007C639B"/>
    <w:rsid w:val="007C7637"/>
    <w:rsid w:val="007D1828"/>
    <w:rsid w:val="007D2227"/>
    <w:rsid w:val="007D26A2"/>
    <w:rsid w:val="007D313F"/>
    <w:rsid w:val="007D74A0"/>
    <w:rsid w:val="007D7EBA"/>
    <w:rsid w:val="007E0644"/>
    <w:rsid w:val="007E2955"/>
    <w:rsid w:val="007E381A"/>
    <w:rsid w:val="007E3CEC"/>
    <w:rsid w:val="007E4C7C"/>
    <w:rsid w:val="007E5C97"/>
    <w:rsid w:val="007E6B72"/>
    <w:rsid w:val="007E7E53"/>
    <w:rsid w:val="007F03FE"/>
    <w:rsid w:val="007F16E1"/>
    <w:rsid w:val="007F1C68"/>
    <w:rsid w:val="007F2503"/>
    <w:rsid w:val="007F3505"/>
    <w:rsid w:val="007F41E5"/>
    <w:rsid w:val="007F5382"/>
    <w:rsid w:val="007F5BD2"/>
    <w:rsid w:val="007F5C1C"/>
    <w:rsid w:val="00801E42"/>
    <w:rsid w:val="00802381"/>
    <w:rsid w:val="008029DB"/>
    <w:rsid w:val="00803025"/>
    <w:rsid w:val="008078AE"/>
    <w:rsid w:val="008079DE"/>
    <w:rsid w:val="00811615"/>
    <w:rsid w:val="008150B3"/>
    <w:rsid w:val="0082051B"/>
    <w:rsid w:val="00822945"/>
    <w:rsid w:val="0082569D"/>
    <w:rsid w:val="00831C5E"/>
    <w:rsid w:val="00831E27"/>
    <w:rsid w:val="00833C4C"/>
    <w:rsid w:val="008351C1"/>
    <w:rsid w:val="008351D9"/>
    <w:rsid w:val="00836020"/>
    <w:rsid w:val="00836378"/>
    <w:rsid w:val="00840CFB"/>
    <w:rsid w:val="00840D9D"/>
    <w:rsid w:val="008412D4"/>
    <w:rsid w:val="008421A0"/>
    <w:rsid w:val="00843DAE"/>
    <w:rsid w:val="00844A38"/>
    <w:rsid w:val="00845759"/>
    <w:rsid w:val="00846253"/>
    <w:rsid w:val="0085116B"/>
    <w:rsid w:val="00853936"/>
    <w:rsid w:val="008561BE"/>
    <w:rsid w:val="00856475"/>
    <w:rsid w:val="00860BDB"/>
    <w:rsid w:val="00860F11"/>
    <w:rsid w:val="0086128B"/>
    <w:rsid w:val="0086129B"/>
    <w:rsid w:val="00864813"/>
    <w:rsid w:val="00864A7F"/>
    <w:rsid w:val="00865083"/>
    <w:rsid w:val="008654D1"/>
    <w:rsid w:val="00865571"/>
    <w:rsid w:val="008672D1"/>
    <w:rsid w:val="00867CCB"/>
    <w:rsid w:val="008705A7"/>
    <w:rsid w:val="0087071D"/>
    <w:rsid w:val="00872638"/>
    <w:rsid w:val="00874DFE"/>
    <w:rsid w:val="0087601D"/>
    <w:rsid w:val="008761CF"/>
    <w:rsid w:val="00876A55"/>
    <w:rsid w:val="008774E0"/>
    <w:rsid w:val="00877671"/>
    <w:rsid w:val="00877830"/>
    <w:rsid w:val="00877AF3"/>
    <w:rsid w:val="00877B99"/>
    <w:rsid w:val="0088048D"/>
    <w:rsid w:val="008805E3"/>
    <w:rsid w:val="00883AD0"/>
    <w:rsid w:val="00883F38"/>
    <w:rsid w:val="00885C13"/>
    <w:rsid w:val="00887031"/>
    <w:rsid w:val="00891880"/>
    <w:rsid w:val="00892B46"/>
    <w:rsid w:val="00892B52"/>
    <w:rsid w:val="008932C6"/>
    <w:rsid w:val="008962E4"/>
    <w:rsid w:val="00896873"/>
    <w:rsid w:val="008A3A4E"/>
    <w:rsid w:val="008B1CD6"/>
    <w:rsid w:val="008B29DB"/>
    <w:rsid w:val="008B41D9"/>
    <w:rsid w:val="008B5489"/>
    <w:rsid w:val="008B69DF"/>
    <w:rsid w:val="008B74C8"/>
    <w:rsid w:val="008C13D9"/>
    <w:rsid w:val="008C16E9"/>
    <w:rsid w:val="008C2000"/>
    <w:rsid w:val="008C2ED2"/>
    <w:rsid w:val="008C41F5"/>
    <w:rsid w:val="008C4B7B"/>
    <w:rsid w:val="008D0BF5"/>
    <w:rsid w:val="008D199C"/>
    <w:rsid w:val="008D43B7"/>
    <w:rsid w:val="008D47D2"/>
    <w:rsid w:val="008D5ECA"/>
    <w:rsid w:val="008D7C4F"/>
    <w:rsid w:val="008E11B3"/>
    <w:rsid w:val="008E313C"/>
    <w:rsid w:val="008E4905"/>
    <w:rsid w:val="008E5FC6"/>
    <w:rsid w:val="008E6135"/>
    <w:rsid w:val="008F1100"/>
    <w:rsid w:val="008F1A99"/>
    <w:rsid w:val="008F3FB8"/>
    <w:rsid w:val="008F4A59"/>
    <w:rsid w:val="008F5899"/>
    <w:rsid w:val="009001FD"/>
    <w:rsid w:val="00900E4C"/>
    <w:rsid w:val="00904294"/>
    <w:rsid w:val="00904B38"/>
    <w:rsid w:val="0090549B"/>
    <w:rsid w:val="00910CE1"/>
    <w:rsid w:val="00911559"/>
    <w:rsid w:val="00911DDD"/>
    <w:rsid w:val="00911FE1"/>
    <w:rsid w:val="00912F7E"/>
    <w:rsid w:val="00916147"/>
    <w:rsid w:val="00916C01"/>
    <w:rsid w:val="00917892"/>
    <w:rsid w:val="009212C4"/>
    <w:rsid w:val="0092380A"/>
    <w:rsid w:val="00923DD6"/>
    <w:rsid w:val="00926991"/>
    <w:rsid w:val="00926F62"/>
    <w:rsid w:val="009273CA"/>
    <w:rsid w:val="009319C3"/>
    <w:rsid w:val="00932962"/>
    <w:rsid w:val="00932D96"/>
    <w:rsid w:val="009334DB"/>
    <w:rsid w:val="009335CF"/>
    <w:rsid w:val="00933B3A"/>
    <w:rsid w:val="00935091"/>
    <w:rsid w:val="00935253"/>
    <w:rsid w:val="00935324"/>
    <w:rsid w:val="009413BE"/>
    <w:rsid w:val="009431C5"/>
    <w:rsid w:val="00943B13"/>
    <w:rsid w:val="009447C0"/>
    <w:rsid w:val="00944CF6"/>
    <w:rsid w:val="00952004"/>
    <w:rsid w:val="009529F2"/>
    <w:rsid w:val="009536E6"/>
    <w:rsid w:val="0095472E"/>
    <w:rsid w:val="0095495A"/>
    <w:rsid w:val="00954CEC"/>
    <w:rsid w:val="00954E33"/>
    <w:rsid w:val="009550AF"/>
    <w:rsid w:val="00961DD6"/>
    <w:rsid w:val="00962B4E"/>
    <w:rsid w:val="009632A6"/>
    <w:rsid w:val="00965240"/>
    <w:rsid w:val="009653F0"/>
    <w:rsid w:val="00965815"/>
    <w:rsid w:val="009678F7"/>
    <w:rsid w:val="009712E4"/>
    <w:rsid w:val="00971470"/>
    <w:rsid w:val="00971C13"/>
    <w:rsid w:val="00980DB5"/>
    <w:rsid w:val="00981A28"/>
    <w:rsid w:val="00982307"/>
    <w:rsid w:val="00983437"/>
    <w:rsid w:val="009869AF"/>
    <w:rsid w:val="0098759E"/>
    <w:rsid w:val="00987F5F"/>
    <w:rsid w:val="00992414"/>
    <w:rsid w:val="00995732"/>
    <w:rsid w:val="009A0F14"/>
    <w:rsid w:val="009A3CC3"/>
    <w:rsid w:val="009A6E35"/>
    <w:rsid w:val="009B2902"/>
    <w:rsid w:val="009B2D4B"/>
    <w:rsid w:val="009B438A"/>
    <w:rsid w:val="009B4400"/>
    <w:rsid w:val="009B6950"/>
    <w:rsid w:val="009B7AC2"/>
    <w:rsid w:val="009C336B"/>
    <w:rsid w:val="009C33F4"/>
    <w:rsid w:val="009C40EE"/>
    <w:rsid w:val="009C4DD2"/>
    <w:rsid w:val="009C6D26"/>
    <w:rsid w:val="009C7513"/>
    <w:rsid w:val="009C7742"/>
    <w:rsid w:val="009D13ED"/>
    <w:rsid w:val="009D1FF0"/>
    <w:rsid w:val="009D3364"/>
    <w:rsid w:val="009D5723"/>
    <w:rsid w:val="009D7C48"/>
    <w:rsid w:val="009E09ED"/>
    <w:rsid w:val="009E1A99"/>
    <w:rsid w:val="009E22F6"/>
    <w:rsid w:val="009E308E"/>
    <w:rsid w:val="009E3D47"/>
    <w:rsid w:val="009E53BD"/>
    <w:rsid w:val="009E587C"/>
    <w:rsid w:val="009E6DE9"/>
    <w:rsid w:val="009E72E5"/>
    <w:rsid w:val="009E74F7"/>
    <w:rsid w:val="009F697E"/>
    <w:rsid w:val="009F7652"/>
    <w:rsid w:val="00A00EFE"/>
    <w:rsid w:val="00A01A60"/>
    <w:rsid w:val="00A01C9F"/>
    <w:rsid w:val="00A0286E"/>
    <w:rsid w:val="00A02E1B"/>
    <w:rsid w:val="00A04BA9"/>
    <w:rsid w:val="00A05280"/>
    <w:rsid w:val="00A05EC5"/>
    <w:rsid w:val="00A0630E"/>
    <w:rsid w:val="00A07ECB"/>
    <w:rsid w:val="00A106A7"/>
    <w:rsid w:val="00A10739"/>
    <w:rsid w:val="00A148A2"/>
    <w:rsid w:val="00A15CB4"/>
    <w:rsid w:val="00A1794E"/>
    <w:rsid w:val="00A17F63"/>
    <w:rsid w:val="00A20B37"/>
    <w:rsid w:val="00A20D78"/>
    <w:rsid w:val="00A2358B"/>
    <w:rsid w:val="00A2496D"/>
    <w:rsid w:val="00A25B60"/>
    <w:rsid w:val="00A261CA"/>
    <w:rsid w:val="00A2732E"/>
    <w:rsid w:val="00A304C9"/>
    <w:rsid w:val="00A30F53"/>
    <w:rsid w:val="00A33537"/>
    <w:rsid w:val="00A364F4"/>
    <w:rsid w:val="00A4058C"/>
    <w:rsid w:val="00A423AF"/>
    <w:rsid w:val="00A4245B"/>
    <w:rsid w:val="00A42570"/>
    <w:rsid w:val="00A431F4"/>
    <w:rsid w:val="00A44DA4"/>
    <w:rsid w:val="00A45AB7"/>
    <w:rsid w:val="00A4692F"/>
    <w:rsid w:val="00A4735F"/>
    <w:rsid w:val="00A5110B"/>
    <w:rsid w:val="00A51A7E"/>
    <w:rsid w:val="00A553A7"/>
    <w:rsid w:val="00A57E96"/>
    <w:rsid w:val="00A6146E"/>
    <w:rsid w:val="00A61863"/>
    <w:rsid w:val="00A63629"/>
    <w:rsid w:val="00A6382A"/>
    <w:rsid w:val="00A65215"/>
    <w:rsid w:val="00A657E6"/>
    <w:rsid w:val="00A665AB"/>
    <w:rsid w:val="00A7139F"/>
    <w:rsid w:val="00A724C3"/>
    <w:rsid w:val="00A72713"/>
    <w:rsid w:val="00A77317"/>
    <w:rsid w:val="00A819D3"/>
    <w:rsid w:val="00A81E52"/>
    <w:rsid w:val="00A82F76"/>
    <w:rsid w:val="00A83216"/>
    <w:rsid w:val="00A8321E"/>
    <w:rsid w:val="00A83236"/>
    <w:rsid w:val="00A8330D"/>
    <w:rsid w:val="00A83CC0"/>
    <w:rsid w:val="00A85999"/>
    <w:rsid w:val="00A86B00"/>
    <w:rsid w:val="00A86CE9"/>
    <w:rsid w:val="00A902E5"/>
    <w:rsid w:val="00A90DC9"/>
    <w:rsid w:val="00A915BC"/>
    <w:rsid w:val="00A9246B"/>
    <w:rsid w:val="00A92525"/>
    <w:rsid w:val="00A95149"/>
    <w:rsid w:val="00A95C3B"/>
    <w:rsid w:val="00A97502"/>
    <w:rsid w:val="00AA089A"/>
    <w:rsid w:val="00AA2ECE"/>
    <w:rsid w:val="00AA3DE7"/>
    <w:rsid w:val="00AA5D37"/>
    <w:rsid w:val="00AA6DE5"/>
    <w:rsid w:val="00AA7431"/>
    <w:rsid w:val="00AB144E"/>
    <w:rsid w:val="00AB316C"/>
    <w:rsid w:val="00AB31AE"/>
    <w:rsid w:val="00AB3257"/>
    <w:rsid w:val="00AB4C17"/>
    <w:rsid w:val="00AB52EA"/>
    <w:rsid w:val="00AB5CDF"/>
    <w:rsid w:val="00AC01F3"/>
    <w:rsid w:val="00AC06BC"/>
    <w:rsid w:val="00AC0C29"/>
    <w:rsid w:val="00AC2446"/>
    <w:rsid w:val="00AC3C97"/>
    <w:rsid w:val="00AC7764"/>
    <w:rsid w:val="00AC78ED"/>
    <w:rsid w:val="00AD02CE"/>
    <w:rsid w:val="00AD05AF"/>
    <w:rsid w:val="00AD1BCB"/>
    <w:rsid w:val="00AD1E37"/>
    <w:rsid w:val="00AD2481"/>
    <w:rsid w:val="00AD25B5"/>
    <w:rsid w:val="00AD3479"/>
    <w:rsid w:val="00AD3BFC"/>
    <w:rsid w:val="00AD50B7"/>
    <w:rsid w:val="00AD64FC"/>
    <w:rsid w:val="00AD6B1C"/>
    <w:rsid w:val="00AE1429"/>
    <w:rsid w:val="00AE386F"/>
    <w:rsid w:val="00AE71C4"/>
    <w:rsid w:val="00AE7316"/>
    <w:rsid w:val="00AF0303"/>
    <w:rsid w:val="00AF0C02"/>
    <w:rsid w:val="00AF1D6D"/>
    <w:rsid w:val="00AF4B01"/>
    <w:rsid w:val="00AF5F1D"/>
    <w:rsid w:val="00AF6981"/>
    <w:rsid w:val="00AF6A5C"/>
    <w:rsid w:val="00AF70A2"/>
    <w:rsid w:val="00AF777C"/>
    <w:rsid w:val="00B000FA"/>
    <w:rsid w:val="00B01BC6"/>
    <w:rsid w:val="00B02D23"/>
    <w:rsid w:val="00B065EE"/>
    <w:rsid w:val="00B07F1E"/>
    <w:rsid w:val="00B10667"/>
    <w:rsid w:val="00B11BCB"/>
    <w:rsid w:val="00B136D8"/>
    <w:rsid w:val="00B13B79"/>
    <w:rsid w:val="00B13FA2"/>
    <w:rsid w:val="00B16048"/>
    <w:rsid w:val="00B212B9"/>
    <w:rsid w:val="00B22515"/>
    <w:rsid w:val="00B2277C"/>
    <w:rsid w:val="00B227D4"/>
    <w:rsid w:val="00B23216"/>
    <w:rsid w:val="00B23E29"/>
    <w:rsid w:val="00B24FD4"/>
    <w:rsid w:val="00B25844"/>
    <w:rsid w:val="00B25DD3"/>
    <w:rsid w:val="00B265D3"/>
    <w:rsid w:val="00B30F5D"/>
    <w:rsid w:val="00B316D9"/>
    <w:rsid w:val="00B31A0A"/>
    <w:rsid w:val="00B32FDF"/>
    <w:rsid w:val="00B35B11"/>
    <w:rsid w:val="00B36F45"/>
    <w:rsid w:val="00B37AE5"/>
    <w:rsid w:val="00B37B0F"/>
    <w:rsid w:val="00B37B59"/>
    <w:rsid w:val="00B37BB6"/>
    <w:rsid w:val="00B4092B"/>
    <w:rsid w:val="00B4125A"/>
    <w:rsid w:val="00B42096"/>
    <w:rsid w:val="00B43935"/>
    <w:rsid w:val="00B457EC"/>
    <w:rsid w:val="00B465A1"/>
    <w:rsid w:val="00B51DFD"/>
    <w:rsid w:val="00B54375"/>
    <w:rsid w:val="00B547E9"/>
    <w:rsid w:val="00B558EF"/>
    <w:rsid w:val="00B563D7"/>
    <w:rsid w:val="00B577C0"/>
    <w:rsid w:val="00B5795B"/>
    <w:rsid w:val="00B6118B"/>
    <w:rsid w:val="00B627D7"/>
    <w:rsid w:val="00B629B0"/>
    <w:rsid w:val="00B63DF2"/>
    <w:rsid w:val="00B63E5F"/>
    <w:rsid w:val="00B6483B"/>
    <w:rsid w:val="00B648FF"/>
    <w:rsid w:val="00B64DEE"/>
    <w:rsid w:val="00B667D2"/>
    <w:rsid w:val="00B70A0D"/>
    <w:rsid w:val="00B710B8"/>
    <w:rsid w:val="00B71AB5"/>
    <w:rsid w:val="00B74456"/>
    <w:rsid w:val="00B751D1"/>
    <w:rsid w:val="00B754B5"/>
    <w:rsid w:val="00B75AF1"/>
    <w:rsid w:val="00B76D42"/>
    <w:rsid w:val="00B810A8"/>
    <w:rsid w:val="00B826D4"/>
    <w:rsid w:val="00B829D2"/>
    <w:rsid w:val="00B8333E"/>
    <w:rsid w:val="00B87E39"/>
    <w:rsid w:val="00B903F0"/>
    <w:rsid w:val="00B90403"/>
    <w:rsid w:val="00B925B3"/>
    <w:rsid w:val="00B926C1"/>
    <w:rsid w:val="00B9285D"/>
    <w:rsid w:val="00B938CB"/>
    <w:rsid w:val="00B94048"/>
    <w:rsid w:val="00B9524E"/>
    <w:rsid w:val="00B95ADC"/>
    <w:rsid w:val="00B963E7"/>
    <w:rsid w:val="00B96D72"/>
    <w:rsid w:val="00BA099B"/>
    <w:rsid w:val="00BA438C"/>
    <w:rsid w:val="00BA5BC4"/>
    <w:rsid w:val="00BA6F22"/>
    <w:rsid w:val="00BA7063"/>
    <w:rsid w:val="00BB1618"/>
    <w:rsid w:val="00BB429C"/>
    <w:rsid w:val="00BB5D88"/>
    <w:rsid w:val="00BB5E81"/>
    <w:rsid w:val="00BB7F55"/>
    <w:rsid w:val="00BC02E7"/>
    <w:rsid w:val="00BC03EE"/>
    <w:rsid w:val="00BC0822"/>
    <w:rsid w:val="00BC1E4D"/>
    <w:rsid w:val="00BC2DE0"/>
    <w:rsid w:val="00BC345D"/>
    <w:rsid w:val="00BC39A2"/>
    <w:rsid w:val="00BC39B5"/>
    <w:rsid w:val="00BC4779"/>
    <w:rsid w:val="00BC6688"/>
    <w:rsid w:val="00BC76CB"/>
    <w:rsid w:val="00BD05A1"/>
    <w:rsid w:val="00BD0AC8"/>
    <w:rsid w:val="00BD2178"/>
    <w:rsid w:val="00BD244F"/>
    <w:rsid w:val="00BD3CA2"/>
    <w:rsid w:val="00BD47E3"/>
    <w:rsid w:val="00BD4A57"/>
    <w:rsid w:val="00BD55A2"/>
    <w:rsid w:val="00BD7E26"/>
    <w:rsid w:val="00BE068C"/>
    <w:rsid w:val="00BE1230"/>
    <w:rsid w:val="00BE17A1"/>
    <w:rsid w:val="00BE2891"/>
    <w:rsid w:val="00BE370D"/>
    <w:rsid w:val="00BE39B9"/>
    <w:rsid w:val="00BE51BD"/>
    <w:rsid w:val="00BE5725"/>
    <w:rsid w:val="00BE59BC"/>
    <w:rsid w:val="00BF0948"/>
    <w:rsid w:val="00BF0989"/>
    <w:rsid w:val="00BF0C31"/>
    <w:rsid w:val="00BF1450"/>
    <w:rsid w:val="00BF149E"/>
    <w:rsid w:val="00BF366D"/>
    <w:rsid w:val="00BF3674"/>
    <w:rsid w:val="00BF4E5D"/>
    <w:rsid w:val="00BF524C"/>
    <w:rsid w:val="00BF5CE3"/>
    <w:rsid w:val="00BF669F"/>
    <w:rsid w:val="00BF7895"/>
    <w:rsid w:val="00C000B6"/>
    <w:rsid w:val="00C01EBC"/>
    <w:rsid w:val="00C02E10"/>
    <w:rsid w:val="00C05E53"/>
    <w:rsid w:val="00C071B8"/>
    <w:rsid w:val="00C10F7D"/>
    <w:rsid w:val="00C10FDA"/>
    <w:rsid w:val="00C11075"/>
    <w:rsid w:val="00C1272A"/>
    <w:rsid w:val="00C14724"/>
    <w:rsid w:val="00C150C8"/>
    <w:rsid w:val="00C17635"/>
    <w:rsid w:val="00C1797D"/>
    <w:rsid w:val="00C20C47"/>
    <w:rsid w:val="00C20F83"/>
    <w:rsid w:val="00C21166"/>
    <w:rsid w:val="00C21D17"/>
    <w:rsid w:val="00C228EA"/>
    <w:rsid w:val="00C22E28"/>
    <w:rsid w:val="00C246F5"/>
    <w:rsid w:val="00C25A21"/>
    <w:rsid w:val="00C25D21"/>
    <w:rsid w:val="00C2777E"/>
    <w:rsid w:val="00C27AA4"/>
    <w:rsid w:val="00C27EBB"/>
    <w:rsid w:val="00C31096"/>
    <w:rsid w:val="00C31379"/>
    <w:rsid w:val="00C336C5"/>
    <w:rsid w:val="00C34CDC"/>
    <w:rsid w:val="00C3680D"/>
    <w:rsid w:val="00C40938"/>
    <w:rsid w:val="00C4155C"/>
    <w:rsid w:val="00C43539"/>
    <w:rsid w:val="00C4498B"/>
    <w:rsid w:val="00C4728A"/>
    <w:rsid w:val="00C475FD"/>
    <w:rsid w:val="00C52FB4"/>
    <w:rsid w:val="00C53094"/>
    <w:rsid w:val="00C5319D"/>
    <w:rsid w:val="00C54AF1"/>
    <w:rsid w:val="00C55875"/>
    <w:rsid w:val="00C55E56"/>
    <w:rsid w:val="00C56428"/>
    <w:rsid w:val="00C61305"/>
    <w:rsid w:val="00C63F0B"/>
    <w:rsid w:val="00C6414B"/>
    <w:rsid w:val="00C64899"/>
    <w:rsid w:val="00C64F02"/>
    <w:rsid w:val="00C6764C"/>
    <w:rsid w:val="00C67849"/>
    <w:rsid w:val="00C679CA"/>
    <w:rsid w:val="00C67B44"/>
    <w:rsid w:val="00C70092"/>
    <w:rsid w:val="00C725FB"/>
    <w:rsid w:val="00C73220"/>
    <w:rsid w:val="00C73D1A"/>
    <w:rsid w:val="00C74385"/>
    <w:rsid w:val="00C746FB"/>
    <w:rsid w:val="00C7541A"/>
    <w:rsid w:val="00C760DA"/>
    <w:rsid w:val="00C7624C"/>
    <w:rsid w:val="00C771C3"/>
    <w:rsid w:val="00C771F4"/>
    <w:rsid w:val="00C774B0"/>
    <w:rsid w:val="00C77A1E"/>
    <w:rsid w:val="00C77FB1"/>
    <w:rsid w:val="00C82285"/>
    <w:rsid w:val="00C82A45"/>
    <w:rsid w:val="00C83B1B"/>
    <w:rsid w:val="00C84EB5"/>
    <w:rsid w:val="00C85337"/>
    <w:rsid w:val="00C87602"/>
    <w:rsid w:val="00C908AD"/>
    <w:rsid w:val="00C91217"/>
    <w:rsid w:val="00C91C65"/>
    <w:rsid w:val="00C922D7"/>
    <w:rsid w:val="00C92509"/>
    <w:rsid w:val="00C92556"/>
    <w:rsid w:val="00C92A91"/>
    <w:rsid w:val="00C93B15"/>
    <w:rsid w:val="00C942B7"/>
    <w:rsid w:val="00C94600"/>
    <w:rsid w:val="00C94EF6"/>
    <w:rsid w:val="00C95618"/>
    <w:rsid w:val="00CA06EC"/>
    <w:rsid w:val="00CA2A66"/>
    <w:rsid w:val="00CA304A"/>
    <w:rsid w:val="00CA48A6"/>
    <w:rsid w:val="00CA6C61"/>
    <w:rsid w:val="00CA6CFC"/>
    <w:rsid w:val="00CA78A3"/>
    <w:rsid w:val="00CB1CEE"/>
    <w:rsid w:val="00CB4593"/>
    <w:rsid w:val="00CB6F99"/>
    <w:rsid w:val="00CB74AC"/>
    <w:rsid w:val="00CC0E74"/>
    <w:rsid w:val="00CC212B"/>
    <w:rsid w:val="00CC4224"/>
    <w:rsid w:val="00CC4282"/>
    <w:rsid w:val="00CC5141"/>
    <w:rsid w:val="00CC52B6"/>
    <w:rsid w:val="00CC5EEB"/>
    <w:rsid w:val="00CC6127"/>
    <w:rsid w:val="00CC6236"/>
    <w:rsid w:val="00CC7918"/>
    <w:rsid w:val="00CD03C9"/>
    <w:rsid w:val="00CD05F0"/>
    <w:rsid w:val="00CD16D5"/>
    <w:rsid w:val="00CD1FB2"/>
    <w:rsid w:val="00CD205E"/>
    <w:rsid w:val="00CD3CD3"/>
    <w:rsid w:val="00CD6F9F"/>
    <w:rsid w:val="00CD725C"/>
    <w:rsid w:val="00CE473C"/>
    <w:rsid w:val="00CE7F0A"/>
    <w:rsid w:val="00CF06DA"/>
    <w:rsid w:val="00CF13A2"/>
    <w:rsid w:val="00CF2BAE"/>
    <w:rsid w:val="00CF4307"/>
    <w:rsid w:val="00D001A8"/>
    <w:rsid w:val="00D003F3"/>
    <w:rsid w:val="00D00416"/>
    <w:rsid w:val="00D015C6"/>
    <w:rsid w:val="00D016BF"/>
    <w:rsid w:val="00D024AD"/>
    <w:rsid w:val="00D028CA"/>
    <w:rsid w:val="00D03177"/>
    <w:rsid w:val="00D03E3E"/>
    <w:rsid w:val="00D04F19"/>
    <w:rsid w:val="00D05F96"/>
    <w:rsid w:val="00D1008A"/>
    <w:rsid w:val="00D10EDA"/>
    <w:rsid w:val="00D14DD5"/>
    <w:rsid w:val="00D14F72"/>
    <w:rsid w:val="00D15EC0"/>
    <w:rsid w:val="00D15EE8"/>
    <w:rsid w:val="00D16DC8"/>
    <w:rsid w:val="00D1717D"/>
    <w:rsid w:val="00D2167D"/>
    <w:rsid w:val="00D21775"/>
    <w:rsid w:val="00D218E9"/>
    <w:rsid w:val="00D2284F"/>
    <w:rsid w:val="00D229FE"/>
    <w:rsid w:val="00D23BD2"/>
    <w:rsid w:val="00D26270"/>
    <w:rsid w:val="00D26F4E"/>
    <w:rsid w:val="00D2771D"/>
    <w:rsid w:val="00D30184"/>
    <w:rsid w:val="00D30A40"/>
    <w:rsid w:val="00D31D58"/>
    <w:rsid w:val="00D32427"/>
    <w:rsid w:val="00D33481"/>
    <w:rsid w:val="00D33CE1"/>
    <w:rsid w:val="00D40084"/>
    <w:rsid w:val="00D40373"/>
    <w:rsid w:val="00D406A3"/>
    <w:rsid w:val="00D4189A"/>
    <w:rsid w:val="00D428DF"/>
    <w:rsid w:val="00D4455D"/>
    <w:rsid w:val="00D44C78"/>
    <w:rsid w:val="00D46B28"/>
    <w:rsid w:val="00D47929"/>
    <w:rsid w:val="00D50957"/>
    <w:rsid w:val="00D50BFD"/>
    <w:rsid w:val="00D537DE"/>
    <w:rsid w:val="00D55C5A"/>
    <w:rsid w:val="00D56767"/>
    <w:rsid w:val="00D6006C"/>
    <w:rsid w:val="00D612A0"/>
    <w:rsid w:val="00D621AF"/>
    <w:rsid w:val="00D63338"/>
    <w:rsid w:val="00D648E9"/>
    <w:rsid w:val="00D67097"/>
    <w:rsid w:val="00D675F2"/>
    <w:rsid w:val="00D67ACF"/>
    <w:rsid w:val="00D67E7A"/>
    <w:rsid w:val="00D70826"/>
    <w:rsid w:val="00D71ED6"/>
    <w:rsid w:val="00D7416B"/>
    <w:rsid w:val="00D75234"/>
    <w:rsid w:val="00D7618A"/>
    <w:rsid w:val="00D764CA"/>
    <w:rsid w:val="00D80434"/>
    <w:rsid w:val="00D80729"/>
    <w:rsid w:val="00D81834"/>
    <w:rsid w:val="00D8509D"/>
    <w:rsid w:val="00D86847"/>
    <w:rsid w:val="00D86DC9"/>
    <w:rsid w:val="00D87762"/>
    <w:rsid w:val="00D913A1"/>
    <w:rsid w:val="00D91496"/>
    <w:rsid w:val="00D91D45"/>
    <w:rsid w:val="00D939C1"/>
    <w:rsid w:val="00D95C3D"/>
    <w:rsid w:val="00D95C6B"/>
    <w:rsid w:val="00DA0A69"/>
    <w:rsid w:val="00DA0D67"/>
    <w:rsid w:val="00DA2849"/>
    <w:rsid w:val="00DA3611"/>
    <w:rsid w:val="00DA61AD"/>
    <w:rsid w:val="00DB06E4"/>
    <w:rsid w:val="00DB1423"/>
    <w:rsid w:val="00DB18EA"/>
    <w:rsid w:val="00DB1EFF"/>
    <w:rsid w:val="00DB3BEA"/>
    <w:rsid w:val="00DB46CE"/>
    <w:rsid w:val="00DB544D"/>
    <w:rsid w:val="00DB55C0"/>
    <w:rsid w:val="00DB638F"/>
    <w:rsid w:val="00DC1ABC"/>
    <w:rsid w:val="00DC43AE"/>
    <w:rsid w:val="00DC4E90"/>
    <w:rsid w:val="00DD1444"/>
    <w:rsid w:val="00DD5DE3"/>
    <w:rsid w:val="00DD67F2"/>
    <w:rsid w:val="00DE0592"/>
    <w:rsid w:val="00DE27E2"/>
    <w:rsid w:val="00DE37B7"/>
    <w:rsid w:val="00DE3C75"/>
    <w:rsid w:val="00DE4FC9"/>
    <w:rsid w:val="00DE54C9"/>
    <w:rsid w:val="00DE71CF"/>
    <w:rsid w:val="00DE7D52"/>
    <w:rsid w:val="00DF06EE"/>
    <w:rsid w:val="00DF11D6"/>
    <w:rsid w:val="00DF1F7F"/>
    <w:rsid w:val="00DF40F2"/>
    <w:rsid w:val="00DF7281"/>
    <w:rsid w:val="00E0024C"/>
    <w:rsid w:val="00E040B0"/>
    <w:rsid w:val="00E04DC7"/>
    <w:rsid w:val="00E06FAB"/>
    <w:rsid w:val="00E15FF5"/>
    <w:rsid w:val="00E17A32"/>
    <w:rsid w:val="00E17FFB"/>
    <w:rsid w:val="00E20984"/>
    <w:rsid w:val="00E21BAF"/>
    <w:rsid w:val="00E22B5F"/>
    <w:rsid w:val="00E24016"/>
    <w:rsid w:val="00E26A5F"/>
    <w:rsid w:val="00E27E72"/>
    <w:rsid w:val="00E34753"/>
    <w:rsid w:val="00E352AC"/>
    <w:rsid w:val="00E4286C"/>
    <w:rsid w:val="00E47A5F"/>
    <w:rsid w:val="00E51D85"/>
    <w:rsid w:val="00E526AF"/>
    <w:rsid w:val="00E5519D"/>
    <w:rsid w:val="00E6063E"/>
    <w:rsid w:val="00E60D3D"/>
    <w:rsid w:val="00E60F22"/>
    <w:rsid w:val="00E61381"/>
    <w:rsid w:val="00E61BB9"/>
    <w:rsid w:val="00E61FA8"/>
    <w:rsid w:val="00E6291E"/>
    <w:rsid w:val="00E63599"/>
    <w:rsid w:val="00E63617"/>
    <w:rsid w:val="00E63919"/>
    <w:rsid w:val="00E649BD"/>
    <w:rsid w:val="00E654C2"/>
    <w:rsid w:val="00E65711"/>
    <w:rsid w:val="00E70080"/>
    <w:rsid w:val="00E717D0"/>
    <w:rsid w:val="00E72AD7"/>
    <w:rsid w:val="00E73295"/>
    <w:rsid w:val="00E733B6"/>
    <w:rsid w:val="00E73559"/>
    <w:rsid w:val="00E76224"/>
    <w:rsid w:val="00E76628"/>
    <w:rsid w:val="00E83432"/>
    <w:rsid w:val="00E85009"/>
    <w:rsid w:val="00E86715"/>
    <w:rsid w:val="00E86B05"/>
    <w:rsid w:val="00E913A4"/>
    <w:rsid w:val="00E92531"/>
    <w:rsid w:val="00E928D3"/>
    <w:rsid w:val="00E933D8"/>
    <w:rsid w:val="00E96346"/>
    <w:rsid w:val="00E96986"/>
    <w:rsid w:val="00E978FC"/>
    <w:rsid w:val="00E97DF1"/>
    <w:rsid w:val="00E97F74"/>
    <w:rsid w:val="00EA2A4C"/>
    <w:rsid w:val="00EA402B"/>
    <w:rsid w:val="00EA463E"/>
    <w:rsid w:val="00EA4C52"/>
    <w:rsid w:val="00EA71BA"/>
    <w:rsid w:val="00EA7A12"/>
    <w:rsid w:val="00EB1D62"/>
    <w:rsid w:val="00EB4B08"/>
    <w:rsid w:val="00EB5A19"/>
    <w:rsid w:val="00EB5F0B"/>
    <w:rsid w:val="00EB639A"/>
    <w:rsid w:val="00EB7858"/>
    <w:rsid w:val="00EC041B"/>
    <w:rsid w:val="00EC130B"/>
    <w:rsid w:val="00EC443B"/>
    <w:rsid w:val="00EC44A2"/>
    <w:rsid w:val="00ED47D2"/>
    <w:rsid w:val="00ED496E"/>
    <w:rsid w:val="00ED4D3B"/>
    <w:rsid w:val="00ED63A3"/>
    <w:rsid w:val="00EE1352"/>
    <w:rsid w:val="00EE194D"/>
    <w:rsid w:val="00EE3E01"/>
    <w:rsid w:val="00EE4535"/>
    <w:rsid w:val="00EE4E2D"/>
    <w:rsid w:val="00EE523E"/>
    <w:rsid w:val="00EE561C"/>
    <w:rsid w:val="00EE587D"/>
    <w:rsid w:val="00EE7A96"/>
    <w:rsid w:val="00EF23F7"/>
    <w:rsid w:val="00EF2AD0"/>
    <w:rsid w:val="00EF2F8D"/>
    <w:rsid w:val="00EF4C6A"/>
    <w:rsid w:val="00EF5F01"/>
    <w:rsid w:val="00F0090A"/>
    <w:rsid w:val="00F01A4D"/>
    <w:rsid w:val="00F03932"/>
    <w:rsid w:val="00F03D59"/>
    <w:rsid w:val="00F042DB"/>
    <w:rsid w:val="00F04ACB"/>
    <w:rsid w:val="00F06D09"/>
    <w:rsid w:val="00F07267"/>
    <w:rsid w:val="00F07827"/>
    <w:rsid w:val="00F114B7"/>
    <w:rsid w:val="00F14CD1"/>
    <w:rsid w:val="00F16345"/>
    <w:rsid w:val="00F213DF"/>
    <w:rsid w:val="00F21AA0"/>
    <w:rsid w:val="00F220B9"/>
    <w:rsid w:val="00F2255C"/>
    <w:rsid w:val="00F2274B"/>
    <w:rsid w:val="00F22CA7"/>
    <w:rsid w:val="00F24137"/>
    <w:rsid w:val="00F265ED"/>
    <w:rsid w:val="00F26C93"/>
    <w:rsid w:val="00F27123"/>
    <w:rsid w:val="00F27959"/>
    <w:rsid w:val="00F27E6D"/>
    <w:rsid w:val="00F30ABA"/>
    <w:rsid w:val="00F30D9E"/>
    <w:rsid w:val="00F31F59"/>
    <w:rsid w:val="00F32FE4"/>
    <w:rsid w:val="00F34F8C"/>
    <w:rsid w:val="00F369DA"/>
    <w:rsid w:val="00F37DE8"/>
    <w:rsid w:val="00F37DFB"/>
    <w:rsid w:val="00F40232"/>
    <w:rsid w:val="00F40266"/>
    <w:rsid w:val="00F40531"/>
    <w:rsid w:val="00F43E2A"/>
    <w:rsid w:val="00F44D78"/>
    <w:rsid w:val="00F4797F"/>
    <w:rsid w:val="00F50BB7"/>
    <w:rsid w:val="00F5197E"/>
    <w:rsid w:val="00F526C5"/>
    <w:rsid w:val="00F5336A"/>
    <w:rsid w:val="00F5548F"/>
    <w:rsid w:val="00F55B8D"/>
    <w:rsid w:val="00F57452"/>
    <w:rsid w:val="00F57EE4"/>
    <w:rsid w:val="00F61431"/>
    <w:rsid w:val="00F615AE"/>
    <w:rsid w:val="00F61E8E"/>
    <w:rsid w:val="00F61FBF"/>
    <w:rsid w:val="00F62252"/>
    <w:rsid w:val="00F63482"/>
    <w:rsid w:val="00F6554F"/>
    <w:rsid w:val="00F65898"/>
    <w:rsid w:val="00F65D1B"/>
    <w:rsid w:val="00F668C8"/>
    <w:rsid w:val="00F66DE6"/>
    <w:rsid w:val="00F70908"/>
    <w:rsid w:val="00F72548"/>
    <w:rsid w:val="00F72753"/>
    <w:rsid w:val="00F75681"/>
    <w:rsid w:val="00F77A74"/>
    <w:rsid w:val="00F80AA7"/>
    <w:rsid w:val="00F80EA2"/>
    <w:rsid w:val="00F836B2"/>
    <w:rsid w:val="00F8378F"/>
    <w:rsid w:val="00F84199"/>
    <w:rsid w:val="00F84210"/>
    <w:rsid w:val="00F90C88"/>
    <w:rsid w:val="00F90DB3"/>
    <w:rsid w:val="00F92894"/>
    <w:rsid w:val="00F92C07"/>
    <w:rsid w:val="00F92FCE"/>
    <w:rsid w:val="00F944AF"/>
    <w:rsid w:val="00F968E3"/>
    <w:rsid w:val="00F97332"/>
    <w:rsid w:val="00FA02AD"/>
    <w:rsid w:val="00FA55CB"/>
    <w:rsid w:val="00FA783B"/>
    <w:rsid w:val="00FB165B"/>
    <w:rsid w:val="00FB432D"/>
    <w:rsid w:val="00FB4F72"/>
    <w:rsid w:val="00FB5833"/>
    <w:rsid w:val="00FB7B70"/>
    <w:rsid w:val="00FC1520"/>
    <w:rsid w:val="00FC187C"/>
    <w:rsid w:val="00FC3AA6"/>
    <w:rsid w:val="00FC459B"/>
    <w:rsid w:val="00FC6A98"/>
    <w:rsid w:val="00FC79DE"/>
    <w:rsid w:val="00FD06F0"/>
    <w:rsid w:val="00FD0A8E"/>
    <w:rsid w:val="00FD152F"/>
    <w:rsid w:val="00FD1910"/>
    <w:rsid w:val="00FD3954"/>
    <w:rsid w:val="00FD677D"/>
    <w:rsid w:val="00FE21CC"/>
    <w:rsid w:val="00FE59EF"/>
    <w:rsid w:val="00FE6E96"/>
    <w:rsid w:val="00FE7234"/>
    <w:rsid w:val="00FF2B32"/>
    <w:rsid w:val="00FF3C05"/>
    <w:rsid w:val="00FF3F66"/>
    <w:rsid w:val="00FF6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40BD4027"/>
  <w15:docId w15:val="{77A22088-0304-4B1B-8294-1B48F6B4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40938"/>
    <w:pPr>
      <w:widowControl w:val="0"/>
      <w:adjustRightInd w:val="0"/>
      <w:spacing w:line="360" w:lineRule="atLeast"/>
      <w:jc w:val="both"/>
      <w:textAlignment w:val="baseline"/>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57556C"/>
    <w:pPr>
      <w:tabs>
        <w:tab w:val="center" w:pos="4252"/>
        <w:tab w:val="right" w:pos="8504"/>
      </w:tabs>
    </w:pPr>
  </w:style>
  <w:style w:type="paragraph" w:styleId="a5">
    <w:name w:val="footer"/>
    <w:basedOn w:val="a0"/>
    <w:rsid w:val="0057556C"/>
    <w:pPr>
      <w:tabs>
        <w:tab w:val="center" w:pos="4252"/>
        <w:tab w:val="right" w:pos="8504"/>
      </w:tabs>
    </w:pPr>
  </w:style>
  <w:style w:type="character" w:styleId="a6">
    <w:name w:val="page number"/>
    <w:basedOn w:val="a1"/>
    <w:rsid w:val="0057556C"/>
  </w:style>
  <w:style w:type="paragraph" w:customStyle="1" w:styleId="references">
    <w:name w:val="references"/>
    <w:basedOn w:val="a0"/>
    <w:rsid w:val="007A6C2B"/>
    <w:pPr>
      <w:numPr>
        <w:numId w:val="9"/>
      </w:numPr>
    </w:pPr>
    <w:rPr>
      <w:rFonts w:ascii="Times New Roman" w:hAnsi="Times New Roman"/>
    </w:rPr>
  </w:style>
  <w:style w:type="paragraph" w:styleId="a7">
    <w:name w:val="List Paragraph"/>
    <w:basedOn w:val="a0"/>
    <w:link w:val="a8"/>
    <w:uiPriority w:val="34"/>
    <w:qFormat/>
    <w:rsid w:val="00AD2481"/>
    <w:pPr>
      <w:ind w:leftChars="400" w:left="840"/>
    </w:pPr>
  </w:style>
  <w:style w:type="paragraph" w:styleId="a9">
    <w:name w:val="Balloon Text"/>
    <w:basedOn w:val="a0"/>
    <w:link w:val="aa"/>
    <w:rsid w:val="003023E9"/>
    <w:pPr>
      <w:spacing w:line="240" w:lineRule="auto"/>
    </w:pPr>
    <w:rPr>
      <w:rFonts w:asciiTheme="majorHAnsi" w:eastAsiaTheme="majorEastAsia" w:hAnsiTheme="majorHAnsi" w:cstheme="majorBidi"/>
      <w:sz w:val="18"/>
      <w:szCs w:val="18"/>
    </w:rPr>
  </w:style>
  <w:style w:type="character" w:customStyle="1" w:styleId="aa">
    <w:name w:val="吹き出し (文字)"/>
    <w:basedOn w:val="a1"/>
    <w:link w:val="a9"/>
    <w:rsid w:val="003023E9"/>
    <w:rPr>
      <w:rFonts w:asciiTheme="majorHAnsi" w:eastAsiaTheme="majorEastAsia" w:hAnsiTheme="majorHAnsi" w:cstheme="majorBidi"/>
      <w:sz w:val="18"/>
      <w:szCs w:val="18"/>
    </w:rPr>
  </w:style>
  <w:style w:type="paragraph" w:styleId="ab">
    <w:name w:val="Date"/>
    <w:basedOn w:val="a0"/>
    <w:next w:val="a0"/>
    <w:link w:val="ac"/>
    <w:rsid w:val="00B63E5F"/>
  </w:style>
  <w:style w:type="character" w:customStyle="1" w:styleId="ac">
    <w:name w:val="日付 (文字)"/>
    <w:basedOn w:val="a1"/>
    <w:link w:val="ab"/>
    <w:rsid w:val="00B63E5F"/>
    <w:rPr>
      <w:sz w:val="24"/>
    </w:rPr>
  </w:style>
  <w:style w:type="numbering" w:customStyle="1" w:styleId="1">
    <w:name w:val="現在のリスト1"/>
    <w:uiPriority w:val="99"/>
    <w:rsid w:val="007370B2"/>
    <w:pPr>
      <w:numPr>
        <w:numId w:val="20"/>
      </w:numPr>
    </w:pPr>
  </w:style>
  <w:style w:type="paragraph" w:styleId="a">
    <w:name w:val="List Bullet"/>
    <w:basedOn w:val="a0"/>
    <w:unhideWhenUsed/>
    <w:rsid w:val="009712E4"/>
    <w:pPr>
      <w:numPr>
        <w:numId w:val="22"/>
      </w:numPr>
      <w:contextualSpacing/>
    </w:pPr>
  </w:style>
  <w:style w:type="character" w:styleId="ad">
    <w:name w:val="Placeholder Text"/>
    <w:basedOn w:val="a1"/>
    <w:uiPriority w:val="99"/>
    <w:semiHidden/>
    <w:rsid w:val="008761CF"/>
    <w:rPr>
      <w:color w:val="808080"/>
    </w:rPr>
  </w:style>
  <w:style w:type="character" w:customStyle="1" w:styleId="a8">
    <w:name w:val="リスト段落 (文字)"/>
    <w:basedOn w:val="a1"/>
    <w:link w:val="a7"/>
    <w:uiPriority w:val="34"/>
    <w:rsid w:val="00811615"/>
    <w:rPr>
      <w:sz w:val="24"/>
    </w:rPr>
  </w:style>
  <w:style w:type="paragraph" w:styleId="ae">
    <w:name w:val="Revision"/>
    <w:hidden/>
    <w:uiPriority w:val="99"/>
    <w:semiHidden/>
    <w:rsid w:val="0041760B"/>
    <w:rPr>
      <w:sz w:val="24"/>
    </w:rPr>
  </w:style>
  <w:style w:type="character" w:styleId="af">
    <w:name w:val="annotation reference"/>
    <w:basedOn w:val="a1"/>
    <w:semiHidden/>
    <w:unhideWhenUsed/>
    <w:rsid w:val="00D428DF"/>
    <w:rPr>
      <w:sz w:val="18"/>
      <w:szCs w:val="18"/>
    </w:rPr>
  </w:style>
  <w:style w:type="paragraph" w:styleId="af0">
    <w:name w:val="annotation text"/>
    <w:basedOn w:val="a0"/>
    <w:link w:val="af1"/>
    <w:unhideWhenUsed/>
    <w:rsid w:val="00D428DF"/>
    <w:pPr>
      <w:jc w:val="left"/>
    </w:pPr>
  </w:style>
  <w:style w:type="character" w:customStyle="1" w:styleId="af1">
    <w:name w:val="コメント文字列 (文字)"/>
    <w:basedOn w:val="a1"/>
    <w:link w:val="af0"/>
    <w:rsid w:val="00D428DF"/>
    <w:rPr>
      <w:sz w:val="24"/>
    </w:rPr>
  </w:style>
  <w:style w:type="paragraph" w:styleId="af2">
    <w:name w:val="annotation subject"/>
    <w:basedOn w:val="af0"/>
    <w:next w:val="af0"/>
    <w:link w:val="af3"/>
    <w:semiHidden/>
    <w:unhideWhenUsed/>
    <w:rsid w:val="00D428DF"/>
    <w:rPr>
      <w:b/>
      <w:bCs/>
    </w:rPr>
  </w:style>
  <w:style w:type="character" w:customStyle="1" w:styleId="af3">
    <w:name w:val="コメント内容 (文字)"/>
    <w:basedOn w:val="af1"/>
    <w:link w:val="af2"/>
    <w:semiHidden/>
    <w:rsid w:val="00D428DF"/>
    <w:rPr>
      <w:b/>
      <w:bCs/>
      <w:sz w:val="24"/>
    </w:rPr>
  </w:style>
  <w:style w:type="table" w:styleId="af4">
    <w:name w:val="Table Grid"/>
    <w:basedOn w:val="a2"/>
    <w:rsid w:val="004A7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semiHidden/>
    <w:unhideWhenUsed/>
    <w:rsid w:val="00C94600"/>
    <w:pPr>
      <w:widowControl/>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zCs w:val="24"/>
    </w:rPr>
  </w:style>
  <w:style w:type="table" w:customStyle="1" w:styleId="27">
    <w:name w:val="表 (格子)27"/>
    <w:basedOn w:val="a2"/>
    <w:next w:val="af4"/>
    <w:rsid w:val="00A902E5"/>
    <w:rPr>
      <w:rFonts w:ascii="Times New Roman" w:hAnsi="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2333">
      <w:bodyDiv w:val="1"/>
      <w:marLeft w:val="0"/>
      <w:marRight w:val="0"/>
      <w:marTop w:val="0"/>
      <w:marBottom w:val="0"/>
      <w:divBdr>
        <w:top w:val="none" w:sz="0" w:space="0" w:color="auto"/>
        <w:left w:val="none" w:sz="0" w:space="0" w:color="auto"/>
        <w:bottom w:val="none" w:sz="0" w:space="0" w:color="auto"/>
        <w:right w:val="none" w:sz="0" w:space="0" w:color="auto"/>
      </w:divBdr>
    </w:div>
    <w:div w:id="397020854">
      <w:bodyDiv w:val="1"/>
      <w:marLeft w:val="0"/>
      <w:marRight w:val="0"/>
      <w:marTop w:val="0"/>
      <w:marBottom w:val="0"/>
      <w:divBdr>
        <w:top w:val="none" w:sz="0" w:space="0" w:color="auto"/>
        <w:left w:val="none" w:sz="0" w:space="0" w:color="auto"/>
        <w:bottom w:val="none" w:sz="0" w:space="0" w:color="auto"/>
        <w:right w:val="none" w:sz="0" w:space="0" w:color="auto"/>
      </w:divBdr>
    </w:div>
    <w:div w:id="725183535">
      <w:bodyDiv w:val="1"/>
      <w:marLeft w:val="0"/>
      <w:marRight w:val="0"/>
      <w:marTop w:val="0"/>
      <w:marBottom w:val="0"/>
      <w:divBdr>
        <w:top w:val="none" w:sz="0" w:space="0" w:color="auto"/>
        <w:left w:val="none" w:sz="0" w:space="0" w:color="auto"/>
        <w:bottom w:val="none" w:sz="0" w:space="0" w:color="auto"/>
        <w:right w:val="none" w:sz="0" w:space="0" w:color="auto"/>
      </w:divBdr>
      <w:divsChild>
        <w:div w:id="1119647426">
          <w:marLeft w:val="0"/>
          <w:marRight w:val="0"/>
          <w:marTop w:val="0"/>
          <w:marBottom w:val="0"/>
          <w:divBdr>
            <w:top w:val="none" w:sz="0" w:space="0" w:color="auto"/>
            <w:left w:val="none" w:sz="0" w:space="0" w:color="auto"/>
            <w:bottom w:val="none" w:sz="0" w:space="0" w:color="auto"/>
            <w:right w:val="none" w:sz="0" w:space="0" w:color="auto"/>
          </w:divBdr>
          <w:divsChild>
            <w:div w:id="1007755885">
              <w:marLeft w:val="0"/>
              <w:marRight w:val="0"/>
              <w:marTop w:val="0"/>
              <w:marBottom w:val="0"/>
              <w:divBdr>
                <w:top w:val="none" w:sz="0" w:space="0" w:color="auto"/>
                <w:left w:val="none" w:sz="0" w:space="0" w:color="auto"/>
                <w:bottom w:val="none" w:sz="0" w:space="0" w:color="auto"/>
                <w:right w:val="none" w:sz="0" w:space="0" w:color="auto"/>
              </w:divBdr>
              <w:divsChild>
                <w:div w:id="13194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75514">
      <w:bodyDiv w:val="1"/>
      <w:marLeft w:val="0"/>
      <w:marRight w:val="0"/>
      <w:marTop w:val="0"/>
      <w:marBottom w:val="0"/>
      <w:divBdr>
        <w:top w:val="none" w:sz="0" w:space="0" w:color="auto"/>
        <w:left w:val="none" w:sz="0" w:space="0" w:color="auto"/>
        <w:bottom w:val="none" w:sz="0" w:space="0" w:color="auto"/>
        <w:right w:val="none" w:sz="0" w:space="0" w:color="auto"/>
      </w:divBdr>
    </w:div>
    <w:div w:id="1124930788">
      <w:bodyDiv w:val="1"/>
      <w:marLeft w:val="0"/>
      <w:marRight w:val="0"/>
      <w:marTop w:val="0"/>
      <w:marBottom w:val="0"/>
      <w:divBdr>
        <w:top w:val="none" w:sz="0" w:space="0" w:color="auto"/>
        <w:left w:val="none" w:sz="0" w:space="0" w:color="auto"/>
        <w:bottom w:val="none" w:sz="0" w:space="0" w:color="auto"/>
        <w:right w:val="none" w:sz="0" w:space="0" w:color="auto"/>
      </w:divBdr>
    </w:div>
    <w:div w:id="1358659083">
      <w:bodyDiv w:val="1"/>
      <w:marLeft w:val="0"/>
      <w:marRight w:val="0"/>
      <w:marTop w:val="0"/>
      <w:marBottom w:val="0"/>
      <w:divBdr>
        <w:top w:val="none" w:sz="0" w:space="0" w:color="auto"/>
        <w:left w:val="none" w:sz="0" w:space="0" w:color="auto"/>
        <w:bottom w:val="none" w:sz="0" w:space="0" w:color="auto"/>
        <w:right w:val="none" w:sz="0" w:space="0" w:color="auto"/>
      </w:divBdr>
    </w:div>
    <w:div w:id="1624114105">
      <w:bodyDiv w:val="1"/>
      <w:marLeft w:val="0"/>
      <w:marRight w:val="0"/>
      <w:marTop w:val="0"/>
      <w:marBottom w:val="0"/>
      <w:divBdr>
        <w:top w:val="none" w:sz="0" w:space="0" w:color="auto"/>
        <w:left w:val="none" w:sz="0" w:space="0" w:color="auto"/>
        <w:bottom w:val="none" w:sz="0" w:space="0" w:color="auto"/>
        <w:right w:val="none" w:sz="0" w:space="0" w:color="auto"/>
      </w:divBdr>
      <w:divsChild>
        <w:div w:id="1515337064">
          <w:marLeft w:val="0"/>
          <w:marRight w:val="0"/>
          <w:marTop w:val="0"/>
          <w:marBottom w:val="0"/>
          <w:divBdr>
            <w:top w:val="none" w:sz="0" w:space="0" w:color="auto"/>
            <w:left w:val="none" w:sz="0" w:space="0" w:color="auto"/>
            <w:bottom w:val="none" w:sz="0" w:space="0" w:color="auto"/>
            <w:right w:val="none" w:sz="0" w:space="0" w:color="auto"/>
          </w:divBdr>
          <w:divsChild>
            <w:div w:id="1791435003">
              <w:marLeft w:val="0"/>
              <w:marRight w:val="0"/>
              <w:marTop w:val="0"/>
              <w:marBottom w:val="0"/>
              <w:divBdr>
                <w:top w:val="none" w:sz="0" w:space="0" w:color="auto"/>
                <w:left w:val="none" w:sz="0" w:space="0" w:color="auto"/>
                <w:bottom w:val="none" w:sz="0" w:space="0" w:color="auto"/>
                <w:right w:val="none" w:sz="0" w:space="0" w:color="auto"/>
              </w:divBdr>
              <w:divsChild>
                <w:div w:id="1873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49904d3-ccef-4f19-b7f4-8feec5218c28" xsi:nil="true"/>
    <lcf76f155ced4ddcb4097134ff3c332f xmlns="97186ffb-b134-4d1b-b7d4-cd332fb0c56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FD6F3471744C645A69832B7A074F95B" ma:contentTypeVersion="13" ma:contentTypeDescription="新しいドキュメントを作成します。" ma:contentTypeScope="" ma:versionID="660fefe7b80a9fdd38a651b0d9f55cc7">
  <xsd:schema xmlns:xsd="http://www.w3.org/2001/XMLSchema" xmlns:xs="http://www.w3.org/2001/XMLSchema" xmlns:p="http://schemas.microsoft.com/office/2006/metadata/properties" xmlns:ns2="97186ffb-b134-4d1b-b7d4-cd332fb0c564" xmlns:ns3="449904d3-ccef-4f19-b7f4-8feec5218c28" targetNamespace="http://schemas.microsoft.com/office/2006/metadata/properties" ma:root="true" ma:fieldsID="5c4f86a521238dbba2effb3e7379ba9a" ns2:_="" ns3:_="">
    <xsd:import namespace="97186ffb-b134-4d1b-b7d4-cd332fb0c564"/>
    <xsd:import namespace="449904d3-ccef-4f19-b7f4-8feec5218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86ffb-b134-4d1b-b7d4-cd332fb0c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a1abd56f-78d4-4289-b5d3-ebb70d80254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9904d3-ccef-4f19-b7f4-8feec5218c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53f77f-ba44-4541-8a80-9eb83974288f}" ma:internalName="TaxCatchAll" ma:showField="CatchAllData" ma:web="449904d3-ccef-4f19-b7f4-8feec5218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519718-B807-4AF2-AAA4-A27F84371107}">
  <ds:schemaRefs>
    <ds:schemaRef ds:uri="http://schemas.microsoft.com/office/2006/metadata/properties"/>
    <ds:schemaRef ds:uri="http://schemas.microsoft.com/office/infopath/2007/PartnerControls"/>
    <ds:schemaRef ds:uri="449904d3-ccef-4f19-b7f4-8feec5218c28"/>
    <ds:schemaRef ds:uri="97186ffb-b134-4d1b-b7d4-cd332fb0c564"/>
  </ds:schemaRefs>
</ds:datastoreItem>
</file>

<file path=customXml/itemProps2.xml><?xml version="1.0" encoding="utf-8"?>
<ds:datastoreItem xmlns:ds="http://schemas.openxmlformats.org/officeDocument/2006/customXml" ds:itemID="{C86EE7DE-5130-476D-84E3-1186C27D18CA}">
  <ds:schemaRefs>
    <ds:schemaRef ds:uri="http://schemas.openxmlformats.org/officeDocument/2006/bibliography"/>
  </ds:schemaRefs>
</ds:datastoreItem>
</file>

<file path=customXml/itemProps3.xml><?xml version="1.0" encoding="utf-8"?>
<ds:datastoreItem xmlns:ds="http://schemas.openxmlformats.org/officeDocument/2006/customXml" ds:itemID="{D977655E-7857-463C-BF19-648CA85C3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86ffb-b134-4d1b-b7d4-cd332fb0c564"/>
    <ds:schemaRef ds:uri="449904d3-ccef-4f19-b7f4-8feec5218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714C4F-0CDC-43B7-89B9-DF2EE813FC42}">
  <ds:schemaRefs>
    <ds:schemaRef ds:uri="http://schemas.microsoft.com/sharepoint/v3/contenttype/forms"/>
  </ds:schemaRefs>
</ds:datastoreItem>
</file>

<file path=docMetadata/LabelInfo.xml><?xml version="1.0" encoding="utf-8"?>
<clbl:labelList xmlns:clbl="http://schemas.microsoft.com/office/2020/mipLabelMetadata">
  <clbl:label id="{41e161d0-5b65-430f-b842-a438aa5f1fd2}" enabled="0" method="" siteId="{41e161d0-5b65-430f-b842-a438aa5f1fd2}" removed="1"/>
</clbl:labelList>
</file>

<file path=docProps/app.xml><?xml version="1.0" encoding="utf-8"?>
<Properties xmlns="http://schemas.openxmlformats.org/officeDocument/2006/extended-properties" xmlns:vt="http://schemas.openxmlformats.org/officeDocument/2006/docPropsVTypes">
  <Template>Normal.dotm</Template>
  <TotalTime>409</TotalTime>
  <Pages>5</Pages>
  <Words>1118</Words>
  <Characters>6377</Characters>
  <Application>Microsoft Office Word</Application>
  <DocSecurity>0</DocSecurity>
  <Lines>53</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はじめに</vt:lpstr>
      <vt:lpstr>はじめに</vt:lpstr>
    </vt:vector>
  </TitlesOfParts>
  <Company>名古屋工業大学電気情報工学科</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はじめに</dc:title>
  <dc:subject/>
  <dc:creator>horiike</dc:creator>
  <cp:keywords/>
  <cp:lastModifiedBy>八木　隼平</cp:lastModifiedBy>
  <cp:revision>238</cp:revision>
  <cp:lastPrinted>2013-04-25T10:11:00Z</cp:lastPrinted>
  <dcterms:created xsi:type="dcterms:W3CDTF">2023-05-15T13:34:00Z</dcterms:created>
  <dcterms:modified xsi:type="dcterms:W3CDTF">2026-08-03T04:21:00Z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0x0101008FD6F3471744C645A69832B7A074F95B</vt:lpwstr>
  </property>
  <property fmtid="{D5CDD505-2E9C-101B-9397-08002B2CF9AE}" pid="4" name="MediaServiceImageTags">
    <vt:lpwstr/>
  </property>
  <property fmtid="{D5CDD505-2E9C-101B-9397-08002B2CF9AE}" pid="5" name="Order">
    <vt:r8>87800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