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CF8"/>
  <w:body>
    <w:p>
      <w:pPr>
        <w:spacing w:after="100"/>
      </w:pPr>
      <w:r>
        <w:rPr>
          <w:rFonts w:ascii="Arial" w:cs="Arial" w:eastAsia="Arial" w:hAnsi="Arial"/>
          <w:b/>
          <w:bCs/>
          <w:color w:val="990F3D"/>
          <w:sz w:val="16"/>
          <w:szCs w:val="16"/>
        </w:rPr>
        <w:t xml:space="preserve">Role proposal</w:t>
      </w:r>
    </w:p>
    <w:p>
      <w:pPr>
        <w:spacing w:after="200"/>
      </w:pPr>
      <w:r>
        <w:rPr>
          <w:color w:val="33302E"/>
          <w:sz w:val="44"/>
          <w:szCs w:val="44"/>
        </w:rPr>
        <w:t xml:space="preserve">Process &amp; Data Re-Imagineer, Agentic Finance Strategy</w:t>
      </w:r>
    </w:p>
    <w:p>
      <w:pPr>
        <w:spacing w:after="200"/>
      </w:pPr>
      <w:r>
        <w:rPr>
          <w:rFonts w:ascii="Arial" w:cs="Arial" w:eastAsia="Arial" w:hAnsi="Arial"/>
          <w:color w:val="66605C"/>
          <w:sz w:val="14"/>
          <w:szCs w:val="14"/>
        </w:rPr>
        <w:t xml:space="preserve">For the CFO and Finance Exco. Draft for discussion, September 2026</w:t>
      </w:r>
    </w:p>
    <w:p>
      <w:pPr>
        <w:pStyle w:val="Heading2"/>
      </w:pPr>
      <w:r>
        <w:t xml:space="preserve">The opportunity</w:t>
      </w:r>
    </w:p>
    <w:p>
      <w:pPr>
        <w:spacing w:after="220" w:line="330"/>
      </w:pPr>
      <w:r>
        <w:rPr>
          <w:color w:val="33302E"/>
          <w:sz w:val="21"/>
          <w:szCs w:val="21"/>
        </w:rPr>
        <w:t xml:space="preserve">Finance wants to move to agentic ways of working, but agents need a map of our workflows and the data they run on: the steps, the data each step uses, where that data comes from, who owns it, and what it means. Building that map end to end is a critical step in turning agentic ambition into agentic delivery.</w:t>
      </w:r>
    </w:p>
    <w:p>
      <w:pPr>
        <w:spacing w:after="160" w:line="300"/>
      </w:pPr>
      <w:r>
        <w:t xml:space="preserve">Treasury is building that map for its own workflows. It gives business owners, Product, Engineering and AI teams one shared picture, so conversations move from opinion to facts. It also surfaces opportunities we can't see today: how our data maps to our workflows, how data and information move between teams across Finance, and the knowledge that currently sits only in people's heads.</w:t>
      </w:r>
    </w:p>
    <w:p>
      <w:pPr>
        <w:spacing w:after="160" w:line="300"/>
      </w:pPr>
      <w:r>
        <w:rPr>
          <w:b/>
          <w:bCs/>
        </w:rPr>
        <w:t xml:space="preserve">The goal: getting Finance agent-ready, faster.</w:t>
      </w:r>
    </w:p>
    <w:p>
      <w:pPr>
        <w:pStyle w:val="Heading2"/>
      </w:pPr>
      <w:r>
        <w:t xml:space="preserve">What agentic Finance looks like</w:t>
      </w:r>
    </w:p>
    <w:p>
      <w:pPr>
        <w:spacing w:after="160" w:line="300"/>
      </w:pPr>
      <w:r>
        <w:t xml:space="preserve">Picture a Finance function where agents assemble the data, run the reconciliations and draft the first cut of the numbers, while our people spend their time on insight, judgment and decisions. Work moves faster, scales as demand grows, and the know-how in people's heads becomes something the whole function can build on. Examples by area are in Appendix A.</w:t>
      </w:r>
    </w:p>
    <w:p>
      <w:pPr>
        <w:pStyle w:val="Heading2"/>
      </w:pPr>
      <w:r>
        <w:t xml:space="preserve">How the map unlocks the opportunity</w:t>
      </w:r>
    </w:p>
    <w:p>
      <w:pPr>
        <w:spacing w:after="160" w:line="300"/>
      </w:pPr>
      <w:r>
        <w:t xml:space="preserve">The map does three jobs. The first two go hand in hand, and both come before agents: an agent built on inconsistent data or a tangled workflow just runs the tangle faster.</w:t>
      </w:r>
    </w:p>
    <w:p>
      <w:pPr>
        <w:pStyle w:val="Heading3"/>
      </w:pPr>
      <w:r>
        <w:t xml:space="preserve">1. Agent-ready data</w:t>
      </w:r>
    </w:p>
    <w:p>
      <w:pPr>
        <w:spacing w:after="160" w:line="300"/>
      </w:pPr>
      <w:r>
        <w:t xml:space="preserve">Agents need data that is consistent and comparable across Finance. Treasury's early maps already show where to simplify it.</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What the map shows</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it unlocks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The same figure, sourced differently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Workflows that should use the same data pull it from different places in different ways, so results can differ when they shouldn't. The map shows where to align on one source.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Reports at different grains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Metrics can't be compared across functions at the same level of detail. The map shows where a common grain would make them comparable.</w:t>
            </w:r>
          </w:p>
        </w:tc>
      </w:tr>
    </w:tbl>
    <w:p>
      <w:pPr>
        <w:pStyle w:val="Heading3"/>
      </w:pPr>
      <w:r>
        <w:t xml:space="preserve">2. Simpler workflows</w:t>
      </w:r>
    </w:p>
    <w:p>
      <w:pPr>
        <w:spacing w:after="160" w:line="300"/>
      </w:pPr>
      <w:r>
        <w:t xml:space="preserve">Agents also need workflows simple enough to run. The same maps show where work can be simplified, and we take that forward in collaboration with PIT.</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What the map shows</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it unlocks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Data moving by email</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Some hand-offs happen in inboxes, outside any system. The map pinpoints which flows to move onto a platform people and agents can use.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Teams waiting on the same legacy extracts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Several teams each wait on slow pulls from the same system. Publishing that data once to a modern platform lets every team, and every agent, draw from it.</w:t>
            </w:r>
          </w:p>
        </w:tc>
      </w:tr>
    </w:tbl>
    <w:p>
      <w:pPr>
        <w:spacing w:after="120"/>
      </w:pPr>
    </w:p>
    <w:p>
      <w:pPr>
        <w:spacing w:after="160" w:line="300"/>
      </w:pPr>
      <w:r>
        <w:t xml:space="preserve">Each finding comes with the evidence to act on it: which data, which workflows depend on it, and who is affected. That lets Finance point its platform and redesign investment at what agents need first, with platform owners, Product and Engineering delivering the change.</w:t>
      </w:r>
    </w:p>
    <w:p>
      <w:pPr>
        <w:pStyle w:val="Heading3"/>
      </w:pPr>
      <w:r>
        <w:t xml:space="preserve">3. Buildable agents</w:t>
      </w:r>
    </w:p>
    <w:p>
      <w:pPr>
        <w:spacing w:after="160" w:line="300"/>
      </w:pPr>
      <w:r>
        <w:t xml:space="preserve">With the data and workflows in place, the map is what makes each agent buildable. Every element it captures answers a question an agent needs answered before it can do real work. See Appendix B for the detail.</w:t>
      </w:r>
    </w:p>
    <w:p>
      <w:pPr>
        <w:pStyle w:val="Heading2"/>
      </w:pPr>
      <w:r>
        <w:t xml:space="preserve">The role that makes it happen</w:t>
      </w:r>
    </w:p>
    <w:p>
      <w:pPr>
        <w:spacing w:after="160" w:line="300"/>
      </w:pPr>
      <w:r>
        <w:t xml:space="preserve">Treasury is showing what the map can do. Taking it across Finance needs someone accountable for building it, keeping it current and turning it into opportunities others can act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990F3D" w:sz="18"/>
              <w:bottom w:val="none" w:color="FFFFFF" w:sz="0"/>
              <w:right w:val="none" w:color="FFFFFF" w:sz="0"/>
            </w:tcBorders>
            <w:shd w:fill="F8EEE4" w:color="auto" w:val="clear"/>
            <w:tcMar>
              <w:top w:type="dxa" w:w="200"/>
              <w:left w:type="dxa" w:w="280"/>
              <w:bottom w:type="dxa" w:w="120"/>
              <w:right w:type="dxa" w:w="280"/>
            </w:tcMar>
          </w:tcPr>
          <w:p>
            <w:pPr>
              <w:spacing w:after="100" w:line="290"/>
            </w:pPr>
            <w:r>
              <w:rPr>
                <w:b/>
                <w:bCs/>
              </w:rPr>
              <w:t xml:space="preserve">Mission:</w:t>
            </w:r>
            <w:r>
              <w:t xml:space="preserve"> Re-imagine how Finance works by mapping our workflows and the data they run on, then using that map to show where both can be simplified and where agentic AI can create the most value.</w:t>
            </w:r>
          </w:p>
          <w:p>
            <w:pPr>
              <w:spacing w:after="100" w:line="290"/>
            </w:pPr>
            <w:r>
              <w:rPr>
                <w:b/>
                <w:bCs/>
              </w:rPr>
              <w:t xml:space="preserve">Remit:</w:t>
            </w:r>
            <w:r>
              <w:t xml:space="preserve"> Strategy, design and re-imagineering. The role works with the AI teams and PIT to understand what's possible, then shapes the target state so platform owners, process owners, Product and Engineering can deliver it.</w:t>
            </w:r>
          </w:p>
          <w:p>
            <w:pPr>
              <w:spacing w:after="100" w:line="290"/>
            </w:pPr>
            <w:r>
              <w:rPr>
                <w:b/>
                <w:bCs/>
              </w:rPr>
              <w:t xml:space="preserve">Working title:</w:t>
            </w:r>
            <w:r>
              <w:t xml:space="preserve"> Process &amp; Data Re-Imagineer, Agentic Finance Strategy</w:t>
            </w:r>
          </w:p>
          <w:p>
            <w:pPr>
              <w:spacing w:after="100" w:line="290"/>
            </w:pPr>
            <w:r>
              <w:rPr>
                <w:b/>
                <w:bCs/>
              </w:rPr>
              <w:t xml:space="preserve">Official title:</w:t>
            </w:r>
            <w:r>
              <w:t xml:space="preserve"> Head of Agentic Finance Strategy [TBC]</w:t>
            </w:r>
          </w:p>
          <w:p>
            <w:pPr>
              <w:spacing w:after="100" w:line="290"/>
            </w:pPr>
            <w:r>
              <w:rPr>
                <w:b/>
                <w:bCs/>
              </w:rPr>
              <w:t xml:space="preserve">Team name:</w:t>
            </w:r>
            <w:r>
              <w:t xml:space="preserve"> Finance Re-Imagineering [confirm this doesn't clash with PIT]</w:t>
            </w:r>
          </w:p>
        </w:tc>
      </w:tr>
    </w:tbl>
    <w:p>
      <w:pPr>
        <w:spacing w:after="120"/>
      </w:pPr>
    </w:p>
    <w:p>
      <w:pPr>
        <w:pStyle w:val="Heading2"/>
      </w:pPr>
      <w:r>
        <w:t xml:space="preserve">How it works</w:t>
      </w:r>
    </w:p>
    <w:p>
      <w:pPr>
        <w:keepNext/>
        <w:spacing w:after="160" w:line="300"/>
      </w:pPr>
      <w:r>
        <w:t xml:space="preserve">Each engagement runs the same way:</w:t>
      </w:r>
    </w:p>
    <w:p>
      <w:pPr>
        <w:pStyle w:val="ListParagraph"/>
        <w:keepNext/>
        <w:numPr>
          <w:ilvl w:val="0"/>
          <w:numId w:val="2"/>
        </w:numPr>
        <w:spacing w:after="100" w:line="300"/>
      </w:pPr>
      <w:r>
        <w:rPr>
          <w:b/>
          <w:bCs/>
        </w:rPr>
        <w:t xml:space="preserve">Sponsor:</w:t>
      </w:r>
      <w:r>
        <w:t xml:space="preserve"> an Exco member asks for their function to be mapped and lends subject-matter experts, who bring context, contacts and ownership.</w:t>
      </w:r>
    </w:p>
    <w:p>
      <w:pPr>
        <w:pStyle w:val="ListParagraph"/>
        <w:keepNext/>
        <w:numPr>
          <w:ilvl w:val="0"/>
          <w:numId w:val="2"/>
        </w:numPr>
        <w:spacing w:after="100" w:line="300"/>
      </w:pPr>
      <w:r>
        <w:rPr>
          <w:b/>
          <w:bCs/>
        </w:rPr>
        <w:t xml:space="preserve">Map:</w:t>
      </w:r>
      <w:r>
        <w:t xml:space="preserve"> the team and the SMEs map the function's workflows and data, using a repeatable method.</w:t>
      </w:r>
    </w:p>
    <w:p>
      <w:pPr>
        <w:pStyle w:val="ListParagraph"/>
        <w:keepNext/>
        <w:numPr>
          <w:ilvl w:val="0"/>
          <w:numId w:val="2"/>
        </w:numPr>
        <w:spacing w:after="100" w:line="300"/>
      </w:pPr>
      <w:r>
        <w:rPr>
          <w:b/>
          <w:bCs/>
        </w:rPr>
        <w:t xml:space="preserve">Find:</w:t>
      </w:r>
      <w:r>
        <w:t xml:space="preserve"> the map shows where data and workflows can be simplified and where agents fit. The Exco member agrees a target-state design.</w:t>
      </w:r>
    </w:p>
    <w:p>
      <w:pPr>
        <w:pStyle w:val="ListParagraph"/>
        <w:keepNext/>
        <w:numPr>
          <w:ilvl w:val="0"/>
          <w:numId w:val="2"/>
        </w:numPr>
        <w:spacing w:after="100" w:line="300"/>
      </w:pPr>
      <w:r>
        <w:rPr>
          <w:b/>
          <w:bCs/>
        </w:rPr>
        <w:t xml:space="preserve">Hand over:</w:t>
      </w:r>
      <w:r>
        <w:t xml:space="preserve"> the findings go to platform owners, Product and Engineering to deliver, in collaboration with PIT and the AI teams.</w:t>
      </w:r>
    </w:p>
    <w:p>
      <w:pPr>
        <w:spacing w:after="160" w:before="120" w:line="300"/>
      </w:pPr>
      <w:r>
        <w:t xml:space="preserve">Each engagement also adds to a single view across Finance, so the benefits compound as more functions are mapped.</w:t>
      </w:r>
    </w:p>
    <w:p>
      <w:pPr>
        <w:pStyle w:val="Heading2"/>
      </w:pPr>
      <w:r>
        <w:t xml:space="preserve">How it scales</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1300"/>
        <w:gridCol w:w="8060"/>
      </w:tblGrid>
      <w:tr>
        <w:trPr>
          <w:tblHeader/>
        </w:trPr>
        <w:tc>
          <w:tcPr>
            <w:tcW w:type="dxa" w:w="13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Stage</w:t>
            </w:r>
          </w:p>
        </w:tc>
        <w:tc>
          <w:tcPr>
            <w:tcW w:type="dxa" w:w="80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Scope and outcome</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Now</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Treasury.</w:t>
            </w:r>
            <w:r>
              <w:t xml:space="preserve"> Method codified. First data and workflow simplifications shared with platform owners, Product, Engineering and PIT; first 2–3 agentic opportunities identified by [date] and handed to Product and Engineering.</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Next</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2–3 functions chosen with the Exco, based on demand.</w:t>
            </w:r>
            <w:r>
              <w:t xml:space="preserve"> Each ends with an agreed target-state design.</w:t>
            </w:r>
          </w:p>
        </w:tc>
      </w:tr>
      <w:tr>
        <w:trPr>
          <w:cantSplit/>
        </w:trPr>
        <w:tc>
          <w:tcPr>
            <w:tcW w:type="dxa" w:w="13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Then</w:t>
            </w:r>
          </w:p>
        </w:tc>
        <w:tc>
          <w:tcPr>
            <w:tcW w:type="dxa" w:w="80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b/>
                <w:bCs/>
              </w:rPr>
              <w:t xml:space="preserve">Finance-wide.</w:t>
            </w:r>
            <w:r>
              <w:t xml:space="preserve"> A cross-functional view, data aligned across functions, simpler cross-team workflows, and a pipeline of agentic opportunities.</w:t>
            </w:r>
          </w:p>
        </w:tc>
      </w:tr>
    </w:tbl>
    <w:p>
      <w:pPr>
        <w:spacing w:after="120"/>
      </w:pPr>
    </w:p>
    <w:p>
      <w:pPr>
        <w:pStyle w:val="Heading2"/>
      </w:pPr>
      <w:r>
        <w:t xml:space="preserve">What success looks like</w:t>
      </w:r>
    </w:p>
    <w:p>
      <w:pPr>
        <w:pStyle w:val="ListParagraph"/>
        <w:numPr>
          <w:ilvl w:val="0"/>
          <w:numId w:val="3"/>
        </w:numPr>
        <w:spacing w:after="100" w:line="300"/>
      </w:pPr>
      <w:r>
        <w:t xml:space="preserve">Finance functions mapped, each with a target-state design its owner has adopted</w:t>
      </w:r>
    </w:p>
    <w:p>
      <w:pPr>
        <w:pStyle w:val="ListParagraph"/>
        <w:numPr>
          <w:ilvl w:val="0"/>
          <w:numId w:val="3"/>
        </w:numPr>
        <w:spacing w:after="100" w:line="300"/>
      </w:pPr>
      <w:r>
        <w:t xml:space="preserve">Data and workflow simplifications identified, prioritised and taken up by platform owners, Product and Engineering</w:t>
      </w:r>
    </w:p>
    <w:p>
      <w:pPr>
        <w:pStyle w:val="ListParagraph"/>
        <w:numPr>
          <w:ilvl w:val="0"/>
          <w:numId w:val="3"/>
        </w:numPr>
        <w:spacing w:after="100" w:line="300"/>
      </w:pPr>
      <w:r>
        <w:t xml:space="preserve">Agentic opportunities identified, prioritised and taken up by Product and Engineering</w:t>
      </w:r>
    </w:p>
    <w:p>
      <w:pPr>
        <w:pStyle w:val="ListParagraph"/>
        <w:numPr>
          <w:ilvl w:val="0"/>
          <w:numId w:val="3"/>
        </w:numPr>
        <w:spacing w:after="100" w:line="300"/>
      </w:pPr>
      <w:r>
        <w:t xml:space="preserve">A growing pipeline of agentic opportunities across Finance, with the first moving into delivery</w:t>
      </w:r>
    </w:p>
    <w:p>
      <w:pPr>
        <w:pStyle w:val="Heading2"/>
      </w:pPr>
      <w:r>
        <w:t xml:space="preserve">Asks of the CFO and Exco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990F3D" w:sz="18"/>
              <w:bottom w:val="none" w:color="FFFFFF" w:sz="0"/>
              <w:right w:val="none" w:color="FFFFFF" w:sz="0"/>
            </w:tcBorders>
            <w:shd w:fill="F8EEE4" w:color="auto" w:val="clear"/>
            <w:tcMar>
              <w:top w:type="dxa" w:w="200"/>
              <w:left w:type="dxa" w:w="280"/>
              <w:bottom w:type="dxa" w:w="120"/>
              <w:right w:type="dxa" w:w="280"/>
            </w:tcMar>
          </w:tcPr>
          <w:p>
            <w:pPr>
              <w:pStyle w:val="ListParagraph"/>
              <w:keepNext/>
              <w:numPr>
                <w:ilvl w:val="0"/>
                <w:numId w:val="4"/>
              </w:numPr>
              <w:spacing w:after="100" w:line="300"/>
            </w:pPr>
            <w:r>
              <w:rPr>
                <w:b/>
                <w:bCs/>
              </w:rPr>
              <w:t xml:space="preserve">Sponsorship:</w:t>
            </w:r>
            <w:r>
              <w:t xml:space="preserve"> the CFO as sponsor, with progress reported quarterly.</w:t>
            </w:r>
          </w:p>
          <w:p>
            <w:pPr>
              <w:pStyle w:val="ListParagraph"/>
              <w:keepNext/>
              <w:numPr>
                <w:ilvl w:val="0"/>
                <w:numId w:val="4"/>
              </w:numPr>
              <w:spacing w:after="100" w:line="300"/>
            </w:pPr>
            <w:r>
              <w:rPr>
                <w:b/>
                <w:bCs/>
              </w:rPr>
              <w:t xml:space="preserve">Mandate:</w:t>
            </w:r>
            <w:r>
              <w:t xml:space="preserve"> to engage across Finance, with next functions agreed by the Exco.</w:t>
            </w:r>
          </w:p>
          <w:p>
            <w:pPr>
              <w:pStyle w:val="ListParagraph"/>
              <w:keepNext/>
              <w:numPr>
                <w:ilvl w:val="0"/>
                <w:numId w:val="4"/>
              </w:numPr>
              <w:spacing w:after="100" w:line="300"/>
            </w:pPr>
            <w:r>
              <w:rPr>
                <w:b/>
                <w:bCs/>
              </w:rPr>
              <w:t xml:space="preserve">SMEs:</w:t>
            </w:r>
            <w:r>
              <w:t xml:space="preserve"> each engaging function lends subject-matter experts for the engagement.</w:t>
            </w:r>
          </w:p>
          <w:p>
            <w:pPr>
              <w:pStyle w:val="ListParagraph"/>
              <w:keepNext/>
              <w:numPr>
                <w:ilvl w:val="0"/>
                <w:numId w:val="4"/>
              </w:numPr>
              <w:spacing w:after="100" w:line="300"/>
            </w:pPr>
            <w:r>
              <w:rPr>
                <w:b/>
                <w:bCs/>
              </w:rPr>
              <w:t xml:space="preserve">Capacity:</w:t>
            </w:r>
            <w:r>
              <w:t xml:space="preserve"> analyst support as demand grows. [Team size TBC with manager.]</w:t>
            </w:r>
          </w:p>
          <w:p>
            <w:pPr>
              <w:pStyle w:val="ListParagraph"/>
              <w:keepNext/>
              <w:numPr>
                <w:ilvl w:val="0"/>
                <w:numId w:val="4"/>
              </w:numPr>
              <w:spacing w:after="100" w:line="300"/>
            </w:pPr>
            <w:r>
              <w:rPr>
                <w:b/>
                <w:bCs/>
              </w:rPr>
              <w:t xml:space="preserve">Take-up:</w:t>
            </w:r>
            <w:r>
              <w:t xml:space="preserve"> platform owners, Product and Engineering commit to reviewing and prioritising the findings each engagement produces.</w:t>
            </w:r>
          </w:p>
        </w:tc>
      </w:tr>
    </w:tbl>
    <w:p>
      <w:r>
        <w:br w:type="page"/>
      </w:r>
    </w:p>
    <w:p>
      <w:pPr>
        <w:pStyle w:val="Heading1"/>
      </w:pPr>
      <w:r>
        <w:t xml:space="preserve">Appendices</w:t>
      </w:r>
    </w:p>
    <w:p>
      <w:pPr>
        <w:spacing w:after="160" w:line="300"/>
      </w:pPr>
      <w:r>
        <w:t xml:space="preserve">Supporting detail for reference: use cases, how the map enables agents, external evidence, and a language guide.</w:t>
      </w:r>
    </w:p>
    <w:p>
      <w:pPr>
        <w:pStyle w:val="Heading2"/>
      </w:pPr>
      <w:r>
        <w:t xml:space="preserve">Appendix A: Agentic Finance use cases</w:t>
      </w:r>
    </w:p>
    <w:p>
      <w:pPr>
        <w:spacing w:after="160" w:line="300"/>
      </w:pPr>
      <w:r>
        <w:t xml:space="preserve">Illustrative examples by Finance area. Each depends on the map this role builds.</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Use case</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the agent does, and what it needs from the map</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Liquidity positioning (Treasury)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Builds the day's liquidity view from multiple systems and flags anomalies for the treasurer. Needs to know which systems hold which balances, and what each “balance” means.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Month-end reconciliations (Controllers)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Matches breaks, traces likely causes and proposes adjustments for sign-off. Needs to know how data moves between teams and who owns each input.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Variance commentary (FP&amp;A)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Drafts plan-versus-actual explanations by tracing numbers to their drivers. Needs the path from source data to reported figure, and what each figure means.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Cross-team hand-offs (all Finance)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Chases missing inputs and routes exceptions to the right owner. Needs to know who hands what to whom, including knowledge that today sits in people's heads.</w:t>
            </w:r>
          </w:p>
        </w:tc>
      </w:tr>
    </w:tbl>
    <w:p>
      <w:pPr>
        <w:spacing w:after="120"/>
      </w:pPr>
    </w:p>
    <w:p>
      <w:pPr>
        <w:spacing w:after="160" w:line="300"/>
      </w:pPr>
      <w:r>
        <w:rPr>
          <w:b/>
          <w:bCs/>
        </w:rPr>
        <w:t xml:space="preserve">Why it matters:</w:t>
      </w:r>
      <w:r>
        <w:t xml:space="preserve"> Finance moves faster, scales as demand grows, and keeps its know-how when people move on. Outside banking, an </w:t>
      </w:r>
      <w:hyperlink w:history="1" r:id="rIdliq4an-sjtp_scp3h2kjg">
        <w:r>
          <w:rPr>
            <w:color w:val="0F5499"/>
            <w:u w:val="single"/>
          </w:rPr>
          <w:t xml:space="preserve">agentic purchase-to-pay deployment cut the capacity needed by around 85%</w:t>
        </w:r>
      </w:hyperlink>
      <w:r>
        <w:t xml:space="preserve">, according to EY.</w:t>
      </w:r>
    </w:p>
    <w:p>
      <w:pPr>
        <w:pStyle w:val="Heading2"/>
        <w:pageBreakBefore/>
      </w:pPr>
      <w:r>
        <w:t xml:space="preserve">Appendix B: From map to agent</w:t>
      </w:r>
    </w:p>
    <w:p>
      <w:pPr>
        <w:spacing w:after="160" w:line="300"/>
      </w:pPr>
      <w:r>
        <w:rPr>
          <w:b/>
          <w:bCs/>
        </w:rPr>
        <w:t xml:space="preserve">This role:</w:t>
      </w:r>
      <w:r>
        <w:t xml:space="preserve"> map workflows and data → show where data and workflows can be simplified → spot where agents fit. </w:t>
      </w:r>
      <w:r>
        <w:rPr>
          <w:b/>
          <w:bCs/>
        </w:rPr>
        <w:t xml:space="preserve">Platform owners, Product and Engineering:</w:t>
      </w:r>
      <w:r>
        <w:t xml:space="preserve"> simplify the data and workflows. </w:t>
      </w:r>
      <w:r>
        <w:rPr>
          <w:b/>
          <w:bCs/>
        </w:rPr>
        <w:t xml:space="preserve">Process owners, Product and Engineering:</w:t>
      </w:r>
      <w:r>
        <w:t xml:space="preserve"> build the agent → go live. Each agent built feeds learnings back into the map, so every new one starts further ahead.</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The map captures</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What it gives an agent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Workflow steps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sequence of work the agent runs or supports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Data used at each step</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inputs the agent needs to act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Where the data comes from</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systems the agent must connect to</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Who owns it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Who approves the agent's output and handles exceptions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What it means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correct reading of each figure, so the agent's output is right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How data moves between teams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hand-offs an agent can take over</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Knowledge in people's heads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The rules and judgment the agent can't otherwise access</w:t>
            </w:r>
          </w:p>
        </w:tc>
      </w:tr>
    </w:tbl>
    <w:p>
      <w:pPr>
        <w:spacing w:after="120"/>
      </w:pPr>
    </w:p>
    <w:p>
      <w:pPr>
        <w:pStyle w:val="Heading2"/>
        <w:pageBreakBefore/>
      </w:pPr>
      <w:r>
        <w:t xml:space="preserve">Appendix C: Evidence for the opening claim</w:t>
      </w:r>
    </w:p>
    <w:p>
      <w:pPr>
        <w:spacing w:after="160" w:line="300"/>
      </w:pPr>
      <w:r>
        <w:rPr>
          <w:b/>
          <w:bCs/>
        </w:rPr>
        <w:t xml:space="preserve">Verdict:</w:t>
      </w:r>
      <w:r>
        <w:t xml:space="preserve"> The claim that agents need a map of workflows, data, sources and owners, and that building it is a critical step toward agentic delivery, is well supported across AI companies, academic research, consultancies and bank-focused research. The evidence consistently ranks data and process readiness among the top barriers, alongside integration, cost, unclear value and skills. That is why the proposal calls it “a critical step” rather than the single biggest lever.</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Source</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Finding, and why it matters here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6rtij-y0ep98jnilqutl9">
              <w:r>
                <w:rPr>
                  <w:b/>
                  <w:bCs/>
                  <w:color w:val="33302E"/>
                  <w:u w:val="single"/>
                </w:rPr>
                <w:t xml:space="preserve">Anthropic (2026)</w:t>
              </w:r>
            </w:hyperlink>
            <w:r>
              <w:rPr>
                <w:b/>
                <w:bCs/>
                <w:color w:val="33302E"/>
              </w:rPr>
              <w:t xml:space="preserve"> AI company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Top agent-scaling challenges: system integration (46%), data access and quality (42%), change management (39%). Data readiness is a top-tier barrier, not the only 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9nfprhtsfbleuuyu6sew6">
              <w:r>
                <w:rPr>
                  <w:b/>
                  <w:bCs/>
                  <w:color w:val="33302E"/>
                  <w:u w:val="single"/>
                </w:rPr>
                <w:t xml:space="preserve">MIT NANDA (Jul 2025)</w:t>
              </w:r>
            </w:hyperlink>
            <w:r>
              <w:rPr>
                <w:b/>
                <w:bCs/>
                <w:color w:val="33302E"/>
              </w:rPr>
              <w:t xml:space="preserve"> Academic</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Most organisations saw no measurable AI return, attributed to brittle workflows and poor fit with daily work, not model quality. Caveat: GenAI broadly, self-reported, often misquoted.</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hcleaih6geg9zrc2bav8l">
              <w:r>
                <w:rPr>
                  <w:b/>
                  <w:bCs/>
                  <w:color w:val="33302E"/>
                  <w:u w:val="single"/>
                </w:rPr>
                <w:t xml:space="preserve">McKinsey (Sep 2025)</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Across 50+ agentic builds, value came from redesigning whole workflows; mapping processes is an important starting point.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ppp1ksndefhdtsr76rflh">
              <w:r>
                <w:rPr>
                  <w:b/>
                  <w:bCs/>
                  <w:color w:val="33302E"/>
                  <w:u w:val="single"/>
                </w:rPr>
                <w:t xml:space="preserve">McKinsey (Apr 2026)</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Start by rewiring a few critical workflows in high-impact domains. Supports the phased, function-by-function model.</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en2jhfgiji-yz7wjlykjb">
              <w:r>
                <w:rPr>
                  <w:b/>
                  <w:bCs/>
                  <w:color w:val="33302E"/>
                  <w:u w:val="single"/>
                </w:rPr>
                <w:t xml:space="preserve">Gartner (Feb 2025)</w:t>
              </w:r>
            </w:hyperlink>
            <w:r>
              <w:rPr>
                <w:b/>
                <w:bCs/>
                <w:color w:val="33302E"/>
              </w:rPr>
              <w:t xml:space="preserve"> Analyst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60% of AI projects lacking AI-ready data will be abandoned through 2026.</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x6_4vzymdo7_aewbbbf7x">
              <w:r>
                <w:rPr>
                  <w:b/>
                  <w:bCs/>
                  <w:color w:val="33302E"/>
                  <w:u w:val="single"/>
                </w:rPr>
                <w:t xml:space="preserve">Gartner (Jun 2025)</w:t>
              </w:r>
            </w:hyperlink>
            <w:r>
              <w:rPr>
                <w:b/>
                <w:bCs/>
                <w:color w:val="33302E"/>
              </w:rPr>
              <w:t xml:space="preserve"> Analyst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40%+ of agentic projects cancelled by end of 2027, driven by cost, unclear value and weak risk controls. Counterpoint: other factors matter too.</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psj00ta8yfkyzysigkmkd">
              <w:r>
                <w:rPr>
                  <w:b/>
                  <w:bCs/>
                  <w:color w:val="33302E"/>
                  <w:u w:val="single"/>
                </w:rPr>
                <w:t xml:space="preserve">EY (2026)</w:t>
              </w:r>
            </w:hyperlink>
            <w:r>
              <w:rPr>
                <w:b/>
                <w:bCs/>
                <w:color w:val="33302E"/>
              </w:rPr>
              <w:t xml:space="preserve"> Consultancy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61% of CFOs name data quality as the top barrier to AI investment; 21% rate finance's AI readiness as leading or advanced.</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h7dcpkpy7qqetipkezzn9">
              <w:r>
                <w:rPr>
                  <w:b/>
                  <w:bCs/>
                  <w:color w:val="33302E"/>
                  <w:u w:val="single"/>
                </w:rPr>
                <w:t xml:space="preserve">Celonis (2026)</w:t>
              </w:r>
            </w:hyperlink>
            <w:r>
              <w:rPr>
                <w:b/>
                <w:bCs/>
                <w:color w:val="33302E"/>
              </w:rPr>
              <w:t xml:space="preserve"> Vendor</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85% of leaders want to be agentic within three years; 76% say current processes hold them back. Caveat: Celonis sells process intelligence.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h566rk_3tg9tv8ezhki6r">
              <w:r>
                <w:rPr>
                  <w:b/>
                  <w:bCs/>
                  <w:color w:val="33302E"/>
                  <w:u w:val="single"/>
                </w:rPr>
                <w:t xml:space="preserve">Evident (Q1 2026)</w:t>
              </w:r>
            </w:hyperlink>
            <w:r>
              <w:rPr>
                <w:b/>
                <w:bCs/>
                <w:color w:val="33302E"/>
              </w:rPr>
              <w:t xml:space="preserve"> Bank research</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Agentic AI reached 31% of new bank AI use cases, up from 15%; banks are moving to workflow-embedded AI, including treasury.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pygzwo-mghufspcyczlow">
              <w:r>
                <w:rPr>
                  <w:b/>
                  <w:bCs/>
                  <w:color w:val="33302E"/>
                  <w:u w:val="single"/>
                </w:rPr>
                <w:t xml:space="preserve">Deloitte (Apr 2026)</w:t>
              </w:r>
            </w:hyperlink>
            <w:r>
              <w:rPr>
                <w:b/>
                <w:bCs/>
                <w:color w:val="33302E"/>
              </w:rPr>
              <w:t xml:space="preserve"> Banking</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90%+ of bank data users say needed data is often unavailable or slow; 81% cite data quality as a top challenge.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hyperlink w:history="1" r:id="rId5sv_idxun_jcg4wlsbrqy">
              <w:r>
                <w:rPr>
                  <w:b/>
                  <w:bCs/>
                  <w:color w:val="33302E"/>
                  <w:u w:val="single"/>
                </w:rPr>
                <w:t xml:space="preserve">Citi GPS (Jan 2025)</w:t>
              </w:r>
            </w:hyperlink>
            <w:r>
              <w:rPr>
                <w:b/>
                <w:bCs/>
                <w:color w:val="33302E"/>
              </w:rPr>
              <w:t xml:space="preserve"> Bank</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t xml:space="preserve">Names treasury workflows among the key agentic use cases in financial services.</w:t>
            </w:r>
          </w:p>
        </w:tc>
      </w:tr>
    </w:tbl>
    <w:p>
      <w:pPr>
        <w:spacing w:after="120"/>
      </w:pPr>
    </w:p>
    <w:p>
      <w:pPr>
        <w:spacing w:after="160" w:line="300"/>
      </w:pPr>
      <w:r>
        <w:t xml:space="preserve">Gaps: no OpenAI, Google or Microsoft research is included yet, and no source measures process-data mapping directly as a driver of agentic outcomes; they support it as a prerequisite. The Treasury work remains the strongest bank-specific evidence.</w:t>
      </w:r>
    </w:p>
    <w:p>
      <w:pPr>
        <w:pStyle w:val="Heading2"/>
        <w:pageBreakBefore/>
      </w:pPr>
      <w:r>
        <w:t xml:space="preserve">Appendix D: Language guide</w:t>
      </w:r>
    </w:p>
    <w:p>
      <w:pPr>
        <w:spacing w:after="160" w:line="300"/>
      </w:pPr>
      <w:r>
        <w:t xml:space="preserve">The words in this proposal were chosen deliberately. Use this when someone suggests adding a term.</w:t>
      </w:r>
    </w:p>
    <w:tbl>
      <w:tblPr>
        <w:tblW w:type="dxa" w:w="9360"/>
        <w:tblBorders>
          <w:top w:val="none" w:color="FFFFFF" w:sz="0"/>
          <w:left w:val="none" w:color="FFFFFF" w:sz="0"/>
          <w:bottom w:val="none" w:color="FFFFFF" w:sz="0"/>
          <w:right w:val="none" w:color="FFFFFF" w:sz="0"/>
          <w:insideH w:val="single" w:color="CCC1B7" w:sz="4"/>
          <w:insideV w:val="none" w:color="FFFFFF" w:sz="0"/>
        </w:tblBorders>
      </w:tblPr>
      <w:tblGrid>
        <w:gridCol w:w="2700"/>
        <w:gridCol w:w="6660"/>
      </w:tblGrid>
      <w:tr>
        <w:trPr>
          <w:tblHeader/>
        </w:trPr>
        <w:tc>
          <w:tcPr>
            <w:tcW w:type="dxa" w:w="2700"/>
            <w:tcBorders>
              <w:top w:val="none" w:color="FFFFFF" w:sz="0"/>
              <w:left w:val="none" w:color="FFFFFF" w:sz="0"/>
              <w:bottom w:val="single" w:color="33302E" w:sz="8"/>
              <w:right w:val="none" w:color="FFFFFF" w:sz="0"/>
            </w:tcBorders>
            <w:tcMar>
              <w:top w:type="dxa" w:w="110"/>
              <w:left w:type="dxa" w:w="0"/>
              <w:bottom w:type="dxa" w:w="110"/>
              <w:right w:type="dxa" w:w="120"/>
            </w:tcMar>
          </w:tcPr>
          <w:p>
            <w:pPr>
              <w:spacing w:after="0" w:line="280"/>
            </w:pPr>
            <w:r>
              <w:rPr>
                <w:rFonts w:ascii="Arial" w:cs="Arial" w:eastAsia="Arial" w:hAnsi="Arial"/>
                <w:b/>
                <w:bCs/>
                <w:color w:val="66605C"/>
                <w:sz w:val="14"/>
                <w:szCs w:val="14"/>
              </w:rPr>
              <w:t xml:space="preserve">Say</w:t>
            </w:r>
          </w:p>
        </w:tc>
        <w:tc>
          <w:tcPr>
            <w:tcW w:type="dxa" w:w="6660"/>
            <w:tcBorders>
              <w:top w:val="none" w:color="FFFFFF" w:sz="0"/>
              <w:left w:val="none" w:color="FFFFFF" w:sz="0"/>
              <w:bottom w:val="single" w:color="33302E" w:sz="8"/>
              <w:right w:val="none" w:color="FFFFFF" w:sz="0"/>
            </w:tcBorders>
            <w:tcMar>
              <w:top w:type="dxa" w:w="110"/>
              <w:left w:type="dxa" w:w="160"/>
              <w:bottom w:type="dxa" w:w="110"/>
              <w:right w:type="dxa" w:w="120"/>
            </w:tcMar>
          </w:tcPr>
          <w:p>
            <w:pPr>
              <w:spacing w:after="0" w:line="280"/>
            </w:pPr>
            <w:r>
              <w:rPr>
                <w:rFonts w:ascii="Arial" w:cs="Arial" w:eastAsia="Arial" w:hAnsi="Arial"/>
                <w:b/>
                <w:bCs/>
                <w:color w:val="66605C"/>
                <w:sz w:val="14"/>
                <w:szCs w:val="14"/>
              </w:rPr>
              <w:t xml:space="preserve">Instead of, and why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Agentic Finance 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Strategy.</w:t>
            </w:r>
            <w:r>
              <w:t xml:space="preserve"> Reads as IT or Chief Data Office work and draws requests the role isn't built for.</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Enablement.</w:t>
            </w:r>
            <w:r>
              <w:t xml:space="preserve"> In AI, enablement teams often build platforms and deploy tooling, which implies execution.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Transformation.</w:t>
            </w:r>
            <w:r>
              <w:t xml:space="preserve"> Implies owning delivery of agents, and may overlap with PIT.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Head of</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Lead.</w:t>
            </w:r>
            <w:r>
              <w:t xml:space="preserve"> “Head of” signals seniority and reads better on a CV.</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Re-Imagineer (working title)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Re-Imagineer in the official title.</w:t>
            </w:r>
            <w:r>
              <w:t xml:space="preserve"> Memorable internally but not searched for externally; confirm PIT doesn't own the term; “Imagineering” is a Disney trademark.</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Process &amp;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&amp; Process.</w:t>
            </w:r>
            <w:r>
              <w:t xml:space="preserve"> Process first separates this role from the CDO and keeps “data” from dominating.</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Workflows and their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lineage, data map.</w:t>
            </w:r>
            <w:r>
              <w:t xml:space="preserve"> “Workflow” is the word the research and AI teams use; lineage is data-engineering language.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What it means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Semantic layer.</w:t>
            </w:r>
            <w:r>
              <w:t xml:space="preserve"> A specific piece of data architecture that pulls the conversation into CDO territory.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Meaning in each workflow</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Enterprise data dictionary, business glossary.</w:t>
            </w:r>
            <w:r>
              <w:t xml:space="preserve"> Keeps scope to the workflows mapped, not a multi-year governance programme.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Opportunities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Issues, backlog, remediation, audit.</w:t>
            </w:r>
            <w:r>
              <w:t xml:space="preserve"> Keeps the role front-footed rather than defensive.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At scale, faster</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Safely, safe, controls.</w:t>
            </w:r>
            <w:r>
              <w:t xml:space="preserve"> Safety language reads as defensive; risk teams own that conversation.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Agentic opportunity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Regulatory, BCBS 239, compliance.</w:t>
            </w:r>
            <w:r>
              <w:t xml:space="preserve"> The Exco wants opportunity; regulatory framing sets a defensive tone.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Leave it out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Governance, data ownership standards.</w:t>
            </w:r>
            <w:r>
              <w:t xml:space="preserve"> Pulls the role into the CDO mandate and slows it down.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 critical step</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Single biggest lever, the key reason.</w:t>
            </w:r>
            <w:r>
              <w:t xml:space="preserve"> Research ranks data and process readiness among the top barriers, not the only one.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Strategy and design</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Deliver, build, fix, execute.</w:t>
            </w:r>
            <w:r>
              <w:t xml:space="preserve"> Process owners, Product and Engineering build; the AI teams advise on what's possible.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Finance voice on agentic AI</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Face of AI, AI lead, owns AI.</w:t>
            </w:r>
            <w:r>
              <w:t xml:space="preserve"> Avoids implying ownership of AI delivery or stepping on the global AI leads.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Building that map</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Slower than hoped, lack, gap, missing.</w:t>
            </w:r>
            <w:r>
              <w:t xml:space="preserve"> Frames the role as acceleration, not a fix for failure.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Consistent use of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Single source of truth.</w:t>
            </w:r>
            <w:r>
              <w:t xml:space="preserve"> Core CDO vocabulary; fine as an outcome, but overused it reads as a governance pitch.</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Scales as demand grows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Headcount, FTE savings, capacity reduction.</w:t>
            </w:r>
            <w:r>
              <w:t xml:space="preserve"> A sensitive subject; talk about scalability and speed, not jobs.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Agent-ready data</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Data quality issues, bad data.</w:t>
            </w:r>
            <w:r>
              <w:t xml:space="preserve"> Frames the work as preparing for what's next, not criticising what exists.</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Publish once, use many times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Centralise, centralisation.</w:t>
            </w:r>
            <w:r>
              <w:t xml:space="preserve"> Centralisation is an architecture decision the CDO and technology teams own; this says the same thing without claiming it.</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What the map shows</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Problems, failures, broken.</w:t>
            </w:r>
            <w:r>
              <w:t xml:space="preserve"> Presents findings as insight the map produces, not faults in anyone's work.</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Platform owners, Product and Engineering deliver the change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We will fix the data.</w:t>
            </w:r>
            <w:r>
              <w:t xml:space="preserve"> Keeps the role on strategy and design, and out of data remediation.</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Align on one source</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Single source of truth.</w:t>
            </w:r>
            <w:r>
              <w:t xml:space="preserve"> Specific to the workflows mapped, and avoids the CDO's enterprise vocabulary.</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Simplify</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Streamline, efficiency.</w:t>
            </w:r>
            <w:r>
              <w:t xml:space="preserve"> Both can be heard as headcount cuts; “simplify” is about the work, not the people.</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In collaboration with PIT</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We redesign workflows.</w:t>
            </w:r>
            <w:r>
              <w:t xml:space="preserve"> The map shows where to simplify; PIT collaborates, and platform owners, Product and Engineering deliver.</w:t>
            </w:r>
          </w:p>
        </w:tc>
      </w:tr>
      <w:tr>
        <w:trPr>
          <w:cantSplit/>
        </w:trPr>
        <w:tc>
          <w:tcPr>
            <w:tcW w:type="dxa" w:w="2700"/>
            <w:tcBorders>
              <w:top w:val="none" w:color="FFFFFF" w:sz="0"/>
              <w:left w:val="none" w:color="FFFFFF" w:sz="0"/>
              <w:bottom w:val="single" w:color="CCC1B7" w:sz="4"/>
              <w:right w:val="none" w:color="FFFFFF" w:sz="0"/>
            </w:tcBorders>
            <w:tcMar>
              <w:top w:type="dxa" w:w="110"/>
              <w:left w:type="dxa" w:w="0"/>
              <w:bottom w:type="dxa" w:w="110"/>
              <w:right w:type="dxa" w:w="120"/>
            </w:tcMar>
          </w:tcPr>
          <w:p>
            <w:pPr>
              <w:spacing w:after="0" w:line="280"/>
            </w:pPr>
            <w:r>
              <w:rPr>
                <w:b/>
                <w:bCs/>
                <w:color w:val="33302E"/>
              </w:rPr>
              <w:t xml:space="preserve">Runs the tangle faster</w:t>
            </w:r>
          </w:p>
        </w:tc>
        <w:tc>
          <w:tcPr>
            <w:tcW w:type="dxa" w:w="6660"/>
            <w:tcBorders>
              <w:top w:val="none" w:color="FFFFFF" w:sz="0"/>
              <w:left w:val="none" w:color="FFFFFF" w:sz="0"/>
              <w:bottom w:val="single" w:color="CCC1B7" w:sz="4"/>
              <w:right w:val="none" w:color="FFFFFF" w:sz="0"/>
            </w:tcBorders>
            <w:tcMar>
              <w:top w:type="dxa" w:w="110"/>
              <w:left w:type="dxa" w:w="160"/>
              <w:bottom w:type="dxa" w:w="110"/>
              <w:right w:type="dxa" w:w="120"/>
            </w:tcMar>
          </w:tcPr>
          <w:p>
            <w:pPr>
              <w:spacing w:after="0" w:line="280"/>
            </w:pPr>
            <w:r>
              <w:rPr>
                <w:i/>
                <w:iCs/>
              </w:rPr>
              <w:t xml:space="preserve">Garbage in, garbage out; automating bad processes.</w:t>
            </w:r>
            <w:r>
              <w:t xml:space="preserve"> Makes the same point without calling anyone's data or processes bad.</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05C"/>
        <w:sz w:val="13"/>
        <w:szCs w:val="13"/>
      </w:rPr>
      <w:t xml:space="preserve">Draft for discussion   </w:t>
    </w:r>
    <w:r>
      <w:rPr>
        <w:rFonts w:ascii="Arial" w:cs="Arial" w:eastAsia="Arial" w:hAnsi="Arial"/>
        <w:color w:val="66605C"/>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990F3D"/>
      </w:rPr>
    </w:lvl>
  </w:abstractNum>
  <w:abstractNum w:abstractNumId="3" w15:restartNumberingAfterBreak="0">
    <w:multiLevelType w:val="hybridMultilevel"/>
    <w:lvl w:ilvl="0" w15:tentative="1">
      <w:start w:val="1"/>
      <w:numFmt w:val="decimal"/>
      <w:lvlText w:val="%1"/>
      <w:lvlJc w:val="left"/>
      <w:pPr>
        <w:ind w:left="360" w:hanging="300"/>
      </w:pPr>
      <w:rPr>
        <w:b/>
        <w:bCs/>
        <w:color w:val="990F3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02E"/>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val="false"/>
      <w:bCs w:val="false"/>
      <w:color w:val="33302E"/>
      <w:sz w:val="38"/>
      <w:szCs w:val="38"/>
    </w:rPr>
  </w:style>
  <w:style w:type="paragraph" w:styleId="Heading2">
    <w:name w:val="Heading 2"/>
    <w:basedOn w:val="Normal"/>
    <w:next w:val="Normal"/>
    <w:qFormat/>
    <w:pPr>
      <w:keepNext/>
      <w:pBdr>
        <w:top w:val="single" w:color="33302E" w:sz="12" w:space="8"/>
      </w:pBdr>
      <w:spacing w:after="120" w:before="360"/>
      <w:outlineLvl w:val="1"/>
    </w:pPr>
    <w:rPr>
      <w:rFonts w:ascii="Georgia" w:cs="Georgia" w:eastAsia="Georgia" w:hAnsi="Georgia"/>
      <w:b w:val="false"/>
      <w:bCs w:val="false"/>
      <w:color w:val="33302E"/>
      <w:sz w:val="24"/>
      <w:szCs w:val="24"/>
    </w:rPr>
  </w:style>
  <w:style w:type="paragraph" w:styleId="Heading3">
    <w:name w:val="Heading 3"/>
    <w:basedOn w:val="Normal"/>
    <w:next w:val="Normal"/>
    <w:qFormat/>
    <w:pPr>
      <w:keepNext/>
      <w:spacing w:after="80" w:before="220"/>
      <w:outlineLvl w:val="2"/>
    </w:pPr>
    <w:rPr>
      <w:rFonts w:ascii="Georgia" w:cs="Georgia" w:eastAsia="Georgia" w:hAnsi="Georgia"/>
      <w:b/>
      <w:bCs/>
      <w:color w:val="33302E"/>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iq4an-sjtp_scp3h2kjg" Type="http://schemas.openxmlformats.org/officeDocument/2006/relationships/hyperlink" Target="https://www.ey.com/en_us/insights/finance/dna-of-the-cfo-survey" TargetMode="External"/><Relationship Id="rId6rtij-y0ep98jnilqutl9" Type="http://schemas.openxmlformats.org/officeDocument/2006/relationships/hyperlink" Target="https://claude.com/blog/how-enterprises-are-building-ai-agents-in-2026" TargetMode="External"/><Relationship Id="rId9nfprhtsfbleuuyu6sew6" Type="http://schemas.openxmlformats.org/officeDocument/2006/relationships/hyperlink" Target="https://webberwentzel.com/News/Documents/2025/MIT1757411281972.pdf" TargetMode="External"/><Relationship Id="rIdhcleaih6geg9zrc2bav8l" Type="http://schemas.openxmlformats.org/officeDocument/2006/relationships/hyperlink" Target="https://www.mckinsey.com/capabilities/quantumblack/our-insights/one-year-of-agentic-ai-six-lessons-from-the-people-doing-the-work" TargetMode="External"/><Relationship Id="rIdppp1ksndefhdtsr76rflh" Type="http://schemas.openxmlformats.org/officeDocument/2006/relationships/hyperlink" Target="https://www.mckinsey.com/capabilities/mckinsey-technology/our-insights/building-the-foundations-for-agentic-ai-at-scale" TargetMode="External"/><Relationship Id="rIden2jhfgiji-yz7wjlykjb" Type="http://schemas.openxmlformats.org/officeDocument/2006/relationships/hyperlink" Target="https://www.gartner.com/en/newsroom/press-releases/2025-02-26-lack-of-ai-ready-data-puts-ai-projects-at-risk" TargetMode="External"/><Relationship Id="rIdx6_4vzymdo7_aewbbbf7x" Type="http://schemas.openxmlformats.org/officeDocument/2006/relationships/hyperlink" Target="https://www.gartner.com/en/newsroom/press-releases/2025-06-25-gartner-predicts-over-40-percent-of-agentic-ai-projects-will-be-canceled-by-end-of-2027" TargetMode="External"/><Relationship Id="rIdpsj00ta8yfkyzysigkmkd" Type="http://schemas.openxmlformats.org/officeDocument/2006/relationships/hyperlink" Target="https://www.ey.com/en_us/insights/finance/dna-of-the-cfo-survey" TargetMode="External"/><Relationship Id="rIdh7dcpkpy7qqetipkezzn9" Type="http://schemas.openxmlformats.org/officeDocument/2006/relationships/hyperlink" Target="https://www.celonis.com/news/press/the-enterprise-ai-reality-check-high-ambitions-meet-operational-barriers" TargetMode="External"/><Relationship Id="rIdh566rk_3tg9tv8ezhki6r" Type="http://schemas.openxmlformats.org/officeDocument/2006/relationships/hyperlink" Target="https://evidentinsights.com/insights/banking-use-case-trends-q1-2026" TargetMode="External"/><Relationship Id="rIdpygzwo-mghufspcyczlow" Type="http://schemas.openxmlformats.org/officeDocument/2006/relationships/hyperlink" Target="https://action.deloitte.com/insight/4845/banks-show-heightened-interest-in-ai-good-data" TargetMode="External"/><Relationship Id="rId5sv_idxun_jcg4wlsbrqy" Type="http://schemas.openxmlformats.org/officeDocument/2006/relationships/hyperlink" Target="https://www.citigroup.com/global/insights/agentic-ai"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2026-09-24T18:00:11.367Z</dcterms:created>
  <dcterms:modified xsi:type="dcterms:W3CDTF">2026-09-24T18:00:11.367Z</dcterms:modified>
</cp:coreProperties>
</file>

<file path=docProps/custom.xml><?xml version="1.0" encoding="utf-8"?>
<Properties xmlns="http://schemas.openxmlformats.org/officeDocument/2006/custom-properties" xmlns:vt="http://schemas.openxmlformats.org/officeDocument/2006/docPropsVTypes"/>
</file>