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80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047750"/>
                    </a:xfrm>
                    <a:prstGeom prst="rect">
                      <a:avLst/>
                    </a:prstGeom>
                  </pic:spPr>
                </pic:pic>
              </a:graphicData>
            </a:graphic>
          </wp:inline>
        </w:drawing>
      </w:r>
    </w:p>
    <w:p>
      <w:pPr>
        <w:spacing w:after="120"/>
        <w:jc w:val="center"/>
      </w:pPr>
      <w:r>
        <w:rPr>
          <w:b/>
          <w:bCs/>
          <w:color w:val="1F4E79"/>
          <w:sz w:val="48"/>
          <w:szCs w:val="48"/>
        </w:rPr>
        <w:t xml:space="preserve">Solution Analyzer &amp; Field Health Checker</w:t>
      </w:r>
    </w:p>
    <w:p>
      <w:pPr>
        <w:spacing w:after="600"/>
        <w:jc w:val="center"/>
      </w:pPr>
      <w:r>
        <w:rPr>
          <w:color w:val="605E5C"/>
          <w:sz w:val="28"/>
          <w:szCs w:val="28"/>
        </w:rPr>
        <w:t xml:space="preserve">User guide for the XrmToolBox tool</w:t>
      </w:r>
    </w:p>
    <w:p>
      <w:pPr>
        <w:spacing w:after="80"/>
        <w:jc w:val="center"/>
      </w:pPr>
      <w:r>
        <w:rPr>
          <w:color w:val="605E5C"/>
        </w:rPr>
        <w:t xml:space="preserve">Read-only data-model health checks for Microsoft Dataverse / Dynamics 365</w:t>
      </w:r>
    </w:p>
    <w:p>
      <w:pPr>
        <w:spacing w:after="80"/>
        <w:jc w:val="center"/>
      </w:pPr>
      <w:r>
        <w:rPr>
          <w:color w:val="605E5C"/>
        </w:rPr>
        <w:t xml:space="preserve">Author: Shoaib Khan</w:t>
      </w:r>
    </w:p>
    <w:p>
      <w:pPr>
        <w:jc w:val="center"/>
      </w:pPr>
      <w:r>
        <w:rPr>
          <w:color w:val="605E5C"/>
        </w:rPr>
        <w:t xml:space="preserve">October 2026</w:t>
      </w:r>
    </w:p>
    <w:p>
      <w:r>
        <w:br w:type="page"/>
      </w:r>
    </w:p>
    <w:p>
      <w:pPr>
        <w:spacing w:after="200"/>
      </w:pPr>
      <w:r>
        <w:rPr>
          <w:b/>
          <w:bCs/>
          <w:color w:val="1F4E79"/>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pPr>
      <w:r>
        <w:rPr>
          <w:i/>
          <w:iCs/>
          <w:color w:val="605E5C"/>
          <w:sz w:val="18"/>
          <w:szCs w:val="18"/>
        </w:rPr>
        <w:t xml:space="preserve">Right-click the table above and choose Update Field if page numbers are missing.</w:t>
      </w:r>
    </w:p>
    <w:p>
      <w:r>
        <w:br w:type="page"/>
      </w:r>
    </w:p>
    <w:p>
      <w:pPr>
        <w:pStyle w:val="Heading1"/>
      </w:pPr>
      <w:r>
        <w:t xml:space="preserve">1. What this tool does</w:t>
      </w:r>
    </w:p>
    <w:p>
      <w:pPr>
        <w:spacing w:after="120"/>
      </w:pPr>
      <w:r>
        <w:t xml:space="preserve">Over time every Dataverse environment collects clutter: copies of the same column created by different teams or publishers, choice fields that repeat each other, text columns sized far bigger than needed, and custom columns that nobody ever filled in. This clutter makes forms confusing, slows down reporting and makes every future change riskier.</w:t>
      </w:r>
    </w:p>
    <w:p>
      <w:pPr>
        <w:spacing w:after="120"/>
      </w:pPr>
      <w:r>
        <w:t xml:space="preserve">Solution Analyzer &amp; Field Health Checker scans your environment and produces four reports that show where that clutter is, how much real data is involved, and what you can safely do about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2D0CE" w:sz="4"/>
              <w:left w:val="single" w:color="D2D0CE" w:sz="4"/>
              <w:bottom w:val="single" w:color="D2D0CE" w:sz="4"/>
              <w:right w:val="single" w:color="D2D0CE" w:sz="4"/>
            </w:tcBorders>
            <w:shd w:fill="1F4E79" w:color="auto" w:val="clear"/>
            <w:tcMar>
              <w:top w:type="dxa" w:w="60"/>
              <w:left w:type="dxa" w:w="100"/>
              <w:bottom w:type="dxa" w:w="60"/>
              <w:right w:type="dxa" w:w="100"/>
            </w:tcMar>
          </w:tcPr>
          <w:p>
            <w:r>
              <w:rPr>
                <w:b/>
                <w:bCs/>
                <w:color w:val="FFFFFF"/>
              </w:rPr>
              <w:t xml:space="preserve">Report</w:t>
            </w:r>
          </w:p>
        </w:tc>
        <w:tc>
          <w:tcPr>
            <w:tcW w:type="dxa" w:w="6026"/>
            <w:tcBorders>
              <w:top w:val="single" w:color="D2D0CE" w:sz="4"/>
              <w:left w:val="single" w:color="D2D0CE" w:sz="4"/>
              <w:bottom w:val="single" w:color="D2D0CE" w:sz="4"/>
              <w:right w:val="single" w:color="D2D0CE" w:sz="4"/>
            </w:tcBorders>
            <w:shd w:fill="1F4E79" w:color="auto" w:val="clear"/>
            <w:tcMar>
              <w:top w:type="dxa" w:w="60"/>
              <w:left w:type="dxa" w:w="100"/>
              <w:bottom w:type="dxa" w:w="60"/>
              <w:right w:type="dxa" w:w="100"/>
            </w:tcMar>
          </w:tcPr>
          <w:p>
            <w:r>
              <w:rPr>
                <w:b/>
                <w:bCs/>
                <w:color w:val="FFFFFF"/>
              </w:rPr>
              <w:t xml:space="preserve">Question it answers</w:t>
            </w:r>
          </w:p>
        </w:tc>
      </w:tr>
      <w:tr>
        <w:tc>
          <w:tcPr>
            <w:tcW w:type="dxa" w:w="3000"/>
            <w:tcBorders>
              <w:top w:val="single" w:color="D2D0CE" w:sz="4"/>
              <w:left w:val="single" w:color="D2D0CE" w:sz="4"/>
              <w:bottom w:val="single" w:color="D2D0CE" w:sz="4"/>
              <w:right w:val="single" w:color="D2D0CE" w:sz="4"/>
            </w:tcBorders>
            <w:tcMar>
              <w:top w:type="dxa" w:w="60"/>
              <w:left w:type="dxa" w:w="100"/>
              <w:bottom w:type="dxa" w:w="60"/>
              <w:right w:type="dxa" w:w="100"/>
            </w:tcMar>
          </w:tcPr>
          <w:p>
            <w:r>
              <w:rPr>
                <w:b/>
                <w:bCs/>
              </w:rPr>
              <w:t xml:space="preserve">1  Similar fields + fill %</w:t>
            </w:r>
          </w:p>
        </w:tc>
        <w:tc>
          <w:tcPr>
            <w:tcW w:type="dxa" w:w="6026"/>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Do we have look-alike columns (e.g. msemr_subject and xyz_subject), and which of them actually hold data?</w:t>
            </w:r>
          </w:p>
        </w:tc>
      </w:tr>
      <w:tr>
        <w:tc>
          <w:tcPr>
            <w:tcW w:type="dxa" w:w="3000"/>
            <w:tcBorders>
              <w:top w:val="single" w:color="D2D0CE" w:sz="4"/>
              <w:left w:val="single" w:color="D2D0CE" w:sz="4"/>
              <w:bottom w:val="single" w:color="D2D0CE" w:sz="4"/>
              <w:right w:val="single" w:color="D2D0CE" w:sz="4"/>
            </w:tcBorders>
            <w:tcMar>
              <w:top w:type="dxa" w:w="60"/>
              <w:left w:type="dxa" w:w="100"/>
              <w:bottom w:type="dxa" w:w="60"/>
              <w:right w:type="dxa" w:w="100"/>
            </w:tcMar>
          </w:tcPr>
          <w:p>
            <w:r>
              <w:rPr>
                <w:b/>
                <w:bCs/>
              </w:rPr>
              <w:t xml:space="preserve">2  Duplicate option sets</w:t>
            </w:r>
          </w:p>
        </w:tc>
        <w:tc>
          <w:tcPr>
            <w:tcW w:type="dxa" w:w="6026"/>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Do choice fields repeat each other, or copy an existing global option set?</w:t>
            </w:r>
          </w:p>
        </w:tc>
      </w:tr>
      <w:tr>
        <w:tc>
          <w:tcPr>
            <w:tcW w:type="dxa" w:w="3000"/>
            <w:tcBorders>
              <w:top w:val="single" w:color="D2D0CE" w:sz="4"/>
              <w:left w:val="single" w:color="D2D0CE" w:sz="4"/>
              <w:bottom w:val="single" w:color="D2D0CE" w:sz="4"/>
              <w:right w:val="single" w:color="D2D0CE" w:sz="4"/>
            </w:tcBorders>
            <w:tcMar>
              <w:top w:type="dxa" w:w="60"/>
              <w:left w:type="dxa" w:w="100"/>
              <w:bottom w:type="dxa" w:w="60"/>
              <w:right w:type="dxa" w:w="100"/>
            </w:tcMar>
          </w:tcPr>
          <w:p>
            <w:r>
              <w:rPr>
                <w:b/>
                <w:bCs/>
              </w:rPr>
              <w:t xml:space="preserve">3  Field length usage</w:t>
            </w:r>
          </w:p>
        </w:tc>
        <w:tc>
          <w:tcPr>
            <w:tcW w:type="dxa" w:w="6026"/>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Are text columns sized much bigger than the longest value ever stored?</w:t>
            </w:r>
          </w:p>
        </w:tc>
      </w:tr>
      <w:tr>
        <w:tc>
          <w:tcPr>
            <w:tcW w:type="dxa" w:w="3000"/>
            <w:tcBorders>
              <w:top w:val="single" w:color="D2D0CE" w:sz="4"/>
              <w:left w:val="single" w:color="D2D0CE" w:sz="4"/>
              <w:bottom w:val="single" w:color="D2D0CE" w:sz="4"/>
              <w:right w:val="single" w:color="D2D0CE" w:sz="4"/>
            </w:tcBorders>
            <w:tcMar>
              <w:top w:type="dxa" w:w="60"/>
              <w:left w:type="dxa" w:w="100"/>
              <w:bottom w:type="dxa" w:w="60"/>
              <w:right w:type="dxa" w:w="100"/>
            </w:tcMar>
          </w:tcPr>
          <w:p>
            <w:r>
              <w:rPr>
                <w:b/>
                <w:bCs/>
              </w:rPr>
              <w:t xml:space="preserve">4  Unused fields</w:t>
            </w:r>
          </w:p>
        </w:tc>
        <w:tc>
          <w:tcPr>
            <w:tcW w:type="dxa" w:w="6026"/>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Which custom columns are completely empty, and is anything still referencing them?</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F4E79" w:sz="24"/>
              <w:bottom w:val="none" w:color="FFFFFF" w:sz="0"/>
              <w:right w:val="none" w:color="FFFFFF" w:sz="0"/>
            </w:tcBorders>
            <w:shd w:fill="DEECF9" w:color="auto" w:val="clear"/>
            <w:tcMar>
              <w:top w:type="dxa" w:w="100"/>
              <w:left w:type="dxa" w:w="180"/>
              <w:bottom w:type="dxa" w:w="100"/>
              <w:right w:type="dxa" w:w="180"/>
            </w:tcMar>
          </w:tcPr>
          <w:p>
            <w:r>
              <w:rPr>
                <w:b/>
                <w:bCs/>
                <w:color w:val="1F4E79"/>
              </w:rPr>
              <w:t xml:space="preserve">Safe by design.  </w:t>
            </w:r>
            <w:r>
              <w:t xml:space="preserve">The tool is read-only. It never creates, updates or deletes anything in your environment. Even the optional delete script it can generate has every command commented out.</w:t>
            </w:r>
          </w:p>
        </w:tc>
      </w:tr>
    </w:tbl>
    <w:p>
      <w:pPr>
        <w:spacing w:after="60"/>
      </w:pPr>
    </w:p>
    <w:p>
      <w:pPr>
        <w:pStyle w:val="Heading1"/>
      </w:pPr>
      <w:r>
        <w:t xml:space="preserve">2. Before you start</w:t>
      </w:r>
    </w:p>
    <w:p>
      <w:pPr>
        <w:pStyle w:val="Heading2"/>
      </w:pPr>
      <w:r>
        <w:t xml:space="preserve">2.1 What you need</w:t>
      </w:r>
    </w:p>
    <w:p>
      <w:pPr>
        <w:pStyle w:val="ListParagraph"/>
        <w:numPr>
          <w:ilvl w:val="0"/>
          <w:numId w:val="2"/>
        </w:numPr>
        <w:spacing w:after="60"/>
      </w:pPr>
      <w:r>
        <w:rPr>
          <w:b/>
          <w:bCs/>
        </w:rPr>
        <w:t xml:space="preserve">XrmToolBox</w:t>
      </w:r>
      <w:r>
        <w:t xml:space="preserve"> (latest version recommended) on a Windows PC.</w:t>
      </w:r>
    </w:p>
    <w:p>
      <w:pPr>
        <w:pStyle w:val="ListParagraph"/>
        <w:numPr>
          <w:ilvl w:val="0"/>
          <w:numId w:val="2"/>
        </w:numPr>
        <w:spacing w:after="60"/>
      </w:pPr>
      <w:r>
        <w:rPr>
          <w:b/>
          <w:bCs/>
        </w:rPr>
        <w:t xml:space="preserve">A connection</w:t>
      </w:r>
      <w:r>
        <w:t xml:space="preserve"> to the Dataverse / Dynamics 365 environment you want to check.</w:t>
      </w:r>
    </w:p>
    <w:p>
      <w:pPr>
        <w:pStyle w:val="ListParagraph"/>
        <w:numPr>
          <w:ilvl w:val="0"/>
          <w:numId w:val="2"/>
        </w:numPr>
        <w:spacing w:after="60"/>
      </w:pPr>
      <w:r>
        <w:rPr>
          <w:b/>
          <w:bCs/>
        </w:rPr>
        <w:t xml:space="preserve">Read access</w:t>
      </w:r>
      <w:r>
        <w:t xml:space="preserve"> to table and column metadata, solutions and solution components, and read access to the records of the tables you analyse. A System Customizer or System Administrator role covers this.</w:t>
      </w:r>
    </w:p>
    <w:p>
      <w:pPr>
        <w:pStyle w:val="Heading2"/>
      </w:pPr>
      <w:r>
        <w:t xml:space="preserve">2.2 Install the tool</w:t>
      </w:r>
    </w:p>
    <w:p>
      <w:pPr>
        <w:pStyle w:val="Heading3"/>
      </w:pPr>
      <w:r>
        <w:t xml:space="preserve">Option A - from the XrmToolBox Tool Library (once published)</w:t>
      </w:r>
    </w:p>
    <w:p>
      <w:pPr>
        <w:pStyle w:val="ListParagraph"/>
        <w:numPr>
          <w:ilvl w:val="0"/>
          <w:numId w:val="3"/>
        </w:numPr>
        <w:spacing w:after="80"/>
      </w:pPr>
      <w:r>
        <w:t xml:space="preserve">Open XrmToolBox and click Configuration &gt; Tool Library.</w:t>
      </w:r>
    </w:p>
    <w:p>
      <w:pPr>
        <w:pStyle w:val="ListParagraph"/>
        <w:numPr>
          <w:ilvl w:val="0"/>
          <w:numId w:val="3"/>
        </w:numPr>
        <w:spacing w:after="80"/>
      </w:pPr>
      <w:r>
        <w:t xml:space="preserve">Search for "Solution Analyzer".</w:t>
      </w:r>
    </w:p>
    <w:p>
      <w:pPr>
        <w:pStyle w:val="ListParagraph"/>
        <w:numPr>
          <w:ilvl w:val="0"/>
          <w:numId w:val="3"/>
        </w:numPr>
        <w:spacing w:after="80"/>
      </w:pPr>
      <w:r>
        <w:t xml:space="preserve">Tick the tool, click Install, then restart XrmToolBox when asked.</w:t>
      </w:r>
    </w:p>
    <w:p>
      <w:pPr>
        <w:pStyle w:val="Heading3"/>
      </w:pPr>
      <w:r>
        <w:t xml:space="preserve">Option B - manual install from a DLL</w:t>
      </w:r>
    </w:p>
    <w:p>
      <w:pPr>
        <w:pStyle w:val="ListParagraph"/>
        <w:numPr>
          <w:ilvl w:val="0"/>
          <w:numId w:val="4"/>
        </w:numPr>
        <w:spacing w:after="80"/>
      </w:pPr>
      <w:r>
        <w:t xml:space="preserve">Close XrmToolBox.</w:t>
      </w:r>
    </w:p>
    <w:p>
      <w:pPr>
        <w:pStyle w:val="ListParagraph"/>
        <w:numPr>
          <w:ilvl w:val="0"/>
          <w:numId w:val="4"/>
        </w:numPr>
        <w:spacing w:after="80"/>
      </w:pPr>
      <w:r>
        <w:t xml:space="preserve">Copy </w:t>
      </w:r>
      <w:r>
        <w:rPr>
          <w:rFonts w:ascii="Consolas" w:cs="Consolas" w:eastAsia="Consolas" w:hAnsi="Consolas"/>
          <w:color w:val="1F1F1F"/>
          <w:sz w:val="19"/>
          <w:szCs w:val="19"/>
          <w:shd w:fill="F3F2F1" w:color="auto" w:val="clear"/>
        </w:rPr>
        <w:t xml:space="preserve">SolutionAnalyzerFieldHealthChecker.dll</w:t>
      </w:r>
      <w:r>
        <w:t xml:space="preserve"> into </w:t>
      </w:r>
      <w:r>
        <w:rPr>
          <w:rFonts w:ascii="Consolas" w:cs="Consolas" w:eastAsia="Consolas" w:hAnsi="Consolas"/>
          <w:color w:val="1F1F1F"/>
          <w:sz w:val="19"/>
          <w:szCs w:val="19"/>
          <w:shd w:fill="F3F2F1" w:color="auto" w:val="clear"/>
        </w:rPr>
        <w:t xml:space="preserve">%AppData%\MscrmTools\XrmToolBox\Plugins</w:t>
      </w:r>
      <w:r>
        <w:t xml:space="preserve"> (paste that path into the File Explorer address bar).</w:t>
      </w:r>
    </w:p>
    <w:p>
      <w:pPr>
        <w:pStyle w:val="ListParagraph"/>
        <w:numPr>
          <w:ilvl w:val="0"/>
          <w:numId w:val="4"/>
        </w:numPr>
        <w:spacing w:after="80"/>
      </w:pPr>
      <w:r>
        <w:t xml:space="preserve">If Windows blocked the file (downloaded from email or the web): right-click it &gt; Properties &gt; tick Unblock &gt; OK.</w:t>
      </w:r>
    </w:p>
    <w:p>
      <w:pPr>
        <w:pStyle w:val="ListParagraph"/>
        <w:numPr>
          <w:ilvl w:val="0"/>
          <w:numId w:val="4"/>
        </w:numPr>
        <w:spacing w:after="80"/>
      </w:pPr>
      <w:r>
        <w:t xml:space="preserve">Start XrmToolBox. The tool appears in the tool list with its blue logo.</w:t>
      </w:r>
    </w:p>
    <w:p>
      <w:pPr>
        <w:spacing w:after="60"/>
      </w:pPr>
    </w:p>
    <w:p>
      <w:pPr>
        <w:pStyle w:val="Heading1"/>
      </w:pPr>
      <w:r>
        <w:t xml:space="preserve">3. A quick tour of the screen</w:t>
      </w:r>
    </w:p>
    <w:p>
      <w:pPr>
        <w:spacing w:after="120"/>
      </w:pPr>
      <w:r>
        <w:t xml:space="preserve">The screen is split into three areas: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D2D0CE" w:sz="4"/>
              <w:left w:val="single" w:color="D2D0CE" w:sz="4"/>
              <w:bottom w:val="single" w:color="D2D0CE" w:sz="4"/>
              <w:right w:val="single" w:color="D2D0CE" w:sz="4"/>
            </w:tcBorders>
            <w:shd w:fill="1F4E79" w:color="auto" w:val="clear"/>
            <w:tcMar>
              <w:top w:type="dxa" w:w="60"/>
              <w:left w:type="dxa" w:w="100"/>
              <w:bottom w:type="dxa" w:w="60"/>
              <w:right w:type="dxa" w:w="100"/>
            </w:tcMar>
          </w:tcPr>
          <w:p>
            <w:r>
              <w:rPr>
                <w:b/>
                <w:bCs/>
                <w:color w:val="FFFFFF"/>
              </w:rPr>
              <w:t xml:space="preserve">Area</w:t>
            </w:r>
          </w:p>
        </w:tc>
        <w:tc>
          <w:tcPr>
            <w:tcW w:type="dxa" w:w="6626"/>
            <w:tcBorders>
              <w:top w:val="single" w:color="D2D0CE" w:sz="4"/>
              <w:left w:val="single" w:color="D2D0CE" w:sz="4"/>
              <w:bottom w:val="single" w:color="D2D0CE" w:sz="4"/>
              <w:right w:val="single" w:color="D2D0CE" w:sz="4"/>
            </w:tcBorders>
            <w:shd w:fill="1F4E79" w:color="auto" w:val="clear"/>
            <w:tcMar>
              <w:top w:type="dxa" w:w="60"/>
              <w:left w:type="dxa" w:w="100"/>
              <w:bottom w:type="dxa" w:w="60"/>
              <w:right w:type="dxa" w:w="100"/>
            </w:tcMar>
          </w:tcPr>
          <w:p>
            <w:r>
              <w:rPr>
                <w:b/>
                <w:bCs/>
                <w:color w:val="FFFFFF"/>
              </w:rPr>
              <w:t xml:space="preserve">What you find there</w:t>
            </w:r>
          </w:p>
        </w:tc>
      </w:tr>
      <w:tr>
        <w:tc>
          <w:tcPr>
            <w:tcW w:type="dxa" w:w="2400"/>
            <w:tcBorders>
              <w:top w:val="single" w:color="D2D0CE" w:sz="4"/>
              <w:left w:val="single" w:color="D2D0CE" w:sz="4"/>
              <w:bottom w:val="single" w:color="D2D0CE" w:sz="4"/>
              <w:right w:val="single" w:color="D2D0CE" w:sz="4"/>
            </w:tcBorders>
            <w:tcMar>
              <w:top w:type="dxa" w:w="60"/>
              <w:left w:type="dxa" w:w="100"/>
              <w:bottom w:type="dxa" w:w="60"/>
              <w:right w:type="dxa" w:w="100"/>
            </w:tcMar>
          </w:tcPr>
          <w:p>
            <w:r>
              <w:rPr>
                <w:b/>
                <w:bCs/>
              </w:rPr>
              <w:t xml:space="preserve">Left panel</w:t>
            </w:r>
          </w:p>
        </w:tc>
        <w:tc>
          <w:tcPr>
            <w:tcW w:type="dxa" w:w="6626"/>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The four steps you follow: Step 1 Load, Step 2 Scope &amp; filters (collapsible), Step 3 Run a report, Step 4 Export &amp; clean-up.</w:t>
            </w:r>
          </w:p>
        </w:tc>
      </w:tr>
      <w:tr>
        <w:tc>
          <w:tcPr>
            <w:tcW w:type="dxa" w:w="2400"/>
            <w:tcBorders>
              <w:top w:val="single" w:color="D2D0CE" w:sz="4"/>
              <w:left w:val="single" w:color="D2D0CE" w:sz="4"/>
              <w:bottom w:val="single" w:color="D2D0CE" w:sz="4"/>
              <w:right w:val="single" w:color="D2D0CE" w:sz="4"/>
            </w:tcBorders>
            <w:tcMar>
              <w:top w:type="dxa" w:w="60"/>
              <w:left w:type="dxa" w:w="100"/>
              <w:bottom w:type="dxa" w:w="60"/>
              <w:right w:type="dxa" w:w="100"/>
            </w:tcMar>
          </w:tcPr>
          <w:p>
            <w:r>
              <w:rPr>
                <w:b/>
                <w:bCs/>
              </w:rPr>
              <w:t xml:space="preserve">Report tabs (right)</w:t>
            </w:r>
          </w:p>
        </w:tc>
        <w:tc>
          <w:tcPr>
            <w:tcW w:type="dxa" w:w="6626"/>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One coloured tab per report. Each tab has a one-line description, a 'How to read this report' link, summary cards, a search box and the results table.</w:t>
            </w:r>
          </w:p>
        </w:tc>
      </w:tr>
      <w:tr>
        <w:tc>
          <w:tcPr>
            <w:tcW w:type="dxa" w:w="2400"/>
            <w:tcBorders>
              <w:top w:val="single" w:color="D2D0CE" w:sz="4"/>
              <w:left w:val="single" w:color="D2D0CE" w:sz="4"/>
              <w:bottom w:val="single" w:color="D2D0CE" w:sz="4"/>
              <w:right w:val="single" w:color="D2D0CE" w:sz="4"/>
            </w:tcBorders>
            <w:tcMar>
              <w:top w:type="dxa" w:w="60"/>
              <w:left w:type="dxa" w:w="100"/>
              <w:bottom w:type="dxa" w:w="60"/>
              <w:right w:type="dxa" w:w="100"/>
            </w:tcMar>
          </w:tcPr>
          <w:p>
            <w:r>
              <w:rPr>
                <w:b/>
                <w:bCs/>
              </w:rPr>
              <w:t xml:space="preserve">Bottom strip</w:t>
            </w:r>
          </w:p>
        </w:tc>
        <w:tc>
          <w:tcPr>
            <w:tcW w:type="dxa" w:w="6626"/>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The Activity log (left, 70%) shows progress and errors. The Colour key (right, 30%) explains the status colours.</w:t>
            </w:r>
          </w:p>
        </w:tc>
      </w:tr>
    </w:tbl>
    <w:p>
      <w:pPr>
        <w:spacing w:after="60"/>
      </w:pPr>
    </w:p>
    <w:p>
      <w:pPr>
        <w:pStyle w:val="Heading2"/>
      </w:pPr>
      <w:r>
        <w:t xml:space="preserve">3.1 Colour key</w:t>
      </w:r>
    </w:p>
    <w:p>
      <w:pPr>
        <w:spacing w:after="120"/>
      </w:pPr>
      <w:r>
        <w:t xml:space="preserve">Every result row has a coloured status. The colours mean the same thing in every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2D0CE" w:sz="4"/>
              <w:left w:val="single" w:color="D2D0CE" w:sz="4"/>
              <w:bottom w:val="single" w:color="D2D0CE" w:sz="4"/>
              <w:right w:val="single" w:color="D2D0CE" w:sz="4"/>
            </w:tcBorders>
            <w:shd w:fill="1F4E79" w:color="auto" w:val="clear"/>
            <w:tcMar>
              <w:top w:type="dxa" w:w="60"/>
              <w:left w:type="dxa" w:w="100"/>
              <w:bottom w:type="dxa" w:w="60"/>
              <w:right w:type="dxa" w:w="100"/>
            </w:tcMar>
          </w:tcPr>
          <w:p>
            <w:r>
              <w:rPr>
                <w:b/>
                <w:bCs/>
                <w:color w:val="FFFFFF"/>
              </w:rPr>
              <w:t xml:space="preserve">Colour</w:t>
            </w:r>
          </w:p>
        </w:tc>
        <w:tc>
          <w:tcPr>
            <w:tcW w:type="dxa" w:w="6026"/>
            <w:tcBorders>
              <w:top w:val="single" w:color="D2D0CE" w:sz="4"/>
              <w:left w:val="single" w:color="D2D0CE" w:sz="4"/>
              <w:bottom w:val="single" w:color="D2D0CE" w:sz="4"/>
              <w:right w:val="single" w:color="D2D0CE" w:sz="4"/>
            </w:tcBorders>
            <w:shd w:fill="1F4E79" w:color="auto" w:val="clear"/>
            <w:tcMar>
              <w:top w:type="dxa" w:w="60"/>
              <w:left w:type="dxa" w:w="100"/>
              <w:bottom w:type="dxa" w:w="60"/>
              <w:right w:type="dxa" w:w="100"/>
            </w:tcMar>
          </w:tcPr>
          <w:p>
            <w:r>
              <w:rPr>
                <w:b/>
                <w:bCs/>
                <w:color w:val="FFFFFF"/>
              </w:rPr>
              <w:t xml:space="preserve">Meaning</w:t>
            </w:r>
          </w:p>
        </w:tc>
      </w:tr>
      <w:tr>
        <w:tc>
          <w:tcPr>
            <w:tcW w:type="dxa" w:w="3000"/>
            <w:tcBorders>
              <w:top w:val="single" w:color="D2D0CE" w:sz="4"/>
              <w:left w:val="single" w:color="D2D0CE" w:sz="4"/>
              <w:bottom w:val="single" w:color="D2D0CE" w:sz="4"/>
              <w:right w:val="single" w:color="D2D0CE" w:sz="4"/>
            </w:tcBorders>
            <w:shd w:fill="FDE2E1" w:color="auto" w:val="clear"/>
            <w:tcMar>
              <w:top w:type="dxa" w:w="60"/>
              <w:left w:type="dxa" w:w="100"/>
              <w:bottom w:type="dxa" w:w="60"/>
              <w:right w:type="dxa" w:w="100"/>
            </w:tcMar>
          </w:tcPr>
          <w:p>
            <w:r>
              <w:rPr>
                <w:b/>
                <w:bCs/>
              </w:rPr>
              <w:t xml:space="preserve">Clean-up candidate</w:t>
            </w:r>
          </w:p>
        </w:tc>
        <w:tc>
          <w:tcPr>
            <w:tcW w:type="dxa" w:w="6026"/>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Not used - can probably be removed</w:t>
            </w:r>
          </w:p>
        </w:tc>
      </w:tr>
      <w:tr>
        <w:tc>
          <w:tcPr>
            <w:tcW w:type="dxa" w:w="3000"/>
            <w:tcBorders>
              <w:top w:val="single" w:color="D2D0CE" w:sz="4"/>
              <w:left w:val="single" w:color="D2D0CE" w:sz="4"/>
              <w:bottom w:val="single" w:color="D2D0CE" w:sz="4"/>
              <w:right w:val="single" w:color="D2D0CE" w:sz="4"/>
            </w:tcBorders>
            <w:shd w:fill="FFF4CE" w:color="auto" w:val="clear"/>
            <w:tcMar>
              <w:top w:type="dxa" w:w="60"/>
              <w:left w:type="dxa" w:w="100"/>
              <w:bottom w:type="dxa" w:w="60"/>
              <w:right w:type="dxa" w:w="100"/>
            </w:tcMar>
          </w:tcPr>
          <w:p>
            <w:r>
              <w:rPr>
                <w:b/>
                <w:bCs/>
              </w:rPr>
              <w:t xml:space="preserve">Needs review</w:t>
            </w:r>
          </w:p>
        </w:tc>
        <w:tc>
          <w:tcPr>
            <w:tcW w:type="dxa" w:w="6026"/>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Worth a closer look before acting</w:t>
            </w:r>
          </w:p>
        </w:tc>
      </w:tr>
      <w:tr>
        <w:tc>
          <w:tcPr>
            <w:tcW w:type="dxa" w:w="3000"/>
            <w:tcBorders>
              <w:top w:val="single" w:color="D2D0CE" w:sz="4"/>
              <w:left w:val="single" w:color="D2D0CE" w:sz="4"/>
              <w:bottom w:val="single" w:color="D2D0CE" w:sz="4"/>
              <w:right w:val="single" w:color="D2D0CE" w:sz="4"/>
            </w:tcBorders>
            <w:shd w:fill="DEECF9" w:color="auto" w:val="clear"/>
            <w:tcMar>
              <w:top w:type="dxa" w:w="60"/>
              <w:left w:type="dxa" w:w="100"/>
              <w:bottom w:type="dxa" w:w="60"/>
              <w:right w:type="dxa" w:w="100"/>
            </w:tcMar>
          </w:tcPr>
          <w:p>
            <w:r>
              <w:rPr>
                <w:b/>
                <w:bCs/>
              </w:rPr>
              <w:t xml:space="preserve">Suggestion</w:t>
            </w:r>
          </w:p>
        </w:tc>
        <w:tc>
          <w:tcPr>
            <w:tcW w:type="dxa" w:w="6026"/>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Design improvement to consider</w:t>
            </w:r>
          </w:p>
        </w:tc>
      </w:tr>
      <w:tr>
        <w:tc>
          <w:tcPr>
            <w:tcW w:type="dxa" w:w="3000"/>
            <w:tcBorders>
              <w:top w:val="single" w:color="D2D0CE" w:sz="4"/>
              <w:left w:val="single" w:color="D2D0CE" w:sz="4"/>
              <w:bottom w:val="single" w:color="D2D0CE" w:sz="4"/>
              <w:right w:val="single" w:color="D2D0CE" w:sz="4"/>
            </w:tcBorders>
            <w:shd w:fill="DFF6DD" w:color="auto" w:val="clear"/>
            <w:tcMar>
              <w:top w:type="dxa" w:w="60"/>
              <w:left w:type="dxa" w:w="100"/>
              <w:bottom w:type="dxa" w:w="60"/>
              <w:right w:type="dxa" w:w="100"/>
            </w:tcMar>
          </w:tcPr>
          <w:p>
            <w:r>
              <w:rPr>
                <w:b/>
                <w:bCs/>
              </w:rPr>
              <w:t xml:space="preserve">Healthy</w:t>
            </w:r>
          </w:p>
        </w:tc>
        <w:tc>
          <w:tcPr>
            <w:tcW w:type="dxa" w:w="6026"/>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Nothing to do</w:t>
            </w:r>
          </w:p>
        </w:tc>
      </w:tr>
      <w:tr>
        <w:tc>
          <w:tcPr>
            <w:tcW w:type="dxa" w:w="3000"/>
            <w:tcBorders>
              <w:top w:val="single" w:color="D2D0CE" w:sz="4"/>
              <w:left w:val="single" w:color="D2D0CE" w:sz="4"/>
              <w:bottom w:val="single" w:color="D2D0CE" w:sz="4"/>
              <w:right w:val="single" w:color="D2D0CE" w:sz="4"/>
            </w:tcBorders>
            <w:shd w:fill="EDEBE9" w:color="auto" w:val="clear"/>
            <w:tcMar>
              <w:top w:type="dxa" w:w="60"/>
              <w:left w:type="dxa" w:w="100"/>
              <w:bottom w:type="dxa" w:w="60"/>
              <w:right w:type="dxa" w:w="100"/>
            </w:tcMar>
          </w:tcPr>
          <w:p>
            <w:r>
              <w:rPr>
                <w:b/>
                <w:bCs/>
              </w:rPr>
              <w:t xml:space="preserve">No data</w:t>
            </w:r>
          </w:p>
        </w:tc>
        <w:tc>
          <w:tcPr>
            <w:tcW w:type="dxa" w:w="6026"/>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No records to judge yet</w:t>
            </w:r>
          </w:p>
        </w:tc>
      </w:tr>
    </w:tbl>
    <w:p>
      <w:pPr>
        <w:spacing w:after="60"/>
      </w:pPr>
    </w:p>
    <w:p>
      <w:pPr>
        <w:pStyle w:val="Heading2"/>
      </w:pPr>
      <w:r>
        <w:t xml:space="preserve">3.2 Summary cards, search and tooltips</w:t>
      </w:r>
    </w:p>
    <w:p>
      <w:pPr>
        <w:pStyle w:val="ListParagraph"/>
        <w:numPr>
          <w:ilvl w:val="0"/>
          <w:numId w:val="2"/>
        </w:numPr>
        <w:spacing w:after="60"/>
      </w:pPr>
      <w:r>
        <w:rPr>
          <w:b/>
          <w:bCs/>
        </w:rPr>
        <w:t xml:space="preserve">Summary cards</w:t>
      </w:r>
      <w:r>
        <w:t xml:space="preserve"> above each table show how many rows have each status, e.g. "83 Over-provisioned". Click a card to show only those rows; click "All results" to clear it.</w:t>
      </w:r>
    </w:p>
    <w:p>
      <w:pPr>
        <w:pStyle w:val="ListParagraph"/>
        <w:numPr>
          <w:ilvl w:val="0"/>
          <w:numId w:val="2"/>
        </w:numPr>
        <w:spacing w:after="60"/>
      </w:pPr>
      <w:r>
        <w:rPr>
          <w:b/>
          <w:bCs/>
        </w:rPr>
        <w:t xml:space="preserve">Search</w:t>
      </w:r>
      <w:r>
        <w:t xml:space="preserve"> filters the rows by any text - a table name, a field name, a value. It works together with the card filter. The counter shows "Showing X of Y rows".</w:t>
      </w:r>
    </w:p>
    <w:p>
      <w:pPr>
        <w:pStyle w:val="ListParagraph"/>
        <w:numPr>
          <w:ilvl w:val="0"/>
          <w:numId w:val="2"/>
        </w:numPr>
        <w:spacing w:after="60"/>
      </w:pPr>
      <w:r>
        <w:rPr>
          <w:b/>
          <w:bCs/>
        </w:rPr>
        <w:t xml:space="preserve">Tooltips</w:t>
      </w:r>
      <w:r>
        <w:t xml:space="preserve">: hover over any column heading, setting or button to see what it means.</w:t>
      </w:r>
    </w:p>
    <w:p>
      <w:pPr>
        <w:pStyle w:val="ListParagraph"/>
        <w:numPr>
          <w:ilvl w:val="0"/>
          <w:numId w:val="2"/>
        </w:numPr>
        <w:spacing w:after="60"/>
      </w:pPr>
      <w:r>
        <w:rPr>
          <w:b/>
          <w:bCs/>
        </w:rPr>
        <w:t xml:space="preserve">Percent columns</w:t>
      </w:r>
      <w:r>
        <w:t xml:space="preserve"> (Fill %, Utilisation %, Similarity %) include a small bar so you can compare values at a glance.</w:t>
      </w:r>
    </w:p>
    <w:p>
      <w:pPr>
        <w:spacing w:after="60"/>
      </w:pPr>
    </w:p>
    <w:p>
      <w:pPr>
        <w:pStyle w:val="Heading1"/>
      </w:pPr>
      <w:r>
        <w:t xml:space="preserve">4. Running a health check, step by step</w:t>
      </w:r>
    </w:p>
    <w:p>
      <w:pPr>
        <w:pStyle w:val="ListParagraph"/>
        <w:numPr>
          <w:ilvl w:val="0"/>
          <w:numId w:val="5"/>
        </w:numPr>
        <w:spacing w:after="80"/>
      </w:pPr>
      <w:r>
        <w:rPr>
          <w:b/>
          <w:bCs/>
        </w:rPr>
        <w:t xml:space="preserve">Connect. </w:t>
      </w:r>
      <w:r>
        <w:t xml:space="preserve">In XrmToolBox, connect to the environment and open the tool.</w:t>
      </w:r>
    </w:p>
    <w:p>
      <w:pPr>
        <w:pStyle w:val="ListParagraph"/>
        <w:numPr>
          <w:ilvl w:val="0"/>
          <w:numId w:val="5"/>
        </w:numPr>
        <w:spacing w:after="80"/>
      </w:pPr>
      <w:r>
        <w:rPr>
          <w:b/>
          <w:bCs/>
        </w:rPr>
        <w:t xml:space="preserve">Step 1 - Load. </w:t>
      </w:r>
      <w:r>
        <w:t xml:space="preserve">Click Load metadata &amp; solutions. When it finishes you see e.g. "Loaded 2,545 tables and 100 solutions". (If you skip this, the first report loads it for you.)</w:t>
      </w:r>
    </w:p>
    <w:p>
      <w:pPr>
        <w:pStyle w:val="ListParagraph"/>
        <w:numPr>
          <w:ilvl w:val="0"/>
          <w:numId w:val="5"/>
        </w:numPr>
        <w:spacing w:after="80"/>
      </w:pPr>
      <w:r>
        <w:rPr>
          <w:b/>
          <w:bCs/>
        </w:rPr>
        <w:t xml:space="preserve">Step 2 - Scope &amp; filters (optional). </w:t>
      </w:r>
      <w:r>
        <w:t xml:space="preserve">The grey line under the header shows the current scope, e.g. "Whole environment · custom tables only · custom fields". Click the header to expand it if you want to:</w:t>
      </w:r>
    </w:p>
    <w:p>
      <w:pPr>
        <w:pStyle w:val="ListParagraph"/>
        <w:numPr>
          <w:ilvl w:val="1"/>
          <w:numId w:val="2"/>
        </w:numPr>
        <w:spacing w:after="60"/>
      </w:pPr>
      <w:r>
        <w:t xml:space="preserve">tick one or more solutions to check only those (leave all unticked for the whole environment);</w:t>
      </w:r>
    </w:p>
    <w:p>
      <w:pPr>
        <w:pStyle w:val="ListParagraph"/>
        <w:numPr>
          <w:ilvl w:val="1"/>
          <w:numId w:val="2"/>
        </w:numPr>
        <w:spacing w:after="60"/>
      </w:pPr>
      <w:r>
        <w:t xml:space="preserve">untick Custom tables only to include Microsoft tables;</w:t>
      </w:r>
    </w:p>
    <w:p>
      <w:pPr>
        <w:pStyle w:val="ListParagraph"/>
        <w:numPr>
          <w:ilvl w:val="1"/>
          <w:numId w:val="2"/>
        </w:numPr>
        <w:spacing w:after="60"/>
      </w:pPr>
      <w:r>
        <w:t xml:space="preserve">under Tables, choose Specific tables to tick only the tables you want (search by name; the list shows the tables in the ticked solutions);</w:t>
      </w:r>
    </w:p>
    <w:p>
      <w:pPr>
        <w:pStyle w:val="ListParagraph"/>
        <w:numPr>
          <w:ilvl w:val="1"/>
          <w:numId w:val="2"/>
        </w:numPr>
        <w:spacing w:after="60"/>
      </w:pPr>
      <w:r>
        <w:t xml:space="preserve">tick Include system fields to analyse standard columns as well;</w:t>
      </w:r>
    </w:p>
    <w:p>
      <w:pPr>
        <w:pStyle w:val="ListParagraph"/>
        <w:numPr>
          <w:ilvl w:val="1"/>
          <w:numId w:val="2"/>
        </w:numPr>
        <w:spacing w:after="60"/>
      </w:pPr>
      <w:r>
        <w:t xml:space="preserve">change the thresholds (see section 6).</w:t>
      </w:r>
    </w:p>
    <w:p>
      <w:pPr>
        <w:pStyle w:val="ListParagraph"/>
        <w:numPr>
          <w:ilvl w:val="0"/>
          <w:numId w:val="5"/>
        </w:numPr>
        <w:spacing w:after="80"/>
      </w:pPr>
      <w:r>
        <w:rPr>
          <w:b/>
          <w:bCs/>
        </w:rPr>
        <w:t xml:space="preserve">Step 3 - Run a report. </w:t>
      </w:r>
      <w:r>
        <w:t xml:space="preserve">Click one of the four coloured buttons. The matching tab opens and progress appears in the Activity log. Use Cancel running report to stop a long run.</w:t>
      </w:r>
    </w:p>
    <w:p>
      <w:pPr>
        <w:pStyle w:val="ListParagraph"/>
        <w:numPr>
          <w:ilvl w:val="0"/>
          <w:numId w:val="5"/>
        </w:numPr>
        <w:spacing w:after="80"/>
      </w:pPr>
      <w:r>
        <w:rPr>
          <w:b/>
          <w:bCs/>
        </w:rPr>
        <w:t xml:space="preserve">Read the results. </w:t>
      </w:r>
      <w:r>
        <w:t xml:space="preserve">Start with the summary cards: click the red or amber card to see the rows that need attention first. Click How to read this report for a reminder of what each status means.</w:t>
      </w:r>
    </w:p>
    <w:p>
      <w:pPr>
        <w:pStyle w:val="ListParagraph"/>
        <w:numPr>
          <w:ilvl w:val="0"/>
          <w:numId w:val="5"/>
        </w:numPr>
        <w:spacing w:after="80"/>
      </w:pPr>
      <w:r>
        <w:rPr>
          <w:b/>
          <w:bCs/>
        </w:rPr>
        <w:t xml:space="preserve">Step 4 - Export. </w:t>
      </w:r>
      <w:r>
        <w:t xml:space="preserve">Click Export to CSV to save what is currently shown (including your search and card filter) and open it in Excel or share it with your team.</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F4E79" w:sz="24"/>
              <w:bottom w:val="none" w:color="FFFFFF" w:sz="0"/>
              <w:right w:val="none" w:color="FFFFFF" w:sz="0"/>
            </w:tcBorders>
            <w:shd w:fill="DEECF9" w:color="auto" w:val="clear"/>
            <w:tcMar>
              <w:top w:type="dxa" w:w="100"/>
              <w:left w:type="dxa" w:w="180"/>
              <w:bottom w:type="dxa" w:w="100"/>
              <w:right w:type="dxa" w:w="180"/>
            </w:tcMar>
          </w:tcPr>
          <w:p>
            <w:r>
              <w:rPr>
                <w:b/>
                <w:bCs/>
                <w:color w:val="1F4E79"/>
              </w:rPr>
              <w:t xml:space="preserve">Tip:  </w:t>
            </w:r>
            <w:r>
              <w:t xml:space="preserve">Large environments can take a while, especially report 3 (it reads records) and report 4 (it checks dependencies). Start with one solution in Step 2 to get a quick first picture.</w:t>
            </w:r>
          </w:p>
        </w:tc>
      </w:tr>
    </w:tbl>
    <w:p>
      <w:pPr>
        <w:spacing w:after="60"/>
      </w:pPr>
    </w:p>
    <w:p>
      <w:pPr>
        <w:pStyle w:val="Heading1"/>
      </w:pPr>
      <w:r>
        <w:t xml:space="preserve">5. The four reports explained</w:t>
      </w:r>
    </w:p>
    <w:p>
      <w:pPr>
        <w:pStyle w:val="Heading2"/>
      </w:pPr>
      <w:r>
        <w:t xml:space="preserve">5.1 Report 1 - Similar fields + fill %</w:t>
      </w:r>
    </w:p>
    <w:p>
      <w:pPr>
        <w:spacing w:after="120"/>
      </w:pPr>
      <w:r>
        <w:t xml:space="preserve">Finds columns on the same table that look like copies of each other - same name once the publisher prefix is removed, same display name, or a close fuzzy match - and counts how many records actually use each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2D0CE" w:sz="4"/>
              <w:left w:val="single" w:color="D2D0CE" w:sz="4"/>
              <w:bottom w:val="single" w:color="D2D0CE" w:sz="4"/>
              <w:right w:val="single" w:color="D2D0CE" w:sz="4"/>
            </w:tcBorders>
            <w:shd w:fill="1F4E79" w:color="auto" w:val="clear"/>
            <w:tcMar>
              <w:top w:type="dxa" w:w="60"/>
              <w:left w:type="dxa" w:w="100"/>
              <w:bottom w:type="dxa" w:w="60"/>
              <w:right w:type="dxa" w:w="100"/>
            </w:tcMar>
          </w:tcPr>
          <w:p>
            <w:r>
              <w:rPr>
                <w:b/>
                <w:bCs/>
                <w:color w:val="FFFFFF"/>
              </w:rPr>
              <w:t xml:space="preserve">Column</w:t>
            </w:r>
          </w:p>
        </w:tc>
        <w:tc>
          <w:tcPr>
            <w:tcW w:type="dxa" w:w="6026"/>
            <w:tcBorders>
              <w:top w:val="single" w:color="D2D0CE" w:sz="4"/>
              <w:left w:val="single" w:color="D2D0CE" w:sz="4"/>
              <w:bottom w:val="single" w:color="D2D0CE" w:sz="4"/>
              <w:right w:val="single" w:color="D2D0CE" w:sz="4"/>
            </w:tcBorders>
            <w:shd w:fill="1F4E79" w:color="auto" w:val="clear"/>
            <w:tcMar>
              <w:top w:type="dxa" w:w="60"/>
              <w:left w:type="dxa" w:w="100"/>
              <w:bottom w:type="dxa" w:w="60"/>
              <w:right w:type="dxa" w:w="100"/>
            </w:tcMar>
          </w:tcPr>
          <w:p>
            <w:r>
              <w:rPr>
                <w:b/>
                <w:bCs/>
                <w:color w:val="FFFFFF"/>
              </w:rPr>
              <w:t xml:space="preserve">Meaning</w:t>
            </w:r>
          </w:p>
        </w:tc>
      </w:tr>
      <w:tr>
        <w:tc>
          <w:tcPr>
            <w:tcW w:type="dxa" w:w="3000"/>
            <w:tcBorders>
              <w:top w:val="single" w:color="D2D0CE" w:sz="4"/>
              <w:left w:val="single" w:color="D2D0CE" w:sz="4"/>
              <w:bottom w:val="single" w:color="D2D0CE" w:sz="4"/>
              <w:right w:val="single" w:color="D2D0CE" w:sz="4"/>
            </w:tcBorders>
            <w:tcMar>
              <w:top w:type="dxa" w:w="60"/>
              <w:left w:type="dxa" w:w="100"/>
              <w:bottom w:type="dxa" w:w="60"/>
              <w:right w:type="dxa" w:w="100"/>
            </w:tcMar>
          </w:tcPr>
          <w:p>
            <w:r>
              <w:rPr>
                <w:b/>
                <w:bCs/>
              </w:rPr>
              <w:t xml:space="preserve">Group key</w:t>
            </w:r>
          </w:p>
        </w:tc>
        <w:tc>
          <w:tcPr>
            <w:tcW w:type="dxa" w:w="6026"/>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Field name without the publisher prefix. Rows with the same key are one set of look-alike fields.</w:t>
            </w:r>
          </w:p>
        </w:tc>
      </w:tr>
      <w:tr>
        <w:tc>
          <w:tcPr>
            <w:tcW w:type="dxa" w:w="3000"/>
            <w:tcBorders>
              <w:top w:val="single" w:color="D2D0CE" w:sz="4"/>
              <w:left w:val="single" w:color="D2D0CE" w:sz="4"/>
              <w:bottom w:val="single" w:color="D2D0CE" w:sz="4"/>
              <w:right w:val="single" w:color="D2D0CE" w:sz="4"/>
            </w:tcBorders>
            <w:tcMar>
              <w:top w:type="dxa" w:w="60"/>
              <w:left w:type="dxa" w:w="100"/>
              <w:bottom w:type="dxa" w:w="60"/>
              <w:right w:type="dxa" w:w="100"/>
            </w:tcMar>
          </w:tcPr>
          <w:p>
            <w:r>
              <w:rPr>
                <w:b/>
                <w:bCs/>
              </w:rPr>
              <w:t xml:space="preserve">Total records / Records with data</w:t>
            </w:r>
          </w:p>
        </w:tc>
        <w:tc>
          <w:tcPr>
            <w:tcW w:type="dxa" w:w="6026"/>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Records in the table, and records where this field has a value.</w:t>
            </w:r>
          </w:p>
        </w:tc>
      </w:tr>
      <w:tr>
        <w:tc>
          <w:tcPr>
            <w:tcW w:type="dxa" w:w="3000"/>
            <w:tcBorders>
              <w:top w:val="single" w:color="D2D0CE" w:sz="4"/>
              <w:left w:val="single" w:color="D2D0CE" w:sz="4"/>
              <w:bottom w:val="single" w:color="D2D0CE" w:sz="4"/>
              <w:right w:val="single" w:color="D2D0CE" w:sz="4"/>
            </w:tcBorders>
            <w:tcMar>
              <w:top w:type="dxa" w:w="60"/>
              <w:left w:type="dxa" w:w="100"/>
              <w:bottom w:type="dxa" w:w="60"/>
              <w:right w:type="dxa" w:w="100"/>
            </w:tcMar>
          </w:tcPr>
          <w:p>
            <w:r>
              <w:rPr>
                <w:b/>
                <w:bCs/>
              </w:rPr>
              <w:t xml:space="preserve">Fill %</w:t>
            </w:r>
          </w:p>
        </w:tc>
        <w:tc>
          <w:tcPr>
            <w:tcW w:type="dxa" w:w="6026"/>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Share of records that have a value in this field.</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26"/>
      </w:tblGrid>
      <w:tr>
        <w:trPr>
          <w:tblHeader/>
        </w:trPr>
        <w:tc>
          <w:tcPr>
            <w:tcW w:type="dxa" w:w="2600"/>
            <w:tcBorders>
              <w:top w:val="single" w:color="D2D0CE" w:sz="4"/>
              <w:left w:val="single" w:color="D2D0CE" w:sz="4"/>
              <w:bottom w:val="single" w:color="D2D0CE" w:sz="4"/>
              <w:right w:val="single" w:color="D2D0CE" w:sz="4"/>
            </w:tcBorders>
            <w:shd w:fill="1F4E79" w:color="auto" w:val="clear"/>
            <w:tcMar>
              <w:top w:type="dxa" w:w="60"/>
              <w:left w:type="dxa" w:w="100"/>
              <w:bottom w:type="dxa" w:w="60"/>
              <w:right w:type="dxa" w:w="100"/>
            </w:tcMar>
          </w:tcPr>
          <w:p>
            <w:r>
              <w:rPr>
                <w:b/>
                <w:bCs/>
                <w:color w:val="FFFFFF"/>
              </w:rPr>
              <w:t xml:space="preserve">Status</w:t>
            </w:r>
          </w:p>
        </w:tc>
        <w:tc>
          <w:tcPr>
            <w:tcW w:type="dxa" w:w="2000"/>
            <w:tcBorders>
              <w:top w:val="single" w:color="D2D0CE" w:sz="4"/>
              <w:left w:val="single" w:color="D2D0CE" w:sz="4"/>
              <w:bottom w:val="single" w:color="D2D0CE" w:sz="4"/>
              <w:right w:val="single" w:color="D2D0CE" w:sz="4"/>
            </w:tcBorders>
            <w:shd w:fill="1F4E79" w:color="auto" w:val="clear"/>
            <w:tcMar>
              <w:top w:type="dxa" w:w="60"/>
              <w:left w:type="dxa" w:w="100"/>
              <w:bottom w:type="dxa" w:w="60"/>
              <w:right w:type="dxa" w:w="100"/>
            </w:tcMar>
          </w:tcPr>
          <w:p>
            <w:r>
              <w:rPr>
                <w:b/>
                <w:bCs/>
                <w:color w:val="FFFFFF"/>
              </w:rPr>
              <w:t xml:space="preserve">Colour</w:t>
            </w:r>
          </w:p>
        </w:tc>
        <w:tc>
          <w:tcPr>
            <w:tcW w:type="dxa" w:w="4426"/>
            <w:tcBorders>
              <w:top w:val="single" w:color="D2D0CE" w:sz="4"/>
              <w:left w:val="single" w:color="D2D0CE" w:sz="4"/>
              <w:bottom w:val="single" w:color="D2D0CE" w:sz="4"/>
              <w:right w:val="single" w:color="D2D0CE" w:sz="4"/>
            </w:tcBorders>
            <w:shd w:fill="1F4E79" w:color="auto" w:val="clear"/>
            <w:tcMar>
              <w:top w:type="dxa" w:w="60"/>
              <w:left w:type="dxa" w:w="100"/>
              <w:bottom w:type="dxa" w:w="60"/>
              <w:right w:type="dxa" w:w="100"/>
            </w:tcMar>
          </w:tcPr>
          <w:p>
            <w:r>
              <w:rPr>
                <w:b/>
                <w:bCs/>
                <w:color w:val="FFFFFF"/>
              </w:rPr>
              <w:t xml:space="preserve">What to do</w:t>
            </w:r>
          </w:p>
        </w:tc>
      </w:tr>
      <w:tr>
        <w:tc>
          <w:tcPr>
            <w:tcW w:type="dxa" w:w="2600"/>
            <w:tcBorders>
              <w:top w:val="single" w:color="D2D0CE" w:sz="4"/>
              <w:left w:val="single" w:color="D2D0CE" w:sz="4"/>
              <w:bottom w:val="single" w:color="D2D0CE" w:sz="4"/>
              <w:right w:val="single" w:color="D2D0CE" w:sz="4"/>
            </w:tcBorders>
            <w:shd w:fill="FDE2E1" w:color="auto" w:val="clear"/>
            <w:tcMar>
              <w:top w:type="dxa" w:w="60"/>
              <w:left w:type="dxa" w:w="100"/>
              <w:bottom w:type="dxa" w:w="60"/>
              <w:right w:type="dxa" w:w="100"/>
            </w:tcMar>
          </w:tcPr>
          <w:p>
            <w:r>
              <w:t xml:space="preserve">Empty - delete candidate</w:t>
            </w:r>
          </w:p>
        </w:tc>
        <w:tc>
          <w:tcPr>
            <w:tcW w:type="dxa" w:w="2000"/>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Clean-up candidate</w:t>
            </w:r>
          </w:p>
        </w:tc>
        <w:tc>
          <w:tcPr>
            <w:tcW w:type="dxa" w:w="4426"/>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Never filled in. Check it is not needed (see report 4) and consider removing it.</w:t>
            </w:r>
          </w:p>
        </w:tc>
      </w:tr>
      <w:tr>
        <w:tc>
          <w:tcPr>
            <w:tcW w:type="dxa" w:w="2600"/>
            <w:tcBorders>
              <w:top w:val="single" w:color="D2D0CE" w:sz="4"/>
              <w:left w:val="single" w:color="D2D0CE" w:sz="4"/>
              <w:bottom w:val="single" w:color="D2D0CE" w:sz="4"/>
              <w:right w:val="single" w:color="D2D0CE" w:sz="4"/>
            </w:tcBorders>
            <w:shd w:fill="FFF4CE" w:color="auto" w:val="clear"/>
            <w:tcMar>
              <w:top w:type="dxa" w:w="60"/>
              <w:left w:type="dxa" w:w="100"/>
              <w:bottom w:type="dxa" w:w="60"/>
              <w:right w:type="dxa" w:w="100"/>
            </w:tcMar>
          </w:tcPr>
          <w:p>
            <w:r>
              <w:t xml:space="preserve">Merge candidate</w:t>
            </w:r>
          </w:p>
        </w:tc>
        <w:tc>
          <w:tcPr>
            <w:tcW w:type="dxa" w:w="2000"/>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Needs review</w:t>
            </w:r>
          </w:p>
        </w:tc>
        <w:tc>
          <w:tcPr>
            <w:tcW w:type="dxa" w:w="4426"/>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More than one field in the set holds data. Agree which one is the 'real' field, migrate data, retire the others.</w:t>
            </w:r>
          </w:p>
        </w:tc>
      </w:tr>
      <w:tr>
        <w:tc>
          <w:tcPr>
            <w:tcW w:type="dxa" w:w="2600"/>
            <w:tcBorders>
              <w:top w:val="single" w:color="D2D0CE" w:sz="4"/>
              <w:left w:val="single" w:color="D2D0CE" w:sz="4"/>
              <w:bottom w:val="single" w:color="D2D0CE" w:sz="4"/>
              <w:right w:val="single" w:color="D2D0CE" w:sz="4"/>
            </w:tcBorders>
            <w:shd w:fill="DFF6DD" w:color="auto" w:val="clear"/>
            <w:tcMar>
              <w:top w:type="dxa" w:w="60"/>
              <w:left w:type="dxa" w:w="100"/>
              <w:bottom w:type="dxa" w:w="60"/>
              <w:right w:type="dxa" w:w="100"/>
            </w:tcMar>
          </w:tcPr>
          <w:p>
            <w:r>
              <w:t xml:space="preserve">OK</w:t>
            </w:r>
          </w:p>
        </w:tc>
        <w:tc>
          <w:tcPr>
            <w:tcW w:type="dxa" w:w="2000"/>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Healthy</w:t>
            </w:r>
          </w:p>
        </w:tc>
        <w:tc>
          <w:tcPr>
            <w:tcW w:type="dxa" w:w="4426"/>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Only one field in the set is used. Nothing to do.</w:t>
            </w:r>
          </w:p>
        </w:tc>
      </w:tr>
    </w:tbl>
    <w:p>
      <w:pPr>
        <w:spacing w:after="60"/>
      </w:pPr>
    </w:p>
    <w:p>
      <w:pPr>
        <w:pStyle w:val="Heading2"/>
      </w:pPr>
      <w:r>
        <w:t xml:space="preserve">5.2 Report 2 - Duplicate option sets</w:t>
      </w:r>
    </w:p>
    <w:p>
      <w:pPr>
        <w:spacing w:after="120"/>
      </w:pPr>
      <w:r>
        <w:t xml:space="preserve">Finds choice (option set) fields that repeat each other: the same name twice on one table, local option sets with nearly identical labels on different tables, and local option sets that copy an existing global option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2D0CE" w:sz="4"/>
              <w:left w:val="single" w:color="D2D0CE" w:sz="4"/>
              <w:bottom w:val="single" w:color="D2D0CE" w:sz="4"/>
              <w:right w:val="single" w:color="D2D0CE" w:sz="4"/>
            </w:tcBorders>
            <w:shd w:fill="1F4E79" w:color="auto" w:val="clear"/>
            <w:tcMar>
              <w:top w:type="dxa" w:w="60"/>
              <w:left w:type="dxa" w:w="100"/>
              <w:bottom w:type="dxa" w:w="60"/>
              <w:right w:type="dxa" w:w="100"/>
            </w:tcMar>
          </w:tcPr>
          <w:p>
            <w:r>
              <w:rPr>
                <w:b/>
                <w:bCs/>
                <w:color w:val="FFFFFF"/>
              </w:rPr>
              <w:t xml:space="preserve">Column</w:t>
            </w:r>
          </w:p>
        </w:tc>
        <w:tc>
          <w:tcPr>
            <w:tcW w:type="dxa" w:w="6026"/>
            <w:tcBorders>
              <w:top w:val="single" w:color="D2D0CE" w:sz="4"/>
              <w:left w:val="single" w:color="D2D0CE" w:sz="4"/>
              <w:bottom w:val="single" w:color="D2D0CE" w:sz="4"/>
              <w:right w:val="single" w:color="D2D0CE" w:sz="4"/>
            </w:tcBorders>
            <w:shd w:fill="1F4E79" w:color="auto" w:val="clear"/>
            <w:tcMar>
              <w:top w:type="dxa" w:w="60"/>
              <w:left w:type="dxa" w:w="100"/>
              <w:bottom w:type="dxa" w:w="60"/>
              <w:right w:type="dxa" w:w="100"/>
            </w:tcMar>
          </w:tcPr>
          <w:p>
            <w:r>
              <w:rPr>
                <w:b/>
                <w:bCs/>
                <w:color w:val="FFFFFF"/>
              </w:rPr>
              <w:t xml:space="preserve">Meaning</w:t>
            </w:r>
          </w:p>
        </w:tc>
      </w:tr>
      <w:tr>
        <w:tc>
          <w:tcPr>
            <w:tcW w:type="dxa" w:w="3000"/>
            <w:tcBorders>
              <w:top w:val="single" w:color="D2D0CE" w:sz="4"/>
              <w:left w:val="single" w:color="D2D0CE" w:sz="4"/>
              <w:bottom w:val="single" w:color="D2D0CE" w:sz="4"/>
              <w:right w:val="single" w:color="D2D0CE" w:sz="4"/>
            </w:tcBorders>
            <w:tcMar>
              <w:top w:type="dxa" w:w="60"/>
              <w:left w:type="dxa" w:w="100"/>
              <w:bottom w:type="dxa" w:w="60"/>
              <w:right w:type="dxa" w:w="100"/>
            </w:tcMar>
          </w:tcPr>
          <w:p>
            <w:r>
              <w:rPr>
                <w:b/>
                <w:bCs/>
              </w:rPr>
              <w:t xml:space="preserve">Check</w:t>
            </w:r>
          </w:p>
        </w:tc>
        <w:tc>
          <w:tcPr>
            <w:tcW w:type="dxa" w:w="6026"/>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Which kind of duplication was found (the status).</w:t>
            </w:r>
          </w:p>
        </w:tc>
      </w:tr>
      <w:tr>
        <w:tc>
          <w:tcPr>
            <w:tcW w:type="dxa" w:w="3000"/>
            <w:tcBorders>
              <w:top w:val="single" w:color="D2D0CE" w:sz="4"/>
              <w:left w:val="single" w:color="D2D0CE" w:sz="4"/>
              <w:bottom w:val="single" w:color="D2D0CE" w:sz="4"/>
              <w:right w:val="single" w:color="D2D0CE" w:sz="4"/>
            </w:tcBorders>
            <w:tcMar>
              <w:top w:type="dxa" w:w="60"/>
              <w:left w:type="dxa" w:w="100"/>
              <w:bottom w:type="dxa" w:w="60"/>
              <w:right w:type="dxa" w:w="100"/>
            </w:tcMar>
          </w:tcPr>
          <w:p>
            <w:r>
              <w:rPr>
                <w:b/>
                <w:bCs/>
              </w:rPr>
              <w:t xml:space="preserve">Is global / Options</w:t>
            </w:r>
          </w:p>
        </w:tc>
        <w:tc>
          <w:tcPr>
            <w:tcW w:type="dxa" w:w="6026"/>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Whether the field uses a shared global option set, and how many choices it has.</w:t>
            </w:r>
          </w:p>
        </w:tc>
      </w:tr>
      <w:tr>
        <w:tc>
          <w:tcPr>
            <w:tcW w:type="dxa" w:w="3000"/>
            <w:tcBorders>
              <w:top w:val="single" w:color="D2D0CE" w:sz="4"/>
              <w:left w:val="single" w:color="D2D0CE" w:sz="4"/>
              <w:bottom w:val="single" w:color="D2D0CE" w:sz="4"/>
              <w:right w:val="single" w:color="D2D0CE" w:sz="4"/>
            </w:tcBorders>
            <w:tcMar>
              <w:top w:type="dxa" w:w="60"/>
              <w:left w:type="dxa" w:w="100"/>
              <w:bottom w:type="dxa" w:w="60"/>
              <w:right w:type="dxa" w:w="100"/>
            </w:tcMar>
          </w:tcPr>
          <w:p>
            <w:r>
              <w:rPr>
                <w:b/>
                <w:bCs/>
              </w:rPr>
              <w:t xml:space="preserve">Match with</w:t>
            </w:r>
          </w:p>
        </w:tc>
        <w:tc>
          <w:tcPr>
            <w:tcW w:type="dxa" w:w="6026"/>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The other field or global option set it resembles.</w:t>
            </w:r>
          </w:p>
        </w:tc>
      </w:tr>
      <w:tr>
        <w:tc>
          <w:tcPr>
            <w:tcW w:type="dxa" w:w="3000"/>
            <w:tcBorders>
              <w:top w:val="single" w:color="D2D0CE" w:sz="4"/>
              <w:left w:val="single" w:color="D2D0CE" w:sz="4"/>
              <w:bottom w:val="single" w:color="D2D0CE" w:sz="4"/>
              <w:right w:val="single" w:color="D2D0CE" w:sz="4"/>
            </w:tcBorders>
            <w:tcMar>
              <w:top w:type="dxa" w:w="60"/>
              <w:left w:type="dxa" w:w="100"/>
              <w:bottom w:type="dxa" w:w="60"/>
              <w:right w:type="dxa" w:w="100"/>
            </w:tcMar>
          </w:tcPr>
          <w:p>
            <w:r>
              <w:rPr>
                <w:b/>
                <w:bCs/>
              </w:rPr>
              <w:t xml:space="preserve">Similarity %</w:t>
            </w:r>
          </w:p>
        </w:tc>
        <w:tc>
          <w:tcPr>
            <w:tcW w:type="dxa" w:w="6026"/>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Share of option labels the two sets have in common.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26"/>
      </w:tblGrid>
      <w:tr>
        <w:trPr>
          <w:tblHeader/>
        </w:trPr>
        <w:tc>
          <w:tcPr>
            <w:tcW w:type="dxa" w:w="2600"/>
            <w:tcBorders>
              <w:top w:val="single" w:color="D2D0CE" w:sz="4"/>
              <w:left w:val="single" w:color="D2D0CE" w:sz="4"/>
              <w:bottom w:val="single" w:color="D2D0CE" w:sz="4"/>
              <w:right w:val="single" w:color="D2D0CE" w:sz="4"/>
            </w:tcBorders>
            <w:shd w:fill="1F4E79" w:color="auto" w:val="clear"/>
            <w:tcMar>
              <w:top w:type="dxa" w:w="60"/>
              <w:left w:type="dxa" w:w="100"/>
              <w:bottom w:type="dxa" w:w="60"/>
              <w:right w:type="dxa" w:w="100"/>
            </w:tcMar>
          </w:tcPr>
          <w:p>
            <w:r>
              <w:rPr>
                <w:b/>
                <w:bCs/>
                <w:color w:val="FFFFFF"/>
              </w:rPr>
              <w:t xml:space="preserve">Status</w:t>
            </w:r>
          </w:p>
        </w:tc>
        <w:tc>
          <w:tcPr>
            <w:tcW w:type="dxa" w:w="2000"/>
            <w:tcBorders>
              <w:top w:val="single" w:color="D2D0CE" w:sz="4"/>
              <w:left w:val="single" w:color="D2D0CE" w:sz="4"/>
              <w:bottom w:val="single" w:color="D2D0CE" w:sz="4"/>
              <w:right w:val="single" w:color="D2D0CE" w:sz="4"/>
            </w:tcBorders>
            <w:shd w:fill="1F4E79" w:color="auto" w:val="clear"/>
            <w:tcMar>
              <w:top w:type="dxa" w:w="60"/>
              <w:left w:type="dxa" w:w="100"/>
              <w:bottom w:type="dxa" w:w="60"/>
              <w:right w:type="dxa" w:w="100"/>
            </w:tcMar>
          </w:tcPr>
          <w:p>
            <w:r>
              <w:rPr>
                <w:b/>
                <w:bCs/>
                <w:color w:val="FFFFFF"/>
              </w:rPr>
              <w:t xml:space="preserve">Colour</w:t>
            </w:r>
          </w:p>
        </w:tc>
        <w:tc>
          <w:tcPr>
            <w:tcW w:type="dxa" w:w="4426"/>
            <w:tcBorders>
              <w:top w:val="single" w:color="D2D0CE" w:sz="4"/>
              <w:left w:val="single" w:color="D2D0CE" w:sz="4"/>
              <w:bottom w:val="single" w:color="D2D0CE" w:sz="4"/>
              <w:right w:val="single" w:color="D2D0CE" w:sz="4"/>
            </w:tcBorders>
            <w:shd w:fill="1F4E79" w:color="auto" w:val="clear"/>
            <w:tcMar>
              <w:top w:type="dxa" w:w="60"/>
              <w:left w:type="dxa" w:w="100"/>
              <w:bottom w:type="dxa" w:w="60"/>
              <w:right w:type="dxa" w:w="100"/>
            </w:tcMar>
          </w:tcPr>
          <w:p>
            <w:r>
              <w:rPr>
                <w:b/>
                <w:bCs/>
                <w:color w:val="FFFFFF"/>
              </w:rPr>
              <w:t xml:space="preserve">What to do</w:t>
            </w:r>
          </w:p>
        </w:tc>
      </w:tr>
      <w:tr>
        <w:tc>
          <w:tcPr>
            <w:tcW w:type="dxa" w:w="2600"/>
            <w:tcBorders>
              <w:top w:val="single" w:color="D2D0CE" w:sz="4"/>
              <w:left w:val="single" w:color="D2D0CE" w:sz="4"/>
              <w:bottom w:val="single" w:color="D2D0CE" w:sz="4"/>
              <w:right w:val="single" w:color="D2D0CE" w:sz="4"/>
            </w:tcBorders>
            <w:shd w:fill="FFF4CE" w:color="auto" w:val="clear"/>
            <w:tcMar>
              <w:top w:type="dxa" w:w="60"/>
              <w:left w:type="dxa" w:w="100"/>
              <w:bottom w:type="dxa" w:w="60"/>
              <w:right w:type="dxa" w:w="100"/>
            </w:tcMar>
          </w:tcPr>
          <w:p>
            <w:r>
              <w:t xml:space="preserve">Same name on table</w:t>
            </w:r>
          </w:p>
        </w:tc>
        <w:tc>
          <w:tcPr>
            <w:tcW w:type="dxa" w:w="2000"/>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Needs review</w:t>
            </w:r>
          </w:p>
        </w:tc>
        <w:tc>
          <w:tcPr>
            <w:tcW w:type="dxa" w:w="4426"/>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Two choice fields on one table with the same name - possibly redundant. Review and keep one.</w:t>
            </w:r>
          </w:p>
        </w:tc>
      </w:tr>
      <w:tr>
        <w:tc>
          <w:tcPr>
            <w:tcW w:type="dxa" w:w="2600"/>
            <w:tcBorders>
              <w:top w:val="single" w:color="D2D0CE" w:sz="4"/>
              <w:left w:val="single" w:color="D2D0CE" w:sz="4"/>
              <w:bottom w:val="single" w:color="D2D0CE" w:sz="4"/>
              <w:right w:val="single" w:color="D2D0CE" w:sz="4"/>
            </w:tcBorders>
            <w:shd w:fill="DEECF9" w:color="auto" w:val="clear"/>
            <w:tcMar>
              <w:top w:type="dxa" w:w="60"/>
              <w:left w:type="dxa" w:w="100"/>
              <w:bottom w:type="dxa" w:w="60"/>
              <w:right w:type="dxa" w:w="100"/>
            </w:tcMar>
          </w:tcPr>
          <w:p>
            <w:r>
              <w:t xml:space="preserve">Similar local option sets</w:t>
            </w:r>
          </w:p>
        </w:tc>
        <w:tc>
          <w:tcPr>
            <w:tcW w:type="dxa" w:w="2000"/>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Suggestion</w:t>
            </w:r>
          </w:p>
        </w:tc>
        <w:tc>
          <w:tcPr>
            <w:tcW w:type="dxa" w:w="4426"/>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Two tables keep their own copy of the same list. Consider one shared global option set.</w:t>
            </w:r>
          </w:p>
        </w:tc>
      </w:tr>
      <w:tr>
        <w:tc>
          <w:tcPr>
            <w:tcW w:type="dxa" w:w="2600"/>
            <w:tcBorders>
              <w:top w:val="single" w:color="D2D0CE" w:sz="4"/>
              <w:left w:val="single" w:color="D2D0CE" w:sz="4"/>
              <w:bottom w:val="single" w:color="D2D0CE" w:sz="4"/>
              <w:right w:val="single" w:color="D2D0CE" w:sz="4"/>
            </w:tcBorders>
            <w:shd w:fill="DEECF9" w:color="auto" w:val="clear"/>
            <w:tcMar>
              <w:top w:type="dxa" w:w="60"/>
              <w:left w:type="dxa" w:w="100"/>
              <w:bottom w:type="dxa" w:w="60"/>
              <w:right w:type="dxa" w:w="100"/>
            </w:tcMar>
          </w:tcPr>
          <w:p>
            <w:r>
              <w:t xml:space="preserve">Matches global (name / values)</w:t>
            </w:r>
          </w:p>
        </w:tc>
        <w:tc>
          <w:tcPr>
            <w:tcW w:type="dxa" w:w="2000"/>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Suggestion</w:t>
            </w:r>
          </w:p>
        </w:tc>
        <w:tc>
          <w:tcPr>
            <w:tcW w:type="dxa" w:w="4426"/>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A local list copies a global option set. Switch the field to the global set so values stay in sync.</w:t>
            </w:r>
          </w:p>
        </w:tc>
      </w:tr>
    </w:tbl>
    <w:p>
      <w:pPr>
        <w:spacing w:after="60"/>
      </w:pPr>
    </w:p>
    <w:p>
      <w:pPr>
        <w:pStyle w:val="Heading2"/>
      </w:pPr>
      <w:r>
        <w:t xml:space="preserve">5.3 Report 3 - Field length usage</w:t>
      </w:r>
    </w:p>
    <w:p>
      <w:pPr>
        <w:spacing w:after="120"/>
      </w:pPr>
      <w:r>
        <w:t xml:space="preserve">Compares each text column's configured maximum length with the length of the values actually stored in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2D0CE" w:sz="4"/>
              <w:left w:val="single" w:color="D2D0CE" w:sz="4"/>
              <w:bottom w:val="single" w:color="D2D0CE" w:sz="4"/>
              <w:right w:val="single" w:color="D2D0CE" w:sz="4"/>
            </w:tcBorders>
            <w:shd w:fill="1F4E79" w:color="auto" w:val="clear"/>
            <w:tcMar>
              <w:top w:type="dxa" w:w="60"/>
              <w:left w:type="dxa" w:w="100"/>
              <w:bottom w:type="dxa" w:w="60"/>
              <w:right w:type="dxa" w:w="100"/>
            </w:tcMar>
          </w:tcPr>
          <w:p>
            <w:r>
              <w:rPr>
                <w:b/>
                <w:bCs/>
                <w:color w:val="FFFFFF"/>
              </w:rPr>
              <w:t xml:space="preserve">Column</w:t>
            </w:r>
          </w:p>
        </w:tc>
        <w:tc>
          <w:tcPr>
            <w:tcW w:type="dxa" w:w="6026"/>
            <w:tcBorders>
              <w:top w:val="single" w:color="D2D0CE" w:sz="4"/>
              <w:left w:val="single" w:color="D2D0CE" w:sz="4"/>
              <w:bottom w:val="single" w:color="D2D0CE" w:sz="4"/>
              <w:right w:val="single" w:color="D2D0CE" w:sz="4"/>
            </w:tcBorders>
            <w:shd w:fill="1F4E79" w:color="auto" w:val="clear"/>
            <w:tcMar>
              <w:top w:type="dxa" w:w="60"/>
              <w:left w:type="dxa" w:w="100"/>
              <w:bottom w:type="dxa" w:w="60"/>
              <w:right w:type="dxa" w:w="100"/>
            </w:tcMar>
          </w:tcPr>
          <w:p>
            <w:r>
              <w:rPr>
                <w:b/>
                <w:bCs/>
                <w:color w:val="FFFFFF"/>
              </w:rPr>
              <w:t xml:space="preserve">Meaning</w:t>
            </w:r>
          </w:p>
        </w:tc>
      </w:tr>
      <w:tr>
        <w:tc>
          <w:tcPr>
            <w:tcW w:type="dxa" w:w="3000"/>
            <w:tcBorders>
              <w:top w:val="single" w:color="D2D0CE" w:sz="4"/>
              <w:left w:val="single" w:color="D2D0CE" w:sz="4"/>
              <w:bottom w:val="single" w:color="D2D0CE" w:sz="4"/>
              <w:right w:val="single" w:color="D2D0CE" w:sz="4"/>
            </w:tcBorders>
            <w:tcMar>
              <w:top w:type="dxa" w:w="60"/>
              <w:left w:type="dxa" w:w="100"/>
              <w:bottom w:type="dxa" w:w="60"/>
              <w:right w:type="dxa" w:w="100"/>
            </w:tcMar>
          </w:tcPr>
          <w:p>
            <w:r>
              <w:rPr>
                <w:b/>
                <w:bCs/>
              </w:rPr>
              <w:t xml:space="preserve">Configured max</w:t>
            </w:r>
          </w:p>
        </w:tc>
        <w:tc>
          <w:tcPr>
            <w:tcW w:type="dxa" w:w="6026"/>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Maximum length set on the column.</w:t>
            </w:r>
          </w:p>
        </w:tc>
      </w:tr>
      <w:tr>
        <w:tc>
          <w:tcPr>
            <w:tcW w:type="dxa" w:w="3000"/>
            <w:tcBorders>
              <w:top w:val="single" w:color="D2D0CE" w:sz="4"/>
              <w:left w:val="single" w:color="D2D0CE" w:sz="4"/>
              <w:bottom w:val="single" w:color="D2D0CE" w:sz="4"/>
              <w:right w:val="single" w:color="D2D0CE" w:sz="4"/>
            </w:tcBorders>
            <w:tcMar>
              <w:top w:type="dxa" w:w="60"/>
              <w:left w:type="dxa" w:w="100"/>
              <w:bottom w:type="dxa" w:w="60"/>
              <w:right w:type="dxa" w:w="100"/>
            </w:tcMar>
          </w:tcPr>
          <w:p>
            <w:r>
              <w:rPr>
                <w:b/>
                <w:bCs/>
              </w:rPr>
              <w:t xml:space="preserve">Actual max used / Avg used</w:t>
            </w:r>
          </w:p>
        </w:tc>
        <w:tc>
          <w:tcPr>
            <w:tcW w:type="dxa" w:w="6026"/>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Longest value stored, and average length of non-empty values.</w:t>
            </w:r>
          </w:p>
        </w:tc>
      </w:tr>
      <w:tr>
        <w:tc>
          <w:tcPr>
            <w:tcW w:type="dxa" w:w="3000"/>
            <w:tcBorders>
              <w:top w:val="single" w:color="D2D0CE" w:sz="4"/>
              <w:left w:val="single" w:color="D2D0CE" w:sz="4"/>
              <w:bottom w:val="single" w:color="D2D0CE" w:sz="4"/>
              <w:right w:val="single" w:color="D2D0CE" w:sz="4"/>
            </w:tcBorders>
            <w:tcMar>
              <w:top w:type="dxa" w:w="60"/>
              <w:left w:type="dxa" w:w="100"/>
              <w:bottom w:type="dxa" w:w="60"/>
              <w:right w:type="dxa" w:w="100"/>
            </w:tcMar>
          </w:tcPr>
          <w:p>
            <w:r>
              <w:rPr>
                <w:b/>
                <w:bCs/>
              </w:rPr>
              <w:t xml:space="preserve">P95 used</w:t>
            </w:r>
          </w:p>
        </w:tc>
        <w:tc>
          <w:tcPr>
            <w:tcW w:type="dxa" w:w="6026"/>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95% of values are this long or shorter.</w:t>
            </w:r>
          </w:p>
        </w:tc>
      </w:tr>
      <w:tr>
        <w:tc>
          <w:tcPr>
            <w:tcW w:type="dxa" w:w="3000"/>
            <w:tcBorders>
              <w:top w:val="single" w:color="D2D0CE" w:sz="4"/>
              <w:left w:val="single" w:color="D2D0CE" w:sz="4"/>
              <w:bottom w:val="single" w:color="D2D0CE" w:sz="4"/>
              <w:right w:val="single" w:color="D2D0CE" w:sz="4"/>
            </w:tcBorders>
            <w:tcMar>
              <w:top w:type="dxa" w:w="60"/>
              <w:left w:type="dxa" w:w="100"/>
              <w:bottom w:type="dxa" w:w="60"/>
              <w:right w:type="dxa" w:w="100"/>
            </w:tcMar>
          </w:tcPr>
          <w:p>
            <w:r>
              <w:rPr>
                <w:b/>
                <w:bCs/>
              </w:rPr>
              <w:t xml:space="preserve">Utilisation %</w:t>
            </w:r>
          </w:p>
        </w:tc>
        <w:tc>
          <w:tcPr>
            <w:tcW w:type="dxa" w:w="6026"/>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Actual max used ÷ configured max.</w:t>
            </w:r>
          </w:p>
        </w:tc>
      </w:tr>
      <w:tr>
        <w:tc>
          <w:tcPr>
            <w:tcW w:type="dxa" w:w="3000"/>
            <w:tcBorders>
              <w:top w:val="single" w:color="D2D0CE" w:sz="4"/>
              <w:left w:val="single" w:color="D2D0CE" w:sz="4"/>
              <w:bottom w:val="single" w:color="D2D0CE" w:sz="4"/>
              <w:right w:val="single" w:color="D2D0CE" w:sz="4"/>
            </w:tcBorders>
            <w:tcMar>
              <w:top w:type="dxa" w:w="60"/>
              <w:left w:type="dxa" w:w="100"/>
              <w:bottom w:type="dxa" w:w="60"/>
              <w:right w:type="dxa" w:w="100"/>
            </w:tcMar>
          </w:tcPr>
          <w:p>
            <w:r>
              <w:rPr>
                <w:b/>
                <w:bCs/>
              </w:rPr>
              <w:t xml:space="preserve">Records analysed / Non-empty</w:t>
            </w:r>
          </w:p>
        </w:tc>
        <w:tc>
          <w:tcPr>
            <w:tcW w:type="dxa" w:w="6026"/>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Records read for the table (limited by the 'max records' setting) and how many had a value.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26"/>
      </w:tblGrid>
      <w:tr>
        <w:trPr>
          <w:tblHeader/>
        </w:trPr>
        <w:tc>
          <w:tcPr>
            <w:tcW w:type="dxa" w:w="2600"/>
            <w:tcBorders>
              <w:top w:val="single" w:color="D2D0CE" w:sz="4"/>
              <w:left w:val="single" w:color="D2D0CE" w:sz="4"/>
              <w:bottom w:val="single" w:color="D2D0CE" w:sz="4"/>
              <w:right w:val="single" w:color="D2D0CE" w:sz="4"/>
            </w:tcBorders>
            <w:shd w:fill="1F4E79" w:color="auto" w:val="clear"/>
            <w:tcMar>
              <w:top w:type="dxa" w:w="60"/>
              <w:left w:type="dxa" w:w="100"/>
              <w:bottom w:type="dxa" w:w="60"/>
              <w:right w:type="dxa" w:w="100"/>
            </w:tcMar>
          </w:tcPr>
          <w:p>
            <w:r>
              <w:rPr>
                <w:b/>
                <w:bCs/>
                <w:color w:val="FFFFFF"/>
              </w:rPr>
              <w:t xml:space="preserve">Status</w:t>
            </w:r>
          </w:p>
        </w:tc>
        <w:tc>
          <w:tcPr>
            <w:tcW w:type="dxa" w:w="2000"/>
            <w:tcBorders>
              <w:top w:val="single" w:color="D2D0CE" w:sz="4"/>
              <w:left w:val="single" w:color="D2D0CE" w:sz="4"/>
              <w:bottom w:val="single" w:color="D2D0CE" w:sz="4"/>
              <w:right w:val="single" w:color="D2D0CE" w:sz="4"/>
            </w:tcBorders>
            <w:shd w:fill="1F4E79" w:color="auto" w:val="clear"/>
            <w:tcMar>
              <w:top w:type="dxa" w:w="60"/>
              <w:left w:type="dxa" w:w="100"/>
              <w:bottom w:type="dxa" w:w="60"/>
              <w:right w:type="dxa" w:w="100"/>
            </w:tcMar>
          </w:tcPr>
          <w:p>
            <w:r>
              <w:rPr>
                <w:b/>
                <w:bCs/>
                <w:color w:val="FFFFFF"/>
              </w:rPr>
              <w:t xml:space="preserve">Colour</w:t>
            </w:r>
          </w:p>
        </w:tc>
        <w:tc>
          <w:tcPr>
            <w:tcW w:type="dxa" w:w="4426"/>
            <w:tcBorders>
              <w:top w:val="single" w:color="D2D0CE" w:sz="4"/>
              <w:left w:val="single" w:color="D2D0CE" w:sz="4"/>
              <w:bottom w:val="single" w:color="D2D0CE" w:sz="4"/>
              <w:right w:val="single" w:color="D2D0CE" w:sz="4"/>
            </w:tcBorders>
            <w:shd w:fill="1F4E79" w:color="auto" w:val="clear"/>
            <w:tcMar>
              <w:top w:type="dxa" w:w="60"/>
              <w:left w:type="dxa" w:w="100"/>
              <w:bottom w:type="dxa" w:w="60"/>
              <w:right w:type="dxa" w:w="100"/>
            </w:tcMar>
          </w:tcPr>
          <w:p>
            <w:r>
              <w:rPr>
                <w:b/>
                <w:bCs/>
                <w:color w:val="FFFFFF"/>
              </w:rPr>
              <w:t xml:space="preserve">What to do</w:t>
            </w:r>
          </w:p>
        </w:tc>
      </w:tr>
      <w:tr>
        <w:tc>
          <w:tcPr>
            <w:tcW w:type="dxa" w:w="2600"/>
            <w:tcBorders>
              <w:top w:val="single" w:color="D2D0CE" w:sz="4"/>
              <w:left w:val="single" w:color="D2D0CE" w:sz="4"/>
              <w:bottom w:val="single" w:color="D2D0CE" w:sz="4"/>
              <w:right w:val="single" w:color="D2D0CE" w:sz="4"/>
            </w:tcBorders>
            <w:shd w:fill="FFF4CE" w:color="auto" w:val="clear"/>
            <w:tcMar>
              <w:top w:type="dxa" w:w="60"/>
              <w:left w:type="dxa" w:w="100"/>
              <w:bottom w:type="dxa" w:w="60"/>
              <w:right w:type="dxa" w:w="100"/>
            </w:tcMar>
          </w:tcPr>
          <w:p>
            <w:r>
              <w:t xml:space="preserve">Over-provisioned</w:t>
            </w:r>
          </w:p>
        </w:tc>
        <w:tc>
          <w:tcPr>
            <w:tcW w:type="dxa" w:w="2000"/>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Needs review</w:t>
            </w:r>
          </w:p>
        </w:tc>
        <w:tc>
          <w:tcPr>
            <w:tcW w:type="dxa" w:w="4426"/>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Real data uses less than your threshold. Size similar new columns smaller; use for design review.</w:t>
            </w:r>
          </w:p>
        </w:tc>
      </w:tr>
      <w:tr>
        <w:tc>
          <w:tcPr>
            <w:tcW w:type="dxa" w:w="2600"/>
            <w:tcBorders>
              <w:top w:val="single" w:color="D2D0CE" w:sz="4"/>
              <w:left w:val="single" w:color="D2D0CE" w:sz="4"/>
              <w:bottom w:val="single" w:color="D2D0CE" w:sz="4"/>
              <w:right w:val="single" w:color="D2D0CE" w:sz="4"/>
            </w:tcBorders>
            <w:shd w:fill="EDEBE9" w:color="auto" w:val="clear"/>
            <w:tcMar>
              <w:top w:type="dxa" w:w="60"/>
              <w:left w:type="dxa" w:w="100"/>
              <w:bottom w:type="dxa" w:w="60"/>
              <w:right w:type="dxa" w:w="100"/>
            </w:tcMar>
          </w:tcPr>
          <w:p>
            <w:r>
              <w:t xml:space="preserve">No data yet</w:t>
            </w:r>
          </w:p>
        </w:tc>
        <w:tc>
          <w:tcPr>
            <w:tcW w:type="dxa" w:w="2000"/>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No data</w:t>
            </w:r>
          </w:p>
        </w:tc>
        <w:tc>
          <w:tcPr>
            <w:tcW w:type="dxa" w:w="4426"/>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No values stored, so the size cannot be judged.</w:t>
            </w:r>
          </w:p>
        </w:tc>
      </w:tr>
      <w:tr>
        <w:tc>
          <w:tcPr>
            <w:tcW w:type="dxa" w:w="2600"/>
            <w:tcBorders>
              <w:top w:val="single" w:color="D2D0CE" w:sz="4"/>
              <w:left w:val="single" w:color="D2D0CE" w:sz="4"/>
              <w:bottom w:val="single" w:color="D2D0CE" w:sz="4"/>
              <w:right w:val="single" w:color="D2D0CE" w:sz="4"/>
            </w:tcBorders>
            <w:shd w:fill="DFF6DD" w:color="auto" w:val="clear"/>
            <w:tcMar>
              <w:top w:type="dxa" w:w="60"/>
              <w:left w:type="dxa" w:w="100"/>
              <w:bottom w:type="dxa" w:w="60"/>
              <w:right w:type="dxa" w:w="100"/>
            </w:tcMar>
          </w:tcPr>
          <w:p>
            <w:r>
              <w:t xml:space="preserve">OK</w:t>
            </w:r>
          </w:p>
        </w:tc>
        <w:tc>
          <w:tcPr>
            <w:tcW w:type="dxa" w:w="2000"/>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Healthy</w:t>
            </w:r>
          </w:p>
        </w:tc>
        <w:tc>
          <w:tcPr>
            <w:tcW w:type="dxa" w:w="4426"/>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Size fits the data.</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5A00" w:sz="24"/>
              <w:bottom w:val="none" w:color="FFFFFF" w:sz="0"/>
              <w:right w:val="none" w:color="FFFFFF" w:sz="0"/>
            </w:tcBorders>
            <w:shd w:fill="FFF4CE" w:color="auto" w:val="clear"/>
            <w:tcMar>
              <w:top w:type="dxa" w:w="100"/>
              <w:left w:type="dxa" w:w="180"/>
              <w:bottom w:type="dxa" w:w="100"/>
              <w:right w:type="dxa" w:w="180"/>
            </w:tcMar>
          </w:tcPr>
          <w:p>
            <w:r>
              <w:rPr>
                <w:b/>
                <w:bCs/>
                <w:color w:val="8A5A00"/>
              </w:rPr>
              <w:t xml:space="preserve">Note:  </w:t>
            </w:r>
            <w:r>
              <w:t xml:space="preserve">Dataverse cannot reduce the maximum length of an existing column. Use this report to size future columns correctly, or plan a replacement column if it really matters.</w:t>
            </w:r>
          </w:p>
        </w:tc>
      </w:tr>
    </w:tbl>
    <w:p>
      <w:pPr>
        <w:spacing w:after="60"/>
      </w:pPr>
    </w:p>
    <w:p>
      <w:pPr>
        <w:pStyle w:val="Heading2"/>
      </w:pPr>
      <w:r>
        <w:t xml:space="preserve">5.4 Report 4 - Unused fields</w:t>
      </w:r>
    </w:p>
    <w:p>
      <w:pPr>
        <w:spacing w:after="120"/>
      </w:pPr>
      <w:r>
        <w:t xml:space="preserve">Lists custom columns that hold no data in any record, then checks their solution dependencies and searches forms, views, charts, workflows, business rules and plug-in step filtering attributes for references to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2D0CE" w:sz="4"/>
              <w:left w:val="single" w:color="D2D0CE" w:sz="4"/>
              <w:bottom w:val="single" w:color="D2D0CE" w:sz="4"/>
              <w:right w:val="single" w:color="D2D0CE" w:sz="4"/>
            </w:tcBorders>
            <w:shd w:fill="1F4E79" w:color="auto" w:val="clear"/>
            <w:tcMar>
              <w:top w:type="dxa" w:w="60"/>
              <w:left w:type="dxa" w:w="100"/>
              <w:bottom w:type="dxa" w:w="60"/>
              <w:right w:type="dxa" w:w="100"/>
            </w:tcMar>
          </w:tcPr>
          <w:p>
            <w:r>
              <w:rPr>
                <w:b/>
                <w:bCs/>
                <w:color w:val="FFFFFF"/>
              </w:rPr>
              <w:t xml:space="preserve">Column</w:t>
            </w:r>
          </w:p>
        </w:tc>
        <w:tc>
          <w:tcPr>
            <w:tcW w:type="dxa" w:w="6026"/>
            <w:tcBorders>
              <w:top w:val="single" w:color="D2D0CE" w:sz="4"/>
              <w:left w:val="single" w:color="D2D0CE" w:sz="4"/>
              <w:bottom w:val="single" w:color="D2D0CE" w:sz="4"/>
              <w:right w:val="single" w:color="D2D0CE" w:sz="4"/>
            </w:tcBorders>
            <w:shd w:fill="1F4E79" w:color="auto" w:val="clear"/>
            <w:tcMar>
              <w:top w:type="dxa" w:w="60"/>
              <w:left w:type="dxa" w:w="100"/>
              <w:bottom w:type="dxa" w:w="60"/>
              <w:right w:type="dxa" w:w="100"/>
            </w:tcMar>
          </w:tcPr>
          <w:p>
            <w:r>
              <w:rPr>
                <w:b/>
                <w:bCs/>
                <w:color w:val="FFFFFF"/>
              </w:rPr>
              <w:t xml:space="preserve">Meaning</w:t>
            </w:r>
          </w:p>
        </w:tc>
      </w:tr>
      <w:tr>
        <w:tc>
          <w:tcPr>
            <w:tcW w:type="dxa" w:w="3000"/>
            <w:tcBorders>
              <w:top w:val="single" w:color="D2D0CE" w:sz="4"/>
              <w:left w:val="single" w:color="D2D0CE" w:sz="4"/>
              <w:bottom w:val="single" w:color="D2D0CE" w:sz="4"/>
              <w:right w:val="single" w:color="D2D0CE" w:sz="4"/>
            </w:tcBorders>
            <w:tcMar>
              <w:top w:type="dxa" w:w="60"/>
              <w:left w:type="dxa" w:w="100"/>
              <w:bottom w:type="dxa" w:w="60"/>
              <w:right w:type="dxa" w:w="100"/>
            </w:tcMar>
          </w:tcPr>
          <w:p>
            <w:r>
              <w:rPr>
                <w:b/>
                <w:bCs/>
              </w:rPr>
              <w:t xml:space="preserve">Managed</w:t>
            </w:r>
          </w:p>
        </w:tc>
        <w:tc>
          <w:tcPr>
            <w:tcW w:type="dxa" w:w="6026"/>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Managed columns can only be removed by uninstalling or updating their solution.</w:t>
            </w:r>
          </w:p>
        </w:tc>
      </w:tr>
      <w:tr>
        <w:tc>
          <w:tcPr>
            <w:tcW w:type="dxa" w:w="3000"/>
            <w:tcBorders>
              <w:top w:val="single" w:color="D2D0CE" w:sz="4"/>
              <w:left w:val="single" w:color="D2D0CE" w:sz="4"/>
              <w:bottom w:val="single" w:color="D2D0CE" w:sz="4"/>
              <w:right w:val="single" w:color="D2D0CE" w:sz="4"/>
            </w:tcBorders>
            <w:tcMar>
              <w:top w:type="dxa" w:w="60"/>
              <w:left w:type="dxa" w:w="100"/>
              <w:bottom w:type="dxa" w:w="60"/>
              <w:right w:type="dxa" w:w="100"/>
            </w:tcMar>
          </w:tcPr>
          <w:p>
            <w:r>
              <w:rPr>
                <w:b/>
                <w:bCs/>
              </w:rPr>
              <w:t xml:space="preserve">Review notes</w:t>
            </w:r>
          </w:p>
        </w:tc>
        <w:tc>
          <w:tcPr>
            <w:tcW w:type="dxa" w:w="6026"/>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Reasons to double-check, e.g. required field, lookup, default value.</w:t>
            </w:r>
          </w:p>
        </w:tc>
      </w:tr>
      <w:tr>
        <w:tc>
          <w:tcPr>
            <w:tcW w:type="dxa" w:w="3000"/>
            <w:tcBorders>
              <w:top w:val="single" w:color="D2D0CE" w:sz="4"/>
              <w:left w:val="single" w:color="D2D0CE" w:sz="4"/>
              <w:bottom w:val="single" w:color="D2D0CE" w:sz="4"/>
              <w:right w:val="single" w:color="D2D0CE" w:sz="4"/>
            </w:tcBorders>
            <w:tcMar>
              <w:top w:type="dxa" w:w="60"/>
              <w:left w:type="dxa" w:w="100"/>
              <w:bottom w:type="dxa" w:w="60"/>
              <w:right w:type="dxa" w:w="100"/>
            </w:tcMar>
          </w:tcPr>
          <w:p>
            <w:r>
              <w:rPr>
                <w:b/>
                <w:bCs/>
              </w:rPr>
              <w:t xml:space="preserve">Dependencies / Dependency details</w:t>
            </w:r>
          </w:p>
        </w:tc>
        <w:tc>
          <w:tcPr>
            <w:tcW w:type="dxa" w:w="6026"/>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Solution components that depend on the column.</w:t>
            </w:r>
          </w:p>
        </w:tc>
      </w:tr>
      <w:tr>
        <w:tc>
          <w:tcPr>
            <w:tcW w:type="dxa" w:w="3000"/>
            <w:tcBorders>
              <w:top w:val="single" w:color="D2D0CE" w:sz="4"/>
              <w:left w:val="single" w:color="D2D0CE" w:sz="4"/>
              <w:bottom w:val="single" w:color="D2D0CE" w:sz="4"/>
              <w:right w:val="single" w:color="D2D0CE" w:sz="4"/>
            </w:tcBorders>
            <w:tcMar>
              <w:top w:type="dxa" w:w="60"/>
              <w:left w:type="dxa" w:w="100"/>
              <w:bottom w:type="dxa" w:w="60"/>
              <w:right w:type="dxa" w:w="100"/>
            </w:tcMar>
          </w:tcPr>
          <w:p>
            <w:r>
              <w:rPr>
                <w:b/>
                <w:bCs/>
              </w:rPr>
              <w:t xml:space="preserve">Possible references</w:t>
            </w:r>
          </w:p>
        </w:tc>
        <w:tc>
          <w:tcPr>
            <w:tcW w:type="dxa" w:w="6026"/>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Forms, views, charts, workflows, business rules or plug-in steps whose definition mentions the column.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26"/>
      </w:tblGrid>
      <w:tr>
        <w:trPr>
          <w:tblHeader/>
        </w:trPr>
        <w:tc>
          <w:tcPr>
            <w:tcW w:type="dxa" w:w="2600"/>
            <w:tcBorders>
              <w:top w:val="single" w:color="D2D0CE" w:sz="4"/>
              <w:left w:val="single" w:color="D2D0CE" w:sz="4"/>
              <w:bottom w:val="single" w:color="D2D0CE" w:sz="4"/>
              <w:right w:val="single" w:color="D2D0CE" w:sz="4"/>
            </w:tcBorders>
            <w:shd w:fill="1F4E79" w:color="auto" w:val="clear"/>
            <w:tcMar>
              <w:top w:type="dxa" w:w="60"/>
              <w:left w:type="dxa" w:w="100"/>
              <w:bottom w:type="dxa" w:w="60"/>
              <w:right w:type="dxa" w:w="100"/>
            </w:tcMar>
          </w:tcPr>
          <w:p>
            <w:r>
              <w:rPr>
                <w:b/>
                <w:bCs/>
                <w:color w:val="FFFFFF"/>
              </w:rPr>
              <w:t xml:space="preserve">Status</w:t>
            </w:r>
          </w:p>
        </w:tc>
        <w:tc>
          <w:tcPr>
            <w:tcW w:type="dxa" w:w="2000"/>
            <w:tcBorders>
              <w:top w:val="single" w:color="D2D0CE" w:sz="4"/>
              <w:left w:val="single" w:color="D2D0CE" w:sz="4"/>
              <w:bottom w:val="single" w:color="D2D0CE" w:sz="4"/>
              <w:right w:val="single" w:color="D2D0CE" w:sz="4"/>
            </w:tcBorders>
            <w:shd w:fill="1F4E79" w:color="auto" w:val="clear"/>
            <w:tcMar>
              <w:top w:type="dxa" w:w="60"/>
              <w:left w:type="dxa" w:w="100"/>
              <w:bottom w:type="dxa" w:w="60"/>
              <w:right w:type="dxa" w:w="100"/>
            </w:tcMar>
          </w:tcPr>
          <w:p>
            <w:r>
              <w:rPr>
                <w:b/>
                <w:bCs/>
                <w:color w:val="FFFFFF"/>
              </w:rPr>
              <w:t xml:space="preserve">Colour</w:t>
            </w:r>
          </w:p>
        </w:tc>
        <w:tc>
          <w:tcPr>
            <w:tcW w:type="dxa" w:w="4426"/>
            <w:tcBorders>
              <w:top w:val="single" w:color="D2D0CE" w:sz="4"/>
              <w:left w:val="single" w:color="D2D0CE" w:sz="4"/>
              <w:bottom w:val="single" w:color="D2D0CE" w:sz="4"/>
              <w:right w:val="single" w:color="D2D0CE" w:sz="4"/>
            </w:tcBorders>
            <w:shd w:fill="1F4E79" w:color="auto" w:val="clear"/>
            <w:tcMar>
              <w:top w:type="dxa" w:w="60"/>
              <w:left w:type="dxa" w:w="100"/>
              <w:bottom w:type="dxa" w:w="60"/>
              <w:right w:type="dxa" w:w="100"/>
            </w:tcMar>
          </w:tcPr>
          <w:p>
            <w:r>
              <w:rPr>
                <w:b/>
                <w:bCs/>
                <w:color w:val="FFFFFF"/>
              </w:rPr>
              <w:t xml:space="preserve">What to do</w:t>
            </w:r>
          </w:p>
        </w:tc>
      </w:tr>
      <w:tr>
        <w:tc>
          <w:tcPr>
            <w:tcW w:type="dxa" w:w="2600"/>
            <w:tcBorders>
              <w:top w:val="single" w:color="D2D0CE" w:sz="4"/>
              <w:left w:val="single" w:color="D2D0CE" w:sz="4"/>
              <w:bottom w:val="single" w:color="D2D0CE" w:sz="4"/>
              <w:right w:val="single" w:color="D2D0CE" w:sz="4"/>
            </w:tcBorders>
            <w:shd w:fill="FDE2E1" w:color="auto" w:val="clear"/>
            <w:tcMar>
              <w:top w:type="dxa" w:w="60"/>
              <w:left w:type="dxa" w:w="100"/>
              <w:bottom w:type="dxa" w:w="60"/>
              <w:right w:type="dxa" w:w="100"/>
            </w:tcMar>
          </w:tcPr>
          <w:p>
            <w:r>
              <w:t xml:space="preserve">Safe to delete</w:t>
            </w:r>
          </w:p>
        </w:tc>
        <w:tc>
          <w:tcPr>
            <w:tcW w:type="dxa" w:w="2000"/>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Clean-up candidate</w:t>
            </w:r>
          </w:p>
        </w:tc>
        <w:tc>
          <w:tcPr>
            <w:tcW w:type="dxa" w:w="4426"/>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Empty, no dependencies, no references found. Good candidate for removal after the manual checks below.</w:t>
            </w:r>
          </w:p>
        </w:tc>
      </w:tr>
      <w:tr>
        <w:tc>
          <w:tcPr>
            <w:tcW w:type="dxa" w:w="2600"/>
            <w:tcBorders>
              <w:top w:val="single" w:color="D2D0CE" w:sz="4"/>
              <w:left w:val="single" w:color="D2D0CE" w:sz="4"/>
              <w:bottom w:val="single" w:color="D2D0CE" w:sz="4"/>
              <w:right w:val="single" w:color="D2D0CE" w:sz="4"/>
            </w:tcBorders>
            <w:shd w:fill="FFF4CE" w:color="auto" w:val="clear"/>
            <w:tcMar>
              <w:top w:type="dxa" w:w="60"/>
              <w:left w:type="dxa" w:w="100"/>
              <w:bottom w:type="dxa" w:w="60"/>
              <w:right w:type="dxa" w:w="100"/>
            </w:tcMar>
          </w:tcPr>
          <w:p>
            <w:r>
              <w:t xml:space="preserve">Review before deleting</w:t>
            </w:r>
          </w:p>
        </w:tc>
        <w:tc>
          <w:tcPr>
            <w:tcW w:type="dxa" w:w="2000"/>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Needs review</w:t>
            </w:r>
          </w:p>
        </w:tc>
        <w:tc>
          <w:tcPr>
            <w:tcW w:type="dxa" w:w="4426"/>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Empty, but something still points at it. Remove those references first, or keep the column.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A4262C" w:sz="24"/>
              <w:bottom w:val="none" w:color="FFFFFF" w:sz="0"/>
              <w:right w:val="none" w:color="FFFFFF" w:sz="0"/>
            </w:tcBorders>
            <w:shd w:fill="FDE2E1" w:color="auto" w:val="clear"/>
            <w:tcMar>
              <w:top w:type="dxa" w:w="100"/>
              <w:left w:type="dxa" w:w="180"/>
              <w:bottom w:type="dxa" w:w="100"/>
              <w:right w:type="dxa" w:w="180"/>
            </w:tcMar>
          </w:tcPr>
          <w:p>
            <w:r>
              <w:rPr>
                <w:b/>
                <w:bCs/>
                <w:color w:val="A4262C"/>
              </w:rPr>
              <w:t xml:space="preserve">Always check manually:  </w:t>
            </w:r>
            <w:r>
              <w:t xml:space="preserve">JavaScript web resources, Power Automate cloud flows, canvas apps, PCF controls, integrations and reports are NOT scanned. Confirm with their owners before deleting any column.</w:t>
            </w:r>
          </w:p>
        </w:tc>
      </w:tr>
    </w:tbl>
    <w:p>
      <w:pPr>
        <w:spacing w:after="60"/>
      </w:pPr>
    </w:p>
    <w:p>
      <w:pPr>
        <w:pStyle w:val="Heading1"/>
      </w:pPr>
      <w:r>
        <w:t xml:space="preserve">6. Settings (Step 2 - Scope &amp; filters)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4726"/>
      </w:tblGrid>
      <w:tr>
        <w:trPr>
          <w:tblHeader/>
        </w:trPr>
        <w:tc>
          <w:tcPr>
            <w:tcW w:type="dxa" w:w="3000"/>
            <w:tcBorders>
              <w:top w:val="single" w:color="D2D0CE" w:sz="4"/>
              <w:left w:val="single" w:color="D2D0CE" w:sz="4"/>
              <w:bottom w:val="single" w:color="D2D0CE" w:sz="4"/>
              <w:right w:val="single" w:color="D2D0CE" w:sz="4"/>
            </w:tcBorders>
            <w:shd w:fill="1F4E79" w:color="auto" w:val="clear"/>
            <w:tcMar>
              <w:top w:type="dxa" w:w="60"/>
              <w:left w:type="dxa" w:w="100"/>
              <w:bottom w:type="dxa" w:w="60"/>
              <w:right w:type="dxa" w:w="100"/>
            </w:tcMar>
          </w:tcPr>
          <w:p>
            <w:r>
              <w:rPr>
                <w:b/>
                <w:bCs/>
                <w:color w:val="FFFFFF"/>
              </w:rPr>
              <w:t xml:space="preserve">Setting</w:t>
            </w:r>
          </w:p>
        </w:tc>
        <w:tc>
          <w:tcPr>
            <w:tcW w:type="dxa" w:w="1300"/>
            <w:tcBorders>
              <w:top w:val="single" w:color="D2D0CE" w:sz="4"/>
              <w:left w:val="single" w:color="D2D0CE" w:sz="4"/>
              <w:bottom w:val="single" w:color="D2D0CE" w:sz="4"/>
              <w:right w:val="single" w:color="D2D0CE" w:sz="4"/>
            </w:tcBorders>
            <w:shd w:fill="1F4E79" w:color="auto" w:val="clear"/>
            <w:tcMar>
              <w:top w:type="dxa" w:w="60"/>
              <w:left w:type="dxa" w:w="100"/>
              <w:bottom w:type="dxa" w:w="60"/>
              <w:right w:type="dxa" w:w="100"/>
            </w:tcMar>
          </w:tcPr>
          <w:p>
            <w:r>
              <w:rPr>
                <w:b/>
                <w:bCs/>
                <w:color w:val="FFFFFF"/>
              </w:rPr>
              <w:t xml:space="preserve">Default</w:t>
            </w:r>
          </w:p>
        </w:tc>
        <w:tc>
          <w:tcPr>
            <w:tcW w:type="dxa" w:w="4726"/>
            <w:tcBorders>
              <w:top w:val="single" w:color="D2D0CE" w:sz="4"/>
              <w:left w:val="single" w:color="D2D0CE" w:sz="4"/>
              <w:bottom w:val="single" w:color="D2D0CE" w:sz="4"/>
              <w:right w:val="single" w:color="D2D0CE" w:sz="4"/>
            </w:tcBorders>
            <w:shd w:fill="1F4E79" w:color="auto" w:val="clear"/>
            <w:tcMar>
              <w:top w:type="dxa" w:w="60"/>
              <w:left w:type="dxa" w:w="100"/>
              <w:bottom w:type="dxa" w:w="60"/>
              <w:right w:type="dxa" w:w="100"/>
            </w:tcMar>
          </w:tcPr>
          <w:p>
            <w:r>
              <w:rPr>
                <w:b/>
                <w:bCs/>
                <w:color w:val="FFFFFF"/>
              </w:rPr>
              <w:t xml:space="preserve">What it does</w:t>
            </w:r>
          </w:p>
        </w:tc>
      </w:tr>
      <w:tr>
        <w:tc>
          <w:tcPr>
            <w:tcW w:type="dxa" w:w="3000"/>
            <w:tcBorders>
              <w:top w:val="single" w:color="D2D0CE" w:sz="4"/>
              <w:left w:val="single" w:color="D2D0CE" w:sz="4"/>
              <w:bottom w:val="single" w:color="D2D0CE" w:sz="4"/>
              <w:right w:val="single" w:color="D2D0CE" w:sz="4"/>
            </w:tcBorders>
            <w:tcMar>
              <w:top w:type="dxa" w:w="60"/>
              <w:left w:type="dxa" w:w="100"/>
              <w:bottom w:type="dxa" w:w="60"/>
              <w:right w:type="dxa" w:w="100"/>
            </w:tcMar>
          </w:tcPr>
          <w:p>
            <w:r>
              <w:rPr>
                <w:b/>
                <w:bCs/>
              </w:rPr>
              <w:t xml:space="preserve">Solutions</w:t>
            </w:r>
          </w:p>
        </w:tc>
        <w:tc>
          <w:tcPr>
            <w:tcW w:type="dxa" w:w="1300"/>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None ticked</w:t>
            </w:r>
          </w:p>
        </w:tc>
        <w:tc>
          <w:tcPr>
            <w:tcW w:type="dxa" w:w="4726"/>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Limits every report to the tables and columns in the ticked solutions. None ticked = whole environment.</w:t>
            </w:r>
          </w:p>
        </w:tc>
      </w:tr>
      <w:tr>
        <w:tc>
          <w:tcPr>
            <w:tcW w:type="dxa" w:w="3000"/>
            <w:tcBorders>
              <w:top w:val="single" w:color="D2D0CE" w:sz="4"/>
              <w:left w:val="single" w:color="D2D0CE" w:sz="4"/>
              <w:bottom w:val="single" w:color="D2D0CE" w:sz="4"/>
              <w:right w:val="single" w:color="D2D0CE" w:sz="4"/>
            </w:tcBorders>
            <w:tcMar>
              <w:top w:type="dxa" w:w="60"/>
              <w:left w:type="dxa" w:w="100"/>
              <w:bottom w:type="dxa" w:w="60"/>
              <w:right w:type="dxa" w:w="100"/>
            </w:tcMar>
          </w:tcPr>
          <w:p>
            <w:r>
              <w:rPr>
                <w:b/>
                <w:bCs/>
              </w:rPr>
              <w:t xml:space="preserve">Custom tables only</w:t>
            </w:r>
          </w:p>
        </w:tc>
        <w:tc>
          <w:tcPr>
            <w:tcW w:type="dxa" w:w="1300"/>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On</w:t>
            </w:r>
          </w:p>
        </w:tc>
        <w:tc>
          <w:tcPr>
            <w:tcW w:type="dxa" w:w="4726"/>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Skips out-of-the-box Microsoft tables.</w:t>
            </w:r>
          </w:p>
        </w:tc>
      </w:tr>
      <w:tr>
        <w:tc>
          <w:tcPr>
            <w:tcW w:type="dxa" w:w="3000"/>
            <w:tcBorders>
              <w:top w:val="single" w:color="D2D0CE" w:sz="4"/>
              <w:left w:val="single" w:color="D2D0CE" w:sz="4"/>
              <w:bottom w:val="single" w:color="D2D0CE" w:sz="4"/>
              <w:right w:val="single" w:color="D2D0CE" w:sz="4"/>
            </w:tcBorders>
            <w:tcMar>
              <w:top w:type="dxa" w:w="60"/>
              <w:left w:type="dxa" w:w="100"/>
              <w:bottom w:type="dxa" w:w="60"/>
              <w:right w:type="dxa" w:w="100"/>
            </w:tcMar>
          </w:tcPr>
          <w:p>
            <w:r>
              <w:rPr>
                <w:b/>
                <w:bCs/>
              </w:rPr>
              <w:t xml:space="preserve">Tables</w:t>
            </w:r>
          </w:p>
        </w:tc>
        <w:tc>
          <w:tcPr>
            <w:tcW w:type="dxa" w:w="1300"/>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All tables in scope</w:t>
            </w:r>
          </w:p>
        </w:tc>
        <w:tc>
          <w:tcPr>
            <w:tcW w:type="dxa" w:w="4726"/>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Choose Specific tables to analyse only the tables you tick. The list shows the tables in the ticked solutions and can be searched by display or logical name.</w:t>
            </w:r>
          </w:p>
        </w:tc>
      </w:tr>
      <w:tr>
        <w:tc>
          <w:tcPr>
            <w:tcW w:type="dxa" w:w="3000"/>
            <w:tcBorders>
              <w:top w:val="single" w:color="D2D0CE" w:sz="4"/>
              <w:left w:val="single" w:color="D2D0CE" w:sz="4"/>
              <w:bottom w:val="single" w:color="D2D0CE" w:sz="4"/>
              <w:right w:val="single" w:color="D2D0CE" w:sz="4"/>
            </w:tcBorders>
            <w:tcMar>
              <w:top w:type="dxa" w:w="60"/>
              <w:left w:type="dxa" w:w="100"/>
              <w:bottom w:type="dxa" w:w="60"/>
              <w:right w:type="dxa" w:w="100"/>
            </w:tcMar>
          </w:tcPr>
          <w:p>
            <w:r>
              <w:rPr>
                <w:b/>
                <w:bCs/>
              </w:rPr>
              <w:t xml:space="preserve">Include system (non-custom) fields</w:t>
            </w:r>
          </w:p>
        </w:tc>
        <w:tc>
          <w:tcPr>
            <w:tcW w:type="dxa" w:w="1300"/>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Off</w:t>
            </w:r>
          </w:p>
        </w:tc>
        <w:tc>
          <w:tcPr>
            <w:tcW w:type="dxa" w:w="4726"/>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Also analyses standard columns, not only custom ones.</w:t>
            </w:r>
          </w:p>
        </w:tc>
      </w:tr>
      <w:tr>
        <w:tc>
          <w:tcPr>
            <w:tcW w:type="dxa" w:w="3000"/>
            <w:tcBorders>
              <w:top w:val="single" w:color="D2D0CE" w:sz="4"/>
              <w:left w:val="single" w:color="D2D0CE" w:sz="4"/>
              <w:bottom w:val="single" w:color="D2D0CE" w:sz="4"/>
              <w:right w:val="single" w:color="D2D0CE" w:sz="4"/>
            </w:tcBorders>
            <w:tcMar>
              <w:top w:type="dxa" w:w="60"/>
              <w:left w:type="dxa" w:w="100"/>
              <w:bottom w:type="dxa" w:w="60"/>
              <w:right w:type="dxa" w:w="100"/>
            </w:tcMar>
          </w:tcPr>
          <w:p>
            <w:r>
              <w:rPr>
                <w:b/>
                <w:bCs/>
              </w:rPr>
              <w:t xml:space="preserve">Field-name match strictness (1)</w:t>
            </w:r>
          </w:p>
        </w:tc>
        <w:tc>
          <w:tcPr>
            <w:tcW w:type="dxa" w:w="1300"/>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0.85</w:t>
            </w:r>
          </w:p>
        </w:tc>
        <w:tc>
          <w:tcPr>
            <w:tcW w:type="dxa" w:w="4726"/>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0.50 - 1.00. Higher = only very similar names are grouped in report 1.</w:t>
            </w:r>
          </w:p>
        </w:tc>
      </w:tr>
      <w:tr>
        <w:tc>
          <w:tcPr>
            <w:tcW w:type="dxa" w:w="3000"/>
            <w:tcBorders>
              <w:top w:val="single" w:color="D2D0CE" w:sz="4"/>
              <w:left w:val="single" w:color="D2D0CE" w:sz="4"/>
              <w:bottom w:val="single" w:color="D2D0CE" w:sz="4"/>
              <w:right w:val="single" w:color="D2D0CE" w:sz="4"/>
            </w:tcBorders>
            <w:tcMar>
              <w:top w:type="dxa" w:w="60"/>
              <w:left w:type="dxa" w:w="100"/>
              <w:bottom w:type="dxa" w:w="60"/>
              <w:right w:type="dxa" w:w="100"/>
            </w:tcMar>
          </w:tcPr>
          <w:p>
            <w:r>
              <w:rPr>
                <w:b/>
                <w:bCs/>
              </w:rPr>
              <w:t xml:space="preserve">Option-set match strictness (2)</w:t>
            </w:r>
          </w:p>
        </w:tc>
        <w:tc>
          <w:tcPr>
            <w:tcW w:type="dxa" w:w="1300"/>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0.80</w:t>
            </w:r>
          </w:p>
        </w:tc>
        <w:tc>
          <w:tcPr>
            <w:tcW w:type="dxa" w:w="4726"/>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Share of identical labels needed to call two option sets similar in report 2.</w:t>
            </w:r>
          </w:p>
        </w:tc>
      </w:tr>
      <w:tr>
        <w:tc>
          <w:tcPr>
            <w:tcW w:type="dxa" w:w="3000"/>
            <w:tcBorders>
              <w:top w:val="single" w:color="D2D0CE" w:sz="4"/>
              <w:left w:val="single" w:color="D2D0CE" w:sz="4"/>
              <w:bottom w:val="single" w:color="D2D0CE" w:sz="4"/>
              <w:right w:val="single" w:color="D2D0CE" w:sz="4"/>
            </w:tcBorders>
            <w:tcMar>
              <w:top w:type="dxa" w:w="60"/>
              <w:left w:type="dxa" w:w="100"/>
              <w:bottom w:type="dxa" w:w="60"/>
              <w:right w:type="dxa" w:w="100"/>
            </w:tcMar>
          </w:tcPr>
          <w:p>
            <w:r>
              <w:rPr>
                <w:b/>
                <w:bCs/>
              </w:rPr>
              <w:t xml:space="preserve">Flag length use below % (3)</w:t>
            </w:r>
          </w:p>
        </w:tc>
        <w:tc>
          <w:tcPr>
            <w:tcW w:type="dxa" w:w="1300"/>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50</w:t>
            </w:r>
          </w:p>
        </w:tc>
        <w:tc>
          <w:tcPr>
            <w:tcW w:type="dxa" w:w="4726"/>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Text fields whose longest value uses less than this % of their max length are flagged in report 3.</w:t>
            </w:r>
          </w:p>
        </w:tc>
      </w:tr>
      <w:tr>
        <w:tc>
          <w:tcPr>
            <w:tcW w:type="dxa" w:w="3000"/>
            <w:tcBorders>
              <w:top w:val="single" w:color="D2D0CE" w:sz="4"/>
              <w:left w:val="single" w:color="D2D0CE" w:sz="4"/>
              <w:bottom w:val="single" w:color="D2D0CE" w:sz="4"/>
              <w:right w:val="single" w:color="D2D0CE" w:sz="4"/>
            </w:tcBorders>
            <w:tcMar>
              <w:top w:type="dxa" w:w="60"/>
              <w:left w:type="dxa" w:w="100"/>
              <w:bottom w:type="dxa" w:w="60"/>
              <w:right w:type="dxa" w:w="100"/>
            </w:tcMar>
          </w:tcPr>
          <w:p>
            <w:r>
              <w:rPr>
                <w:b/>
                <w:bCs/>
              </w:rPr>
              <w:t xml:space="preserve">Max records per table (3)</w:t>
            </w:r>
          </w:p>
        </w:tc>
        <w:tc>
          <w:tcPr>
            <w:tcW w:type="dxa" w:w="1300"/>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50,000</w:t>
            </w:r>
          </w:p>
        </w:tc>
        <w:tc>
          <w:tcPr>
            <w:tcW w:type="dxa" w:w="4726"/>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Records read per table in report 3. 0 = all. Lower is faster on big tables.</w:t>
            </w:r>
          </w:p>
        </w:tc>
      </w:tr>
    </w:tbl>
    <w:p>
      <w:pPr>
        <w:spacing w:after="60"/>
      </w:pPr>
    </w:p>
    <w:p>
      <w:pPr>
        <w:pStyle w:val="Heading1"/>
      </w:pPr>
      <w:r>
        <w:t xml:space="preserve">7. Exporting and the delete script</w:t>
      </w:r>
    </w:p>
    <w:p>
      <w:pPr>
        <w:pStyle w:val="Heading2"/>
      </w:pPr>
      <w:r>
        <w:t xml:space="preserve">7.1 Export to CSV</w:t>
      </w:r>
    </w:p>
    <w:p>
      <w:pPr>
        <w:spacing w:after="120"/>
      </w:pPr>
      <w:r>
        <w:t xml:space="preserve">Export to CSV saves exactly what the current tab shows - after your search and card filter - so you can, for example, click the "Safe to delete" card and export just those rows for sign-off.</w:t>
      </w:r>
    </w:p>
    <w:p>
      <w:pPr>
        <w:pStyle w:val="Heading2"/>
      </w:pPr>
      <w:r>
        <w:t xml:space="preserve">7.2 Delete script (optional)</w:t>
      </w:r>
    </w:p>
    <w:p>
      <w:pPr>
        <w:pStyle w:val="ListParagraph"/>
        <w:numPr>
          <w:ilvl w:val="0"/>
          <w:numId w:val="6"/>
        </w:numPr>
        <w:spacing w:after="80"/>
      </w:pPr>
      <w:r>
        <w:t xml:space="preserve">Run report 4 (Unused fields).</w:t>
      </w:r>
    </w:p>
    <w:p>
      <w:pPr>
        <w:pStyle w:val="ListParagraph"/>
        <w:numPr>
          <w:ilvl w:val="0"/>
          <w:numId w:val="6"/>
        </w:numPr>
        <w:spacing w:after="80"/>
      </w:pPr>
      <w:r>
        <w:t xml:space="preserve">Tick Enable delete-script generation (a safety switch).</w:t>
      </w:r>
    </w:p>
    <w:p>
      <w:pPr>
        <w:pStyle w:val="ListParagraph"/>
        <w:numPr>
          <w:ilvl w:val="0"/>
          <w:numId w:val="6"/>
        </w:numPr>
        <w:spacing w:after="80"/>
      </w:pPr>
      <w:r>
        <w:t xml:space="preserve">Click Delete script and choose where to save the .ps1 file.</w:t>
      </w:r>
    </w:p>
    <w:p>
      <w:pPr>
        <w:spacing w:after="120"/>
      </w:pPr>
      <w:r>
        <w:t xml:space="preserve">The PowerShell file lists a delete command for every "Safe to delete" column, but every command is commented out. Review it with your team, remove the # only for columns you have agreed to delete, and run it in a test environment first.</w:t>
      </w:r>
    </w:p>
    <w:p>
      <w:pPr>
        <w:spacing w:after="60"/>
      </w:pPr>
    </w:p>
    <w:p>
      <w:pPr>
        <w:pStyle w:val="Heading1"/>
      </w:pPr>
      <w:r>
        <w:t xml:space="preserve">8. Good practice and known limits</w:t>
      </w:r>
    </w:p>
    <w:p>
      <w:pPr>
        <w:pStyle w:val="ListParagraph"/>
        <w:numPr>
          <w:ilvl w:val="0"/>
          <w:numId w:val="2"/>
        </w:numPr>
        <w:spacing w:after="60"/>
      </w:pPr>
      <w:r>
        <w:t xml:space="preserve">Run the tool in a copy of production (or production itself - it is read-only) so the record counts are real.</w:t>
      </w:r>
    </w:p>
    <w:p>
      <w:pPr>
        <w:pStyle w:val="ListParagraph"/>
        <w:numPr>
          <w:ilvl w:val="0"/>
          <w:numId w:val="2"/>
        </w:numPr>
        <w:spacing w:after="60"/>
      </w:pPr>
      <w:r>
        <w:t xml:space="preserve">Never delete straight from the results. Export, review with the owners of each table, delete in development, and deploy through your normal solution process.</w:t>
      </w:r>
    </w:p>
    <w:p>
      <w:pPr>
        <w:pStyle w:val="ListParagraph"/>
        <w:numPr>
          <w:ilvl w:val="0"/>
          <w:numId w:val="2"/>
        </w:numPr>
        <w:spacing w:after="60"/>
      </w:pPr>
      <w:r>
        <w:t xml:space="preserve">Big tables: record counting automatically splits queries to stay under Dataverse's 50,000-record aggregate limit, so it may take longer, but it will finish.</w:t>
      </w:r>
    </w:p>
    <w:p>
      <w:pPr>
        <w:pStyle w:val="ListParagraph"/>
        <w:numPr>
          <w:ilvl w:val="0"/>
          <w:numId w:val="2"/>
        </w:numPr>
        <w:spacing w:after="60"/>
      </w:pPr>
      <w:r>
        <w:t xml:space="preserve">Report 3 reads records (FetchXML cannot measure text length). Use the 'Max records per table' setting on very large tables.</w:t>
      </w:r>
    </w:p>
    <w:p>
      <w:pPr>
        <w:pStyle w:val="ListParagraph"/>
        <w:numPr>
          <w:ilvl w:val="0"/>
          <w:numId w:val="2"/>
        </w:numPr>
        <w:spacing w:after="60"/>
      </w:pPr>
      <w:r>
        <w:t xml:space="preserve">Columns added to a solution as part of a whole table count as in scope for that solution.</w:t>
      </w:r>
    </w:p>
    <w:p>
      <w:pPr>
        <w:pStyle w:val="ListParagraph"/>
        <w:numPr>
          <w:ilvl w:val="0"/>
          <w:numId w:val="2"/>
        </w:numPr>
        <w:spacing w:after="60"/>
      </w:pPr>
      <w:r>
        <w:t xml:space="preserve">Not scanned for references: web resource JavaScript, Power Automate cloud flows, canvas apps, PCF controls.</w:t>
      </w:r>
    </w:p>
    <w:p>
      <w:pPr>
        <w:spacing w:after="60"/>
      </w:pPr>
    </w:p>
    <w:p>
      <w:pPr>
        <w:pStyle w:val="Heading1"/>
      </w:pPr>
      <w:r>
        <w:t xml:space="preserve">9.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D2D0CE" w:sz="4"/>
              <w:left w:val="single" w:color="D2D0CE" w:sz="4"/>
              <w:bottom w:val="single" w:color="D2D0CE" w:sz="4"/>
              <w:right w:val="single" w:color="D2D0CE" w:sz="4"/>
            </w:tcBorders>
            <w:shd w:fill="1F4E79" w:color="auto" w:val="clear"/>
            <w:tcMar>
              <w:top w:type="dxa" w:w="60"/>
              <w:left w:type="dxa" w:w="100"/>
              <w:bottom w:type="dxa" w:w="60"/>
              <w:right w:type="dxa" w:w="100"/>
            </w:tcMar>
          </w:tcPr>
          <w:p>
            <w:r>
              <w:rPr>
                <w:b/>
                <w:bCs/>
                <w:color w:val="FFFFFF"/>
              </w:rPr>
              <w:t xml:space="preserve">What you see</w:t>
            </w:r>
          </w:p>
        </w:tc>
        <w:tc>
          <w:tcPr>
            <w:tcW w:type="dxa" w:w="5626"/>
            <w:tcBorders>
              <w:top w:val="single" w:color="D2D0CE" w:sz="4"/>
              <w:left w:val="single" w:color="D2D0CE" w:sz="4"/>
              <w:bottom w:val="single" w:color="D2D0CE" w:sz="4"/>
              <w:right w:val="single" w:color="D2D0CE" w:sz="4"/>
            </w:tcBorders>
            <w:shd w:fill="1F4E79" w:color="auto" w:val="clear"/>
            <w:tcMar>
              <w:top w:type="dxa" w:w="60"/>
              <w:left w:type="dxa" w:w="100"/>
              <w:bottom w:type="dxa" w:w="60"/>
              <w:right w:type="dxa" w:w="100"/>
            </w:tcMar>
          </w:tcPr>
          <w:p>
            <w:r>
              <w:rPr>
                <w:b/>
                <w:bCs/>
                <w:color w:val="FFFFFF"/>
              </w:rPr>
              <w:t xml:space="preserve">What to do</w:t>
            </w:r>
          </w:p>
        </w:tc>
      </w:tr>
      <w:tr>
        <w:tc>
          <w:tcPr>
            <w:tcW w:type="dxa" w:w="3400"/>
            <w:tcBorders>
              <w:top w:val="single" w:color="D2D0CE" w:sz="4"/>
              <w:left w:val="single" w:color="D2D0CE" w:sz="4"/>
              <w:bottom w:val="single" w:color="D2D0CE" w:sz="4"/>
              <w:right w:val="single" w:color="D2D0CE" w:sz="4"/>
            </w:tcBorders>
            <w:tcMar>
              <w:top w:type="dxa" w:w="60"/>
              <w:left w:type="dxa" w:w="100"/>
              <w:bottom w:type="dxa" w:w="60"/>
              <w:right w:type="dxa" w:w="100"/>
            </w:tcMar>
          </w:tcPr>
          <w:p>
            <w:r>
              <w:rPr>
                <w:b/>
                <w:bCs/>
              </w:rPr>
              <w:t xml:space="preserve">Tool is missing from the list</w:t>
            </w:r>
          </w:p>
        </w:tc>
        <w:tc>
          <w:tcPr>
            <w:tcW w:type="dxa" w:w="5626"/>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Check the DLL is in %AppData%\MscrmTools\XrmToolBox\Plugins, is unblocked, and restart XrmToolBox.</w:t>
            </w:r>
          </w:p>
        </w:tc>
      </w:tr>
      <w:tr>
        <w:tc>
          <w:tcPr>
            <w:tcW w:type="dxa" w:w="3400"/>
            <w:tcBorders>
              <w:top w:val="single" w:color="D2D0CE" w:sz="4"/>
              <w:left w:val="single" w:color="D2D0CE" w:sz="4"/>
              <w:bottom w:val="single" w:color="D2D0CE" w:sz="4"/>
              <w:right w:val="single" w:color="D2D0CE" w:sz="4"/>
            </w:tcBorders>
            <w:tcMar>
              <w:top w:type="dxa" w:w="60"/>
              <w:left w:type="dxa" w:w="100"/>
              <w:bottom w:type="dxa" w:w="60"/>
              <w:right w:type="dxa" w:w="100"/>
            </w:tcMar>
          </w:tcPr>
          <w:p>
            <w:r>
              <w:rPr>
                <w:b/>
                <w:bCs/>
              </w:rPr>
              <w:t xml:space="preserve">"Tool Library initialization failed" bar at the bottom</w:t>
            </w:r>
          </w:p>
        </w:tc>
        <w:tc>
          <w:tcPr>
            <w:tcW w:type="dxa" w:w="5626"/>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This message comes from XrmToolBox's Tool Library (often a network or proxy issue), not from this tool. Click retry or ignore it.</w:t>
            </w:r>
          </w:p>
        </w:tc>
      </w:tr>
      <w:tr>
        <w:tc>
          <w:tcPr>
            <w:tcW w:type="dxa" w:w="3400"/>
            <w:tcBorders>
              <w:top w:val="single" w:color="D2D0CE" w:sz="4"/>
              <w:left w:val="single" w:color="D2D0CE" w:sz="4"/>
              <w:bottom w:val="single" w:color="D2D0CE" w:sz="4"/>
              <w:right w:val="single" w:color="D2D0CE" w:sz="4"/>
            </w:tcBorders>
            <w:tcMar>
              <w:top w:type="dxa" w:w="60"/>
              <w:left w:type="dxa" w:w="100"/>
              <w:bottom w:type="dxa" w:w="60"/>
              <w:right w:type="dxa" w:w="100"/>
            </w:tcMar>
          </w:tcPr>
          <w:p>
            <w:r>
              <w:rPr>
                <w:b/>
                <w:bCs/>
              </w:rPr>
              <w:t xml:space="preserve">A report is very slow</w:t>
            </w:r>
          </w:p>
        </w:tc>
        <w:tc>
          <w:tcPr>
            <w:tcW w:type="dxa" w:w="5626"/>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Limit the scope to one solution, or lower 'Max records per table' for report 3. Watch the Activity log to see which table it is on.</w:t>
            </w:r>
          </w:p>
        </w:tc>
      </w:tr>
      <w:tr>
        <w:tc>
          <w:tcPr>
            <w:tcW w:type="dxa" w:w="3400"/>
            <w:tcBorders>
              <w:top w:val="single" w:color="D2D0CE" w:sz="4"/>
              <w:left w:val="single" w:color="D2D0CE" w:sz="4"/>
              <w:bottom w:val="single" w:color="D2D0CE" w:sz="4"/>
              <w:right w:val="single" w:color="D2D0CE" w:sz="4"/>
            </w:tcBorders>
            <w:tcMar>
              <w:top w:type="dxa" w:w="60"/>
              <w:left w:type="dxa" w:w="100"/>
              <w:bottom w:type="dxa" w:w="60"/>
              <w:right w:type="dxa" w:w="100"/>
            </w:tcMar>
          </w:tcPr>
          <w:p>
            <w:r>
              <w:rPr>
                <w:b/>
                <w:bCs/>
              </w:rPr>
              <w:t xml:space="preserve">"SKIPPED &lt;table&gt;" in the Activity log</w:t>
            </w:r>
          </w:p>
        </w:tc>
        <w:tc>
          <w:tcPr>
            <w:tcW w:type="dxa" w:w="5626"/>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That table could not be read (permissions or a platform limit). The rest of the report still completes.</w:t>
            </w:r>
          </w:p>
        </w:tc>
      </w:tr>
      <w:tr>
        <w:tc>
          <w:tcPr>
            <w:tcW w:type="dxa" w:w="3400"/>
            <w:tcBorders>
              <w:top w:val="single" w:color="D2D0CE" w:sz="4"/>
              <w:left w:val="single" w:color="D2D0CE" w:sz="4"/>
              <w:bottom w:val="single" w:color="D2D0CE" w:sz="4"/>
              <w:right w:val="single" w:color="D2D0CE" w:sz="4"/>
            </w:tcBorders>
            <w:tcMar>
              <w:top w:type="dxa" w:w="60"/>
              <w:left w:type="dxa" w:w="100"/>
              <w:bottom w:type="dxa" w:w="60"/>
              <w:right w:type="dxa" w:w="100"/>
            </w:tcMar>
          </w:tcPr>
          <w:p>
            <w:r>
              <w:rPr>
                <w:b/>
                <w:bCs/>
              </w:rPr>
              <w:t xml:space="preserve">Error message after a run</w:t>
            </w:r>
          </w:p>
        </w:tc>
        <w:tc>
          <w:tcPr>
            <w:tcW w:type="dxa" w:w="5626"/>
            <w:tcBorders>
              <w:top w:val="single" w:color="D2D0CE" w:sz="4"/>
              <w:left w:val="single" w:color="D2D0CE" w:sz="4"/>
              <w:bottom w:val="single" w:color="D2D0CE" w:sz="4"/>
              <w:right w:val="single" w:color="D2D0CE" w:sz="4"/>
            </w:tcBorders>
            <w:tcMar>
              <w:top w:type="dxa" w:w="60"/>
              <w:left w:type="dxa" w:w="100"/>
              <w:bottom w:type="dxa" w:w="60"/>
              <w:right w:type="dxa" w:w="100"/>
            </w:tcMar>
          </w:tcPr>
          <w:p>
            <w:r>
              <w:t xml:space="preserve">Read the Activity log for details; check that your user has read access to metadata and records.</w:t>
            </w:r>
          </w:p>
        </w:tc>
      </w:tr>
    </w:tbl>
    <w:p>
      <w:pPr>
        <w:spacing w:after="60"/>
      </w:pPr>
    </w:p>
    <w:p>
      <w:r>
        <w:br w:type="page"/>
      </w:r>
    </w:p>
    <w:p>
      <w:pPr>
        <w:pStyle w:val="Heading1"/>
      </w:pPr>
      <w:r>
        <w:t xml:space="preserve">10. For maintainers: building and publishing</w:t>
      </w:r>
    </w:p>
    <w:p>
      <w:pPr>
        <w:pStyle w:val="Heading2"/>
      </w:pPr>
      <w:r>
        <w:t xml:space="preserve">10.1 Build</w:t>
      </w:r>
    </w:p>
    <w:p>
      <w:pPr>
        <w:pStyle w:val="ListParagraph"/>
        <w:numPr>
          <w:ilvl w:val="0"/>
          <w:numId w:val="2"/>
        </w:numPr>
        <w:spacing w:after="60"/>
      </w:pPr>
      <w:r>
        <w:t xml:space="preserve">Open the project in Visual Studio 2022 (or run </w:t>
      </w:r>
      <w:r>
        <w:rPr>
          <w:rFonts w:ascii="Consolas" w:cs="Consolas" w:eastAsia="Consolas" w:hAnsi="Consolas"/>
          <w:color w:val="1F1F1F"/>
          <w:sz w:val="19"/>
          <w:szCs w:val="19"/>
          <w:shd w:fill="F3F2F1" w:color="auto" w:val="clear"/>
        </w:rPr>
        <w:t xml:space="preserve">dotnet build</w:t>
      </w:r>
      <w:r>
        <w:t xml:space="preserve">) - it targets .NET Framework 4.8.</w:t>
      </w:r>
    </w:p>
    <w:p>
      <w:pPr>
        <w:pStyle w:val="ListParagraph"/>
        <w:numPr>
          <w:ilvl w:val="0"/>
          <w:numId w:val="2"/>
        </w:numPr>
        <w:spacing w:after="60"/>
      </w:pPr>
      <w:r>
        <w:t xml:space="preserve">On Windows, every build automatically copies the DLL into </w:t>
      </w:r>
      <w:r>
        <w:rPr>
          <w:rFonts w:ascii="Consolas" w:cs="Consolas" w:eastAsia="Consolas" w:hAnsi="Consolas"/>
          <w:color w:val="1F1F1F"/>
          <w:sz w:val="19"/>
          <w:szCs w:val="19"/>
          <w:shd w:fill="F3F2F1" w:color="auto" w:val="clear"/>
        </w:rPr>
        <w:t xml:space="preserve">%AppData%\MscrmTools\XrmToolBox\Plugins</w:t>
      </w:r>
      <w:r>
        <w:t xml:space="preserve">. Restart XrmToolBox to load it.</w:t>
      </w:r>
    </w:p>
    <w:p>
      <w:pPr>
        <w:pStyle w:val="ListParagraph"/>
        <w:numPr>
          <w:ilvl w:val="0"/>
          <w:numId w:val="2"/>
        </w:numPr>
        <w:spacing w:after="60"/>
      </w:pPr>
      <w:r>
        <w:t xml:space="preserve">Every build gets a new version number </w:t>
      </w:r>
      <w:r>
        <w:rPr>
          <w:rFonts w:ascii="Consolas" w:cs="Consolas" w:eastAsia="Consolas" w:hAnsi="Consolas"/>
          <w:color w:val="1F1F1F"/>
          <w:sz w:val="19"/>
          <w:szCs w:val="19"/>
          <w:shd w:fill="F3F2F1" w:color="auto" w:val="clear"/>
        </w:rPr>
        <w:t xml:space="preserve">1.&lt;year&gt;.&lt;MMdd&gt;.&lt;HHmm&gt;</w:t>
      </w:r>
      <w:r>
        <w:t xml:space="preserve">, e.g. 1.2026.1009.1435, shown under the tool name in XrmToolBox.</w:t>
      </w:r>
    </w:p>
    <w:p>
      <w:pPr>
        <w:pStyle w:val="Heading2"/>
      </w:pPr>
      <w:r>
        <w:t xml:space="preserve">10.2 Publish to the XrmToolBox Tool Library</w:t>
      </w:r>
    </w:p>
    <w:p>
      <w:pPr>
        <w:pStyle w:val="ListParagraph"/>
        <w:numPr>
          <w:ilvl w:val="0"/>
          <w:numId w:val="7"/>
        </w:numPr>
        <w:spacing w:after="80"/>
      </w:pPr>
      <w:r>
        <w:rPr>
          <w:b/>
          <w:bCs/>
        </w:rPr>
        <w:t xml:space="preserve">Package: </w:t>
      </w:r>
      <w:r>
        <w:t xml:space="preserve">create a NuGet package with the DLL inside a Plugins folder (e.g. lib\net48\Plugins), a dependency on XrmToolBox, Title, Version, Authors, Description, an icon URL, a project URL, and tags that start with "XrmToolBox" (e.g. "XrmToolBox Plugins SolutionAnalyzer"). Do not include Dataverse SDK DLLs.</w:t>
      </w:r>
    </w:p>
    <w:p>
      <w:pPr>
        <w:pStyle w:val="ListParagraph"/>
        <w:numPr>
          <w:ilvl w:val="0"/>
          <w:numId w:val="7"/>
        </w:numPr>
        <w:spacing w:after="80"/>
      </w:pPr>
      <w:r>
        <w:rPr>
          <w:b/>
          <w:bCs/>
        </w:rPr>
        <w:t xml:space="preserve">Publish: </w:t>
      </w:r>
      <w:r>
        <w:t xml:space="preserve">create a nuget.org account and API key, then run </w:t>
      </w:r>
      <w:r>
        <w:rPr>
          <w:rFonts w:ascii="Consolas" w:cs="Consolas" w:eastAsia="Consolas" w:hAnsi="Consolas"/>
          <w:color w:val="1F1F1F"/>
          <w:sz w:val="19"/>
          <w:szCs w:val="19"/>
          <w:shd w:fill="F3F2F1" w:color="auto" w:val="clear"/>
        </w:rPr>
        <w:t xml:space="preserve">dotnet nuget push &lt;file&gt;.nupkg --api-key &lt;key&gt; --source https://api.nuget.org/v3/index.json</w:t>
      </w:r>
      <w:r>
        <w:t xml:space="preserve">.</w:t>
      </w:r>
    </w:p>
    <w:p>
      <w:pPr>
        <w:pStyle w:val="ListParagraph"/>
        <w:numPr>
          <w:ilvl w:val="0"/>
          <w:numId w:val="7"/>
        </w:numPr>
        <w:spacing w:after="80"/>
      </w:pPr>
      <w:r>
        <w:rPr>
          <w:b/>
          <w:bCs/>
        </w:rPr>
        <w:t xml:space="preserve">Submit: </w:t>
      </w:r>
      <w:r>
        <w:t xml:space="preserve">sign in at xrmtoolbox.com and submit the tool. The XrmToolBox team validates it against their tool validation checklist before it appears in the Tool Library.</w:t>
      </w:r>
    </w:p>
    <w:p>
      <w:pPr>
        <w:pStyle w:val="ListParagraph"/>
        <w:numPr>
          <w:ilvl w:val="0"/>
          <w:numId w:val="7"/>
        </w:numPr>
        <w:spacing w:after="80"/>
      </w:pPr>
      <w:r>
        <w:rPr>
          <w:b/>
          <w:bCs/>
        </w:rPr>
        <w:t xml:space="preserve">Update: </w:t>
      </w:r>
      <w:r>
        <w:t xml:space="preserve">push a new package version to nuget.org; users see it as an update in the Tool Library.</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F4E79" w:sz="24"/>
              <w:bottom w:val="none" w:color="FFFFFF" w:sz="0"/>
              <w:right w:val="none" w:color="FFFFFF" w:sz="0"/>
            </w:tcBorders>
            <w:shd w:fill="DEECF9" w:color="auto" w:val="clear"/>
            <w:tcMar>
              <w:top w:type="dxa" w:w="100"/>
              <w:left w:type="dxa" w:w="180"/>
              <w:bottom w:type="dxa" w:w="100"/>
              <w:right w:type="dxa" w:w="180"/>
            </w:tcMar>
          </w:tcPr>
          <w:p>
            <w:r>
              <w:rPr>
                <w:b/>
                <w:bCs/>
                <w:color w:val="1F4E79"/>
              </w:rPr>
              <w:t xml:space="preserve">Check before submitting:  </w:t>
            </w:r>
            <w:r>
              <w:t xml:space="preserve">the current tool validation checklist on xrmtoolbox.com, a unique package Id (it cannot be changed later), and the tool name - XrmToolBox treats '&amp;' as a shortcut marker, so the name may show as "Solution Analyzer  Field Health Checker" unless it is renamed.</w:t>
            </w:r>
          </w:p>
        </w:tc>
      </w:tr>
    </w:tbl>
    <w:sectPr>
      <w:headerReference w:type="default" r:id="rId7"/>
      <w:footerReference w:type="defaul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05E5C"/>
        <w:sz w:val="18"/>
        <w:szCs w:val="18"/>
      </w:rPr>
      <w:t xml:space="preserve">Page </w:t>
    </w:r>
    <w:r>
      <w:rPr>
        <w:color w:val="605E5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05E5C"/>
        <w:sz w:val="18"/>
        <w:szCs w:val="18"/>
      </w:rPr>
      <w:t xml:space="preserve">Solution Analyzer &amp; Field Health Checker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1F1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7D7E8" w:sz="6" w:space="4"/>
      </w:pBdr>
      <w:spacing w:after="160" w:before="360"/>
      <w:outlineLvl w:val="0"/>
    </w:pPr>
    <w:rPr>
      <w:b/>
      <w:bCs/>
      <w:color w:val="1F4E79"/>
      <w:sz w:val="32"/>
      <w:szCs w:val="32"/>
    </w:rPr>
  </w:style>
  <w:style w:type="paragraph" w:styleId="Heading2">
    <w:name w:val="Heading 2"/>
    <w:basedOn w:val="Normal"/>
    <w:next w:val="Normal"/>
    <w:qFormat/>
    <w:pPr>
      <w:spacing w:after="120" w:before="240"/>
      <w:outlineLvl w:val="1"/>
    </w:pPr>
    <w:rPr>
      <w:b/>
      <w:bCs/>
      <w:color w:val="2E6BA6"/>
      <w:sz w:val="26"/>
      <w:szCs w:val="26"/>
    </w:rPr>
  </w:style>
  <w:style w:type="paragraph" w:styleId="Heading3">
    <w:name w:val="Heading 3"/>
    <w:basedOn w:val="Normal"/>
    <w:next w:val="Normal"/>
    <w:qFormat/>
    <w:pPr>
      <w:spacing w:after="80" w:before="160"/>
      <w:outlineLvl w:val="2"/>
    </w:pPr>
    <w:rPr>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e42c92886048839c8a6cdae798bd8d4dc8b6af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Analyzer &amp; Field Health Checker - User Guide</dc:title>
  <dc:creator>Shoaib Khan</dc:creator>
  <cp:lastModifiedBy>Un-named</cp:lastModifiedBy>
  <cp:revision>1</cp:revision>
  <dcterms:created xsi:type="dcterms:W3CDTF">2026-10-12T09:48:48.860Z</dcterms:created>
  <dcterms:modified xsi:type="dcterms:W3CDTF">2026-10-12T09:48:48.861Z</dcterms:modified>
</cp:coreProperties>
</file>

<file path=docProps/custom.xml><?xml version="1.0" encoding="utf-8"?>
<Properties xmlns="http://schemas.openxmlformats.org/officeDocument/2006/custom-properties" xmlns:vt="http://schemas.openxmlformats.org/officeDocument/2006/docPropsVTypes"/>
</file>