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Policies</w:t>
      </w:r>
    </w:p>
    <w:p>
      <w:pPr>
        <w:pStyle w:val="Heading2"/>
      </w:pPr>
      <w:r>
        <w:t>Company Leave Policy</w:t>
      </w:r>
    </w:p>
    <w:p>
      <w:r>
        <w:t>Full-time employees receive 20 paid vacation days annually. Leave requests must be submitted through the HR portal and approved by the employee's manager.</w:t>
      </w:r>
    </w:p>
    <w:p>
      <w:pPr>
        <w:pStyle w:val="Heading2"/>
      </w:pPr>
      <w:r>
        <w:t>Remote Work Policy</w:t>
      </w:r>
    </w:p>
    <w:p>
      <w:r>
        <w:t>Employees may request remote work with manager approval. Teams must maintain normal communication and availability during working hours.</w:t>
      </w:r>
    </w:p>
    <w:p>
      <w:pPr>
        <w:pStyle w:val="Heading2"/>
      </w:pPr>
      <w:r>
        <w:t>Security Policy</w:t>
      </w:r>
    </w:p>
    <w:p>
      <w:r>
        <w:t>Employees must enable multi-factor authentication. Production credentials must be stored securely and must never be committed to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