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60" w:before="0"/>
        <w:jc w:val="center"/>
      </w:pPr>
      <w:r>
        <w:rPr>
          <w:rFonts w:ascii="Arial" w:cs="Arial" w:eastAsia="Arial" w:hAnsi="Arial"/>
          <w:b/>
          <w:bCs/>
          <w:color w:val="1B3A6B"/>
          <w:sz w:val="24"/>
          <w:szCs w:val="24"/>
        </w:rPr>
        <w:t xml:space="preserve">GOVERNMENT OF KHYBER PAKHTUNKHWA</w:t>
      </w:r>
    </w:p>
    <w:p>
      <w:pPr>
        <w:spacing w:after="60" w:before="0"/>
        <w:jc w:val="center"/>
      </w:pPr>
      <w:r>
        <w:rPr>
          <w:rFonts w:ascii="Arial" w:cs="Arial" w:eastAsia="Arial" w:hAnsi="Arial"/>
          <w:b/>
          <w:bCs/>
          <w:color w:val="1B3A6B"/>
          <w:sz w:val="24"/>
          <w:szCs w:val="24"/>
        </w:rPr>
        <w:t xml:space="preserve">DISTRICT GOVERNMENT MARDAN</w:t>
      </w:r>
    </w:p>
    <w:p>
      <w:pPr>
        <w:spacing w:after="400" w:before="0"/>
        <w:jc w:val="center"/>
      </w:pPr>
      <w:r>
        <w:rPr>
          <w:rFonts w:ascii="Arial" w:cs="Arial" w:eastAsia="Arial" w:hAnsi="Arial"/>
          <w:color w:val="2E75B6"/>
          <w:sz w:val="22"/>
          <w:szCs w:val="22"/>
        </w:rPr>
        <w:t xml:space="preserve">INFORMATION TECHNOLOGY DEPARTMENT</w:t>
      </w:r>
    </w:p>
    <w:p>
      <w:pPr>
        <w:pBdr>
          <w:top w:val="single" w:color="2E75B6" w:sz="12" w:space="4"/>
          <w:bottom w:val="single" w:color="2E75B6" w:sz="12" w:space="4"/>
        </w:pBdr>
        <w:spacing w:after="200" w:before="200"/>
        <w:jc w:val="center"/>
      </w:pPr>
      <w:r>
        <w:rPr>
          <w:rFonts w:ascii="Arial" w:cs="Arial" w:eastAsia="Arial" w:hAnsi="Arial"/>
          <w:b/>
          <w:bCs/>
          <w:color w:val="1B3A6B"/>
          <w:sz w:val="52"/>
          <w:szCs w:val="52"/>
        </w:rPr>
        <w:t xml:space="preserve">FINANCIAL PROPOSAL</w:t>
      </w:r>
    </w:p>
    <w:p>
      <w:pPr>
        <w:spacing w:after="100" w:before="200"/>
        <w:jc w:val="center"/>
      </w:pPr>
      <w:r>
        <w:rPr>
          <w:rFonts w:ascii="Arial" w:cs="Arial" w:eastAsia="Arial" w:hAnsi="Arial"/>
          <w:b/>
          <w:bCs/>
          <w:color w:val="1B3A6B"/>
          <w:sz w:val="40"/>
          <w:szCs w:val="40"/>
        </w:rPr>
        <w:t xml:space="preserve">MARDAN SMART CITY</w:t>
      </w:r>
    </w:p>
    <w:p>
      <w:pPr>
        <w:spacing w:after="400" w:before="0"/>
        <w:jc w:val="center"/>
      </w:pPr>
      <w:r>
        <w:rPr>
          <w:rFonts w:ascii="Arial" w:cs="Arial" w:eastAsia="Arial" w:hAnsi="Arial"/>
          <w:b/>
          <w:bCs/>
          <w:color w:val="2E75B6"/>
          <w:sz w:val="28"/>
          <w:szCs w:val="28"/>
        </w:rPr>
        <w:t xml:space="preserve">CITIZEN COMPLAINT MANAGEMENT PORTAL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PROJECT REFERENCE</w:t>
            </w:r>
          </w:p>
        </w:tc>
        <w:tc>
          <w:tcPr>
            <w:tcW w:type="dxa" w:w="4680"/>
            <w:tcBorders>
              <w:top w:val="single" w:color="FFFFFF" w:sz="1"/>
              <w:left w:val="single" w:color="FFFFFF" w:sz="1"/>
              <w:bottom w:val="single" w:color="FFFFFF" w:sz="1"/>
              <w:right w:val="single" w:color="FFFFFF" w:sz="1"/>
            </w:tcBorders>
            <w:shd w:fill="2E75B6"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MSC-FP-2026-001</w:t>
            </w:r>
          </w:p>
        </w:tc>
      </w:tr>
      <w:tr>
        <w:tc>
          <w:tcPr>
            <w:tcW w:type="dxa" w:w="468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Prepared By</w:t>
            </w:r>
          </w:p>
        </w:tc>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IT Department, District Government Mardan</w:t>
            </w:r>
          </w:p>
        </w:tc>
      </w:tr>
      <w:tr>
        <w:tc>
          <w:tcPr>
            <w:tcW w:type="dxa" w:w="468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Submission Date</w:t>
            </w:r>
          </w:p>
        </w:tc>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June 12, 2026</w:t>
            </w:r>
          </w:p>
        </w:tc>
      </w:tr>
      <w:tr>
        <w:tc>
          <w:tcPr>
            <w:tcW w:type="dxa" w:w="468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Project Duration</w:t>
            </w:r>
          </w:p>
        </w:tc>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6 Months (July 2026 – December 2026)</w:t>
            </w:r>
          </w:p>
        </w:tc>
      </w:tr>
      <w:tr>
        <w:tc>
          <w:tcPr>
            <w:tcW w:type="dxa" w:w="468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Total Budget</w:t>
            </w:r>
          </w:p>
        </w:tc>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PKR 3,875,000 /-</w:t>
            </w:r>
          </w:p>
        </w:tc>
      </w:tr>
      <w:tr>
        <w:tc>
          <w:tcPr>
            <w:tcW w:type="dxa" w:w="468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Classification</w:t>
            </w:r>
          </w:p>
        </w:tc>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CONFIDENTIAL</w:t>
            </w:r>
          </w:p>
        </w:tc>
      </w:tr>
    </w:tbl>
    <w:p>
      <w:pPr>
        <w:spacing w:after="240" w:before="0"/>
      </w:pPr>
      <w:r>
        <w:t xml:space="preserve"/>
      </w:r>
    </w:p>
    <w:p>
      <w:pPr>
        <w:jc w:val="center"/>
      </w:pPr>
      <w:r>
        <w:rPr>
          <w:rFonts w:ascii="Arial" w:cs="Arial" w:eastAsia="Arial" w:hAnsi="Arial"/>
          <w:color w:val="888888"/>
          <w:sz w:val="18"/>
          <w:szCs w:val="18"/>
        </w:rPr>
        <w:t xml:space="preserve">District Government Mardan  |  Mardan, Khyber Pakhtunkhwa, Pakistan</w:t>
      </w:r>
    </w:p>
    <w:p>
      <w:pPr>
        <w:jc w:val="center"/>
      </w:pPr>
      <w:r>
        <w:rPr>
          <w:rFonts w:ascii="Arial" w:cs="Arial" w:eastAsia="Arial" w:hAnsi="Arial"/>
          <w:color w:val="888888"/>
          <w:sz w:val="18"/>
          <w:szCs w:val="18"/>
        </w:rPr>
        <w:t xml:space="preserve">Tel: +92-937-xxxxxx  |  Email: it@mardan.gov.pk  |  Web: www.mardan.gov.pk</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 EXECUTIVE SUMMARY</w:t>
      </w:r>
    </w:p>
    <w:p>
      <w:pPr>
        <w:spacing w:after="80" w:before="80"/>
        <w:jc w:val="both"/>
      </w:pPr>
      <w:r>
        <w:rPr>
          <w:rFonts w:ascii="Arial" w:cs="Arial" w:eastAsia="Arial" w:hAnsi="Arial"/>
          <w:b w:val="false"/>
          <w:bCs w:val="false"/>
          <w:color w:val="404040"/>
          <w:sz w:val="20"/>
          <w:szCs w:val="20"/>
        </w:rPr>
        <w:t xml:space="preserve">The Mardan Smart City Citizen Complaint Management Portal is a flagship e-governance initiative of the District Government Mardan, designed to modernize and digitize the process of registering, tracking, and resolving citizen complaints. This proposal outlines the comprehensive financial plan for the development, deployment, and ongoing maintenance of this mission-critical platform.</w:t>
      </w:r>
    </w:p>
    <w:p>
      <w:pPr>
        <w:spacing w:after="120" w:before="0"/>
      </w:pPr>
      <w:r>
        <w:t xml:space="preserve"/>
      </w:r>
    </w:p>
    <w:p>
      <w:pPr>
        <w:spacing w:after="80" w:before="80"/>
        <w:jc w:val="both"/>
      </w:pPr>
      <w:r>
        <w:rPr>
          <w:rFonts w:ascii="Arial" w:cs="Arial" w:eastAsia="Arial" w:hAnsi="Arial"/>
          <w:b w:val="false"/>
          <w:bCs w:val="false"/>
          <w:color w:val="404040"/>
          <w:sz w:val="20"/>
          <w:szCs w:val="20"/>
        </w:rPr>
        <w:t xml:space="preserve">The system is built on a cloud-native, microservices architecture deployed on Kubernetes (K3s), incorporating enterprise-grade security, high availability, and auto-scaling capabilities. The platform is designed to handle a minimum of 5,000 concurrent users with a 99.9% uptime SLA.</w:t>
      </w:r>
    </w:p>
    <w:p>
      <w:pPr>
        <w:spacing w:after="120" w:before="0"/>
      </w:pPr>
      <w:r>
        <w:t xml:space="preserve"/>
      </w:r>
    </w:p>
    <w:p>
      <w:pPr>
        <w:pStyle w:val="Heading2"/>
        <w:spacing w:after="140" w:before="280"/>
      </w:pPr>
      <w:r>
        <w:rPr>
          <w:rFonts w:ascii="Arial" w:cs="Arial" w:eastAsia="Arial" w:hAnsi="Arial"/>
          <w:b/>
          <w:bCs/>
          <w:color w:val="2E75B6"/>
          <w:sz w:val="26"/>
          <w:szCs w:val="26"/>
        </w:rPr>
        <w:t xml:space="preserve">1.1 Project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Attribute</w:t>
            </w:r>
          </w:p>
        </w:tc>
        <w:tc>
          <w:tcPr>
            <w:tcW w:type="dxa" w:w="624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Detail</w:t>
            </w:r>
          </w:p>
        </w:tc>
      </w:tr>
      <w:tr>
        <w:tc>
          <w:tcPr>
            <w:tcW w:type="dxa" w:w="312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Project Name</w:t>
            </w:r>
          </w:p>
        </w:tc>
        <w:tc>
          <w:tcPr>
            <w:tcW w:type="dxa" w:w="62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Mardan Smart City – Citizen Complaint Portal</w:t>
            </w:r>
          </w:p>
        </w:tc>
      </w:tr>
      <w:tr>
        <w:tc>
          <w:tcPr>
            <w:tcW w:type="dxa" w:w="312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Technology Stack</w:t>
            </w:r>
          </w:p>
        </w:tc>
        <w:tc>
          <w:tcPr>
            <w:tcW w:type="dxa" w:w="62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Node.js, React.js, PostgreSQL, Redis, Kubernetes (K3s), ArgoCD</w:t>
            </w:r>
          </w:p>
        </w:tc>
      </w:tr>
      <w:tr>
        <w:tc>
          <w:tcPr>
            <w:tcW w:type="dxa" w:w="312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Architecture</w:t>
            </w:r>
          </w:p>
        </w:tc>
        <w:tc>
          <w:tcPr>
            <w:tcW w:type="dxa" w:w="62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Microservices, GitOps, CI/CD Pipeline, Auto-scaling (HPA)</w:t>
            </w:r>
          </w:p>
        </w:tc>
      </w:tr>
      <w:tr>
        <w:tc>
          <w:tcPr>
            <w:tcW w:type="dxa" w:w="312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Security</w:t>
            </w:r>
          </w:p>
        </w:tc>
        <w:tc>
          <w:tcPr>
            <w:tcW w:type="dxa" w:w="62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Sealed Secrets, Gatekeeper OPA, Falco, NetworkPolicy, HSTS, MFA-ready</w:t>
            </w:r>
          </w:p>
        </w:tc>
      </w:tr>
      <w:tr>
        <w:tc>
          <w:tcPr>
            <w:tcW w:type="dxa" w:w="312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Performance</w:t>
            </w:r>
          </w:p>
        </w:tc>
        <w:tc>
          <w:tcPr>
            <w:tcW w:type="dxa" w:w="62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1,333+ req/sec, p(95) &lt; 1s @ 2,000 concurrent users</w:t>
            </w:r>
          </w:p>
        </w:tc>
      </w:tr>
      <w:tr>
        <w:tc>
          <w:tcPr>
            <w:tcW w:type="dxa" w:w="312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Deployment</w:t>
            </w:r>
          </w:p>
        </w:tc>
        <w:tc>
          <w:tcPr>
            <w:tcW w:type="dxa" w:w="62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On-Premises Server, District Government Data Center</w:t>
            </w:r>
          </w:p>
        </w:tc>
      </w:tr>
      <w:tr>
        <w:tc>
          <w:tcPr>
            <w:tcW w:type="dxa" w:w="312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Total Investment</w:t>
            </w:r>
          </w:p>
        </w:tc>
        <w:tc>
          <w:tcPr>
            <w:tcW w:type="dxa" w:w="62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PKR 3,875,000 (One-Time) + PKR 480,000/year (Maintenance)</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1.2 Strategic Objectives</w:t>
      </w:r>
    </w:p>
    <w:p>
      <w:pPr>
        <w:pStyle w:val="ListParagraph"/>
        <w:numPr>
          <w:ilvl w:val="0"/>
          <w:numId w:val="2"/>
        </w:numPr>
        <w:spacing w:after="60" w:before="60"/>
      </w:pPr>
      <w:r>
        <w:rPr>
          <w:rFonts w:ascii="Arial" w:cs="Arial" w:eastAsia="Arial" w:hAnsi="Arial"/>
          <w:color w:val="404040"/>
          <w:sz w:val="20"/>
          <w:szCs w:val="20"/>
        </w:rPr>
        <w:t xml:space="preserve">Provide a transparent, accountable, and accessible complaint management system for 400,000+ Mardan citizens</w:t>
      </w:r>
    </w:p>
    <w:p>
      <w:pPr>
        <w:pStyle w:val="ListParagraph"/>
        <w:numPr>
          <w:ilvl w:val="0"/>
          <w:numId w:val="2"/>
        </w:numPr>
        <w:spacing w:after="60" w:before="60"/>
      </w:pPr>
      <w:r>
        <w:rPr>
          <w:rFonts w:ascii="Arial" w:cs="Arial" w:eastAsia="Arial" w:hAnsi="Arial"/>
          <w:color w:val="404040"/>
          <w:sz w:val="20"/>
          <w:szCs w:val="20"/>
        </w:rPr>
        <w:t xml:space="preserve">Eliminate manual paperwork and reduce complaint resolution time from 30 days to under 7 days</w:t>
      </w:r>
    </w:p>
    <w:p>
      <w:pPr>
        <w:pStyle w:val="ListParagraph"/>
        <w:numPr>
          <w:ilvl w:val="0"/>
          <w:numId w:val="2"/>
        </w:numPr>
        <w:spacing w:after="60" w:before="60"/>
      </w:pPr>
      <w:r>
        <w:rPr>
          <w:rFonts w:ascii="Arial" w:cs="Arial" w:eastAsia="Arial" w:hAnsi="Arial"/>
          <w:color w:val="404040"/>
          <w:sz w:val="20"/>
          <w:szCs w:val="20"/>
        </w:rPr>
        <w:t xml:space="preserve">Enable real-time complaint tracking with SMS/Email notifications</w:t>
      </w:r>
    </w:p>
    <w:p>
      <w:pPr>
        <w:pStyle w:val="ListParagraph"/>
        <w:numPr>
          <w:ilvl w:val="0"/>
          <w:numId w:val="2"/>
        </w:numPr>
        <w:spacing w:after="60" w:before="60"/>
      </w:pPr>
      <w:r>
        <w:rPr>
          <w:rFonts w:ascii="Arial" w:cs="Arial" w:eastAsia="Arial" w:hAnsi="Arial"/>
          <w:color w:val="404040"/>
          <w:sz w:val="20"/>
          <w:szCs w:val="20"/>
        </w:rPr>
        <w:t xml:space="preserve">Generate data-driven insights for district administration and policy decisions</w:t>
      </w:r>
    </w:p>
    <w:p>
      <w:pPr>
        <w:pStyle w:val="ListParagraph"/>
        <w:numPr>
          <w:ilvl w:val="0"/>
          <w:numId w:val="2"/>
        </w:numPr>
        <w:spacing w:after="60" w:before="60"/>
      </w:pPr>
      <w:r>
        <w:rPr>
          <w:rFonts w:ascii="Arial" w:cs="Arial" w:eastAsia="Arial" w:hAnsi="Arial"/>
          <w:color w:val="404040"/>
          <w:sz w:val="20"/>
          <w:szCs w:val="20"/>
        </w:rPr>
        <w:t xml:space="preserve">Establish Mardan as a model smart city for Khyber Pakhtunkhwa</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2. PROJECT SCOPE &amp; DELIVERABLES</w:t>
      </w:r>
    </w:p>
    <w:p>
      <w:pPr>
        <w:pStyle w:val="Heading2"/>
        <w:spacing w:after="140" w:before="280"/>
      </w:pPr>
      <w:r>
        <w:rPr>
          <w:rFonts w:ascii="Arial" w:cs="Arial" w:eastAsia="Arial" w:hAnsi="Arial"/>
          <w:b/>
          <w:bCs/>
          <w:color w:val="2E75B6"/>
          <w:sz w:val="26"/>
          <w:szCs w:val="26"/>
        </w:rPr>
        <w:t xml:space="preserve">2.1 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t>
            </w:r>
          </w:p>
        </w:tc>
        <w:tc>
          <w:tcPr>
            <w:tcW w:type="dxa" w:w="30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Module</w:t>
            </w:r>
          </w:p>
        </w:tc>
        <w:tc>
          <w:tcPr>
            <w:tcW w:type="dxa" w:w="59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Citizen Portal</w:t>
            </w:r>
          </w:p>
        </w:tc>
        <w:tc>
          <w:tcPr>
            <w:tcW w:type="dxa" w:w="59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Web-based portal for complaint registration, tracking, and status updates with real-time notifications</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Admin Dashboard</w:t>
            </w:r>
          </w:p>
        </w:tc>
        <w:tc>
          <w:tcPr>
            <w:tcW w:type="dxa" w:w="59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Administrative interface for complaint assignment, resolution management, and departmental workflows</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Staff Module</w:t>
            </w:r>
          </w:p>
        </w:tc>
        <w:tc>
          <w:tcPr>
            <w:tcW w:type="dxa" w:w="59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Field staff interface for complaint investigation, photo upload, and resolution reporting</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Analytics &amp; Reporting</w:t>
            </w:r>
          </w:p>
        </w:tc>
        <w:tc>
          <w:tcPr>
            <w:tcW w:type="dxa" w:w="59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Real-time dashboards using Grafana with Prometheus metrics, complaint trends, and performance KPIs</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Notification System</w:t>
            </w:r>
          </w:p>
        </w:tc>
        <w:tc>
          <w:tcPr>
            <w:tcW w:type="dxa" w:w="59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Automated email/SMS notifications via Bull queue with exponential retry mechanism</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Security &amp; Compliance</w:t>
            </w:r>
          </w:p>
        </w:tc>
        <w:tc>
          <w:tcPr>
            <w:tcW w:type="dxa" w:w="59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OPA Gatekeeper policies, Falco runtime security, Sealed Secrets, RBAC, Network Policies</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DevOps &amp; CI/CD</w:t>
            </w:r>
          </w:p>
        </w:tc>
        <w:tc>
          <w:tcPr>
            <w:tcW w:type="dxa" w:w="59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GitHub Actions pipeline, ArgoCD GitOps, automated Docker image builds and deployments</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Backup &amp; DR</w:t>
            </w:r>
          </w:p>
        </w:tc>
        <w:tc>
          <w:tcPr>
            <w:tcW w:type="dxa" w:w="59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Automated PostgreSQL backups, PVC snapshots, disaster recovery procedures</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2.2 Technical Architecture</w:t>
      </w:r>
    </w:p>
    <w:p>
      <w:pPr>
        <w:pStyle w:val="ListParagraph"/>
        <w:numPr>
          <w:ilvl w:val="0"/>
          <w:numId w:val="2"/>
        </w:numPr>
        <w:spacing w:after="60" w:before="60"/>
      </w:pPr>
      <w:r>
        <w:rPr>
          <w:rFonts w:ascii="Arial" w:cs="Arial" w:eastAsia="Arial" w:hAnsi="Arial"/>
          <w:color w:val="404040"/>
          <w:sz w:val="20"/>
          <w:szCs w:val="20"/>
        </w:rPr>
        <w:t xml:space="preserve">Frontend: React.js with Nginx (2 replicas, HPA: 2-10 pods)</w:t>
      </w:r>
    </w:p>
    <w:p>
      <w:pPr>
        <w:pStyle w:val="ListParagraph"/>
        <w:numPr>
          <w:ilvl w:val="0"/>
          <w:numId w:val="2"/>
        </w:numPr>
        <w:spacing w:after="60" w:before="60"/>
      </w:pPr>
      <w:r>
        <w:rPr>
          <w:rFonts w:ascii="Arial" w:cs="Arial" w:eastAsia="Arial" w:hAnsi="Arial"/>
          <w:color w:val="404040"/>
          <w:sz w:val="20"/>
          <w:szCs w:val="20"/>
        </w:rPr>
        <w:t xml:space="preserve">Backend API: Node.js/Express.js (4 replicas, HPA: 4-15 pods)</w:t>
      </w:r>
    </w:p>
    <w:p>
      <w:pPr>
        <w:pStyle w:val="ListParagraph"/>
        <w:numPr>
          <w:ilvl w:val="0"/>
          <w:numId w:val="2"/>
        </w:numPr>
        <w:spacing w:after="60" w:before="60"/>
      </w:pPr>
      <w:r>
        <w:rPr>
          <w:rFonts w:ascii="Arial" w:cs="Arial" w:eastAsia="Arial" w:hAnsi="Arial"/>
          <w:color w:val="404040"/>
          <w:sz w:val="20"/>
          <w:szCs w:val="20"/>
        </w:rPr>
        <w:t xml:space="preserve">Database: PostgreSQL 15 (StatefulSet with persistent storage, automated backups)</w:t>
      </w:r>
    </w:p>
    <w:p>
      <w:pPr>
        <w:pStyle w:val="ListParagraph"/>
        <w:numPr>
          <w:ilvl w:val="0"/>
          <w:numId w:val="2"/>
        </w:numPr>
        <w:spacing w:after="60" w:before="60"/>
      </w:pPr>
      <w:r>
        <w:rPr>
          <w:rFonts w:ascii="Arial" w:cs="Arial" w:eastAsia="Arial" w:hAnsi="Arial"/>
          <w:color w:val="404040"/>
          <w:sz w:val="20"/>
          <w:szCs w:val="20"/>
        </w:rPr>
        <w:t xml:space="preserve">Connection Pooling: PgBouncer (2 replicas, 100 pool size per instance)</w:t>
      </w:r>
    </w:p>
    <w:p>
      <w:pPr>
        <w:pStyle w:val="ListParagraph"/>
        <w:numPr>
          <w:ilvl w:val="0"/>
          <w:numId w:val="2"/>
        </w:numPr>
        <w:spacing w:after="60" w:before="60"/>
      </w:pPr>
      <w:r>
        <w:rPr>
          <w:rFonts w:ascii="Arial" w:cs="Arial" w:eastAsia="Arial" w:hAnsi="Arial"/>
          <w:color w:val="404040"/>
          <w:sz w:val="20"/>
          <w:szCs w:val="20"/>
        </w:rPr>
        <w:t xml:space="preserve">Cache Layer: Redis 7 with password authentication</w:t>
      </w:r>
    </w:p>
    <w:p>
      <w:pPr>
        <w:pStyle w:val="ListParagraph"/>
        <w:numPr>
          <w:ilvl w:val="0"/>
          <w:numId w:val="2"/>
        </w:numPr>
        <w:spacing w:after="60" w:before="60"/>
      </w:pPr>
      <w:r>
        <w:rPr>
          <w:rFonts w:ascii="Arial" w:cs="Arial" w:eastAsia="Arial" w:hAnsi="Arial"/>
          <w:color w:val="404040"/>
          <w:sz w:val="20"/>
          <w:szCs w:val="20"/>
        </w:rPr>
        <w:t xml:space="preserve">Monitoring: Prometheus + Grafana + Node Exporter</w:t>
      </w:r>
    </w:p>
    <w:p>
      <w:pPr>
        <w:pStyle w:val="ListParagraph"/>
        <w:numPr>
          <w:ilvl w:val="0"/>
          <w:numId w:val="2"/>
        </w:numPr>
        <w:spacing w:after="60" w:before="60"/>
      </w:pPr>
      <w:r>
        <w:rPr>
          <w:rFonts w:ascii="Arial" w:cs="Arial" w:eastAsia="Arial" w:hAnsi="Arial"/>
          <w:color w:val="404040"/>
          <w:sz w:val="20"/>
          <w:szCs w:val="20"/>
        </w:rPr>
        <w:t xml:space="preserve">Container Orchestration: K3s Kubernetes with ArgoCD GitOps</w:t>
      </w:r>
    </w:p>
    <w:p>
      <w:pPr>
        <w:pStyle w:val="ListParagraph"/>
        <w:numPr>
          <w:ilvl w:val="0"/>
          <w:numId w:val="2"/>
        </w:numPr>
        <w:spacing w:after="60" w:before="60"/>
      </w:pPr>
      <w:r>
        <w:rPr>
          <w:rFonts w:ascii="Arial" w:cs="Arial" w:eastAsia="Arial" w:hAnsi="Arial"/>
          <w:color w:val="404040"/>
          <w:sz w:val="20"/>
          <w:szCs w:val="20"/>
        </w:rPr>
        <w:t xml:space="preserve">Security: Falco, OPA Gatekeeper, Sealed Secrets, Traefik Ingress with TLS</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3. HARDWARE PROCUREMENT COSTS</w:t>
      </w:r>
    </w:p>
    <w:p>
      <w:pPr>
        <w:pStyle w:val="Heading2"/>
        <w:spacing w:after="140" w:before="280"/>
      </w:pPr>
      <w:r>
        <w:rPr>
          <w:rFonts w:ascii="Arial" w:cs="Arial" w:eastAsia="Arial" w:hAnsi="Arial"/>
          <w:b/>
          <w:bCs/>
          <w:color w:val="2E75B6"/>
          <w:sz w:val="26"/>
          <w:szCs w:val="26"/>
        </w:rPr>
        <w:t xml:space="preserve">3.1 Primary Server Infrastructure</w:t>
      </w:r>
    </w:p>
    <w:p>
      <w:pPr>
        <w:spacing w:after="80" w:before="80"/>
        <w:jc w:val="both"/>
      </w:pPr>
      <w:r>
        <w:rPr>
          <w:rFonts w:ascii="Arial" w:cs="Arial" w:eastAsia="Arial" w:hAnsi="Arial"/>
          <w:b w:val="false"/>
          <w:bCs w:val="false"/>
          <w:color w:val="404040"/>
          <w:sz w:val="20"/>
          <w:szCs w:val="20"/>
        </w:rPr>
        <w:t xml:space="preserve">Based on the load testing results (1,333+ req/sec at 2,000 concurrent users, p95 &lt; 1 second), the following server specifications are recommended for on-premises deployment: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800"/>
        <w:gridCol w:w="1360"/>
        <w:gridCol w:w="2600"/>
      </w:tblGrid>
      <w:tr>
        <w:tc>
          <w:tcPr>
            <w:tcW w:type="dxa" w:w="4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Item</w:t>
            </w:r>
          </w:p>
        </w:tc>
        <w:tc>
          <w:tcPr>
            <w:tcW w:type="dxa" w:w="18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Specification</w:t>
            </w:r>
          </w:p>
        </w:tc>
        <w:tc>
          <w:tcPr>
            <w:tcW w:type="dxa" w:w="13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Qty</w:t>
            </w:r>
          </w:p>
        </w:tc>
        <w:tc>
          <w:tcPr>
            <w:tcW w:type="dxa" w:w="26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Cost (PKR)</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3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Primary Application Server</w:t>
            </w:r>
          </w:p>
        </w:tc>
        <w:tc>
          <w:tcPr>
            <w:tcW w:type="dxa" w:w="18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Dell PowerEdge R740 / 2x Xeon Silver 4214R, 64GB ECC DDR4 RAM, 4x 1.8TB SAS HDD RAID-10</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750,000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3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Database Server (Dedicated)</w:t>
            </w:r>
          </w:p>
        </w:tc>
        <w:tc>
          <w:tcPr>
            <w:tcW w:type="dxa" w:w="18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Dell PowerEdge R640 / 2x Xeon Silver 4210R, 32GB ECC RAM, 2x 960GB SSD RAID-1</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580,000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3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Network Attached Storage (NAS)</w:t>
            </w:r>
          </w:p>
        </w:tc>
        <w:tc>
          <w:tcPr>
            <w:tcW w:type="dxa" w:w="18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Synology RS1221+ / 4x 4TB Seagate IronWolf NAS RAID-5 (10TB usable)</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280,000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3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UPS (Online Double Conversion)</w:t>
            </w:r>
          </w:p>
        </w:tc>
        <w:tc>
          <w:tcPr>
            <w:tcW w:type="dxa" w:w="18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APC Smart-UPS 3000VA / 2700W, 230V, Tower</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120,000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3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Enterprise Network Switch</w:t>
            </w:r>
          </w:p>
        </w:tc>
        <w:tc>
          <w:tcPr>
            <w:tcW w:type="dxa" w:w="18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Cisco Catalyst 2960-X 24-port Gigabit Managed Switch</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95,000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3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Hardware Firewall</w:t>
            </w:r>
          </w:p>
        </w:tc>
        <w:tc>
          <w:tcPr>
            <w:tcW w:type="dxa" w:w="18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Fortinet FortiGate 60F Next-Generation Firewall</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180,000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3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Server Rack Cabinet</w:t>
            </w:r>
          </w:p>
        </w:tc>
        <w:tc>
          <w:tcPr>
            <w:tcW w:type="dxa" w:w="18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42U 800x1000mm Deep Server Rack with PDU and Cable Management</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75,000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3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Rack Cooling System</w:t>
            </w:r>
          </w:p>
        </w:tc>
        <w:tc>
          <w:tcPr>
            <w:tcW w:type="dxa" w:w="18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Precision AC Unit 2-Ton for Server Room</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120,000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w:t>
            </w:r>
          </w:p>
        </w:tc>
        <w:tc>
          <w:tcPr>
            <w:tcW w:type="dxa" w:w="3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Structured Cabling</w:t>
            </w:r>
          </w:p>
        </w:tc>
        <w:tc>
          <w:tcPr>
            <w:tcW w:type="dxa" w:w="18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Cat6A STP Cabling, Patch Panels, Wall Outlets – Server Room Setup</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45,000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3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KVM Console</w:t>
            </w:r>
          </w:p>
        </w:tc>
        <w:tc>
          <w:tcPr>
            <w:tcW w:type="dxa" w:w="18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ATEN 8-Port KVM Switch with LCD Console 1U Rack Mount</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35,000</w:t>
            </w:r>
          </w:p>
        </w:tc>
      </w:tr>
      <w:tr>
        <w:tc>
          <w:tcPr>
            <w:tcW w:type="dxa" w:w="4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32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HARDWARE SUBTOTAL</w:t>
            </w:r>
          </w:p>
        </w:tc>
        <w:tc>
          <w:tcPr>
            <w:tcW w:type="dxa" w:w="18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13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26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right"/>
            </w:pPr>
            <w:r>
              <w:rPr>
                <w:rFonts w:ascii="Arial" w:cs="Arial" w:eastAsia="Arial" w:hAnsi="Arial"/>
                <w:b/>
                <w:bCs/>
                <w:color w:val="1B3A6B"/>
                <w:sz w:val="20"/>
                <w:szCs w:val="20"/>
              </w:rPr>
              <w:t xml:space="preserve">2,280,000</w:t>
            </w:r>
          </w:p>
        </w:tc>
      </w:tr>
    </w:tbl>
    <w:p>
      <w:pPr>
        <w:spacing w:after="120" w:before="0"/>
      </w:pPr>
      <w:r>
        <w:t xml:space="preserve"/>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4. SOFTWARE &amp; LICENSING COSTS</w:t>
      </w:r>
    </w:p>
    <w:p>
      <w:pPr>
        <w:pStyle w:val="Heading2"/>
        <w:spacing w:after="140" w:before="280"/>
      </w:pPr>
      <w:r>
        <w:rPr>
          <w:rFonts w:ascii="Arial" w:cs="Arial" w:eastAsia="Arial" w:hAnsi="Arial"/>
          <w:b/>
          <w:bCs/>
          <w:color w:val="2E75B6"/>
          <w:sz w:val="26"/>
          <w:szCs w:val="26"/>
        </w:rPr>
        <w:t xml:space="preserve">4.1 Software Licenses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060"/>
        <w:gridCol w:w="1000"/>
        <w:gridCol w:w="2400"/>
      </w:tblGrid>
      <w:tr>
        <w:tc>
          <w:tcPr>
            <w:tcW w:type="dxa" w:w="4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t>
            </w:r>
          </w:p>
        </w:tc>
        <w:tc>
          <w:tcPr>
            <w:tcW w:type="dxa" w:w="35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Software / Service</w:t>
            </w:r>
          </w:p>
        </w:tc>
        <w:tc>
          <w:tcPr>
            <w:tcW w:type="dxa" w:w="20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Type</w:t>
            </w:r>
          </w:p>
        </w:tc>
        <w:tc>
          <w:tcPr>
            <w:tcW w:type="dxa" w:w="10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Qty</w:t>
            </w:r>
          </w:p>
        </w:tc>
        <w:tc>
          <w:tcPr>
            <w:tcW w:type="dxa" w:w="24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Cost (PKR)</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3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RHEL / Ubuntu Server LTS (OS)</w:t>
            </w:r>
          </w:p>
        </w:tc>
        <w:tc>
          <w:tcPr>
            <w:tcW w:type="dxa" w:w="20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Open Source (Free)</w:t>
            </w:r>
          </w:p>
        </w:tc>
        <w:tc>
          <w:tcPr>
            <w:tcW w:type="dxa" w:w="1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3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K3s Kubernetes (Container Orchestration)</w:t>
            </w:r>
          </w:p>
        </w:tc>
        <w:tc>
          <w:tcPr>
            <w:tcW w:type="dxa" w:w="20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Open Source (Free)</w:t>
            </w:r>
          </w:p>
        </w:tc>
        <w:tc>
          <w:tcPr>
            <w:tcW w:type="dxa" w:w="1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3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PostgreSQL 15 (Database)</w:t>
            </w:r>
          </w:p>
        </w:tc>
        <w:tc>
          <w:tcPr>
            <w:tcW w:type="dxa" w:w="20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Open Source (Free)</w:t>
            </w:r>
          </w:p>
        </w:tc>
        <w:tc>
          <w:tcPr>
            <w:tcW w:type="dxa" w:w="1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3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ArgoCD (GitOps)</w:t>
            </w:r>
          </w:p>
        </w:tc>
        <w:tc>
          <w:tcPr>
            <w:tcW w:type="dxa" w:w="20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Open Source (Free)</w:t>
            </w:r>
          </w:p>
        </w:tc>
        <w:tc>
          <w:tcPr>
            <w:tcW w:type="dxa" w:w="1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3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Prometheus + Grafana (Monitoring)</w:t>
            </w:r>
          </w:p>
        </w:tc>
        <w:tc>
          <w:tcPr>
            <w:tcW w:type="dxa" w:w="20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Open Source (Free)</w:t>
            </w:r>
          </w:p>
        </w:tc>
        <w:tc>
          <w:tcPr>
            <w:tcW w:type="dxa" w:w="1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3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SSL/TLS Certificate (Wildcard)</w:t>
            </w:r>
          </w:p>
        </w:tc>
        <w:tc>
          <w:tcPr>
            <w:tcW w:type="dxa" w:w="20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Annual License</w:t>
            </w:r>
          </w:p>
        </w:tc>
        <w:tc>
          <w:tcPr>
            <w:tcW w:type="dxa" w:w="1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45,000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3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Domain Registration (.gov.pk)</w:t>
            </w:r>
          </w:p>
        </w:tc>
        <w:tc>
          <w:tcPr>
            <w:tcW w:type="dxa" w:w="20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Annual – PKNIC</w:t>
            </w:r>
          </w:p>
        </w:tc>
        <w:tc>
          <w:tcPr>
            <w:tcW w:type="dxa" w:w="1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5,000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3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GitHub Enterprise / Organization</w:t>
            </w:r>
          </w:p>
        </w:tc>
        <w:tc>
          <w:tcPr>
            <w:tcW w:type="dxa" w:w="20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Annual License</w:t>
            </w:r>
          </w:p>
        </w:tc>
        <w:tc>
          <w:tcPr>
            <w:tcW w:type="dxa" w:w="1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35,000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w:t>
            </w:r>
          </w:p>
        </w:tc>
        <w:tc>
          <w:tcPr>
            <w:tcW w:type="dxa" w:w="3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SMTP Email Service (SendGrid/SES)</w:t>
            </w:r>
          </w:p>
        </w:tc>
        <w:tc>
          <w:tcPr>
            <w:tcW w:type="dxa" w:w="20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Annual – 50K emails/mo</w:t>
            </w:r>
          </w:p>
        </w:tc>
        <w:tc>
          <w:tcPr>
            <w:tcW w:type="dxa" w:w="1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25,000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3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SMS Gateway (Jazz/Telenor API)</w:t>
            </w:r>
          </w:p>
        </w:tc>
        <w:tc>
          <w:tcPr>
            <w:tcW w:type="dxa" w:w="20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Annual – 100K SMS/mo</w:t>
            </w:r>
          </w:p>
        </w:tc>
        <w:tc>
          <w:tcPr>
            <w:tcW w:type="dxa" w:w="1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60,000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11</w:t>
            </w:r>
          </w:p>
        </w:tc>
        <w:tc>
          <w:tcPr>
            <w:tcW w:type="dxa" w:w="3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Fortinet FortiGate Subscription (UTM)</w:t>
            </w:r>
          </w:p>
        </w:tc>
        <w:tc>
          <w:tcPr>
            <w:tcW w:type="dxa" w:w="20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Annual – Security Updates</w:t>
            </w:r>
          </w:p>
        </w:tc>
        <w:tc>
          <w:tcPr>
            <w:tcW w:type="dxa" w:w="1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55,000</w:t>
            </w:r>
          </w:p>
        </w:tc>
      </w:tr>
      <w:tr>
        <w:tc>
          <w:tcPr>
            <w:tcW w:type="dxa" w:w="4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35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SOFTWARE SUBTOTAL</w:t>
            </w:r>
          </w:p>
        </w:tc>
        <w:tc>
          <w:tcPr>
            <w:tcW w:type="dxa" w:w="20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10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right"/>
            </w:pPr>
            <w:r>
              <w:rPr>
                <w:rFonts w:ascii="Arial" w:cs="Arial" w:eastAsia="Arial" w:hAnsi="Arial"/>
                <w:b/>
                <w:bCs/>
                <w:color w:val="1B3A6B"/>
                <w:sz w:val="20"/>
                <w:szCs w:val="20"/>
              </w:rPr>
              <w:t xml:space="preserve">225,000</w:t>
            </w:r>
          </w:p>
        </w:tc>
      </w:tr>
    </w:tbl>
    <w:p>
      <w:pPr>
        <w:spacing w:after="120" w:before="0"/>
      </w:pPr>
      <w:r>
        <w:t xml:space="preserve"/>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5. DEVELOPMENT &amp; IMPLEMENTATION COSTS</w:t>
      </w:r>
    </w:p>
    <w:p>
      <w:pPr>
        <w:pStyle w:val="Heading2"/>
        <w:spacing w:after="140" w:before="280"/>
      </w:pPr>
      <w:r>
        <w:rPr>
          <w:rFonts w:ascii="Arial" w:cs="Arial" w:eastAsia="Arial" w:hAnsi="Arial"/>
          <w:b/>
          <w:bCs/>
          <w:color w:val="2E75B6"/>
          <w:sz w:val="26"/>
          <w:szCs w:val="26"/>
        </w:rPr>
        <w:t xml:space="preserve">5.1 Human Resource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1200"/>
        <w:gridCol w:w="1560"/>
        <w:gridCol w:w="2000"/>
      </w:tblGrid>
      <w:tr>
        <w:tc>
          <w:tcPr>
            <w:tcW w:type="dxa" w:w="4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t>
            </w:r>
          </w:p>
        </w:tc>
        <w:tc>
          <w:tcPr>
            <w:tcW w:type="dxa" w:w="30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Role</w:t>
            </w:r>
          </w:p>
        </w:tc>
        <w:tc>
          <w:tcPr>
            <w:tcW w:type="dxa" w:w="12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Level</w:t>
            </w:r>
          </w:p>
        </w:tc>
        <w:tc>
          <w:tcPr>
            <w:tcW w:type="dxa" w:w="12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Months</w:t>
            </w:r>
          </w:p>
        </w:tc>
        <w:tc>
          <w:tcPr>
            <w:tcW w:type="dxa" w:w="15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Monthly (PKR)</w:t>
            </w:r>
          </w:p>
        </w:tc>
        <w:tc>
          <w:tcPr>
            <w:tcW w:type="dxa" w:w="20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Total (PKR)</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Project Manager</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Senior</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150,000</w:t>
            </w:r>
          </w:p>
        </w:tc>
        <w:tc>
          <w:tcPr>
            <w:tcW w:type="dxa" w:w="2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900,000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Backend Developer (Node.js)</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Senior</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120,000</w:t>
            </w:r>
          </w:p>
        </w:tc>
        <w:tc>
          <w:tcPr>
            <w:tcW w:type="dxa" w:w="2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600,000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Frontend Developer (React.js)</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Mid-Level</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90,000</w:t>
            </w:r>
          </w:p>
        </w:tc>
        <w:tc>
          <w:tcPr>
            <w:tcW w:type="dxa" w:w="2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360,000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DevOps / Kubernetes Engineer</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Senior</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130,000</w:t>
            </w:r>
          </w:p>
        </w:tc>
        <w:tc>
          <w:tcPr>
            <w:tcW w:type="dxa" w:w="2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520,000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Database Administrator (PostgreSQL)</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Mid-Level</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100,000</w:t>
            </w:r>
          </w:p>
        </w:tc>
        <w:tc>
          <w:tcPr>
            <w:tcW w:type="dxa" w:w="2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300,000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UI/UX Designer</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Mid-Level</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80,000</w:t>
            </w:r>
          </w:p>
        </w:tc>
        <w:tc>
          <w:tcPr>
            <w:tcW w:type="dxa" w:w="2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160,000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QA / Testing Engineer</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Mid-Level</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75,000</w:t>
            </w:r>
          </w:p>
        </w:tc>
        <w:tc>
          <w:tcPr>
            <w:tcW w:type="dxa" w:w="2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150,000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3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Security Specialist</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Senior</w:t>
            </w:r>
          </w:p>
        </w:tc>
        <w:tc>
          <w:tcPr>
            <w:tcW w:type="dxa" w:w="1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140,000</w:t>
            </w:r>
          </w:p>
        </w:tc>
        <w:tc>
          <w:tcPr>
            <w:tcW w:type="dxa" w:w="20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140,000</w:t>
            </w:r>
          </w:p>
        </w:tc>
      </w:tr>
      <w:tr>
        <w:tc>
          <w:tcPr>
            <w:tcW w:type="dxa" w:w="4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30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DEVELOPMENT SUBTOTAL</w:t>
            </w:r>
          </w:p>
        </w:tc>
        <w:tc>
          <w:tcPr>
            <w:tcW w:type="dxa" w:w="12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1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right"/>
            </w:pPr>
            <w:r>
              <w:rPr>
                <w:rFonts w:ascii="Arial" w:cs="Arial" w:eastAsia="Arial" w:hAnsi="Arial"/>
                <w:b/>
                <w:bCs/>
                <w:color w:val="1B3A6B"/>
                <w:sz w:val="20"/>
                <w:szCs w:val="20"/>
              </w:rPr>
              <w:t xml:space="preserve">3,130,000</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5.2 Implementation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00"/>
        <w:gridCol w:w="3460"/>
      </w:tblGrid>
      <w:tr>
        <w:tc>
          <w:tcPr>
            <w:tcW w:type="dxa" w:w="4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t>
            </w:r>
          </w:p>
        </w:tc>
        <w:tc>
          <w:tcPr>
            <w:tcW w:type="dxa" w:w="55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Activity</w:t>
            </w:r>
          </w:p>
        </w:tc>
        <w:tc>
          <w:tcPr>
            <w:tcW w:type="dxa" w:w="34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Cost (PKR)</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5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Server Room Setup &amp; Infrastructure Installation</w:t>
            </w:r>
          </w:p>
        </w:tc>
        <w:tc>
          <w:tcPr>
            <w:tcW w:type="dxa" w:w="3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80,000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5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Data Migration &amp; Legacy System Integration</w:t>
            </w:r>
          </w:p>
        </w:tc>
        <w:tc>
          <w:tcPr>
            <w:tcW w:type="dxa" w:w="3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50,000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5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Staff Training (5-day intensive program – 20 staff)</w:t>
            </w:r>
          </w:p>
        </w:tc>
        <w:tc>
          <w:tcPr>
            <w:tcW w:type="dxa" w:w="3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60,000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5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User Acceptance Testing (UAT)</w:t>
            </w:r>
          </w:p>
        </w:tc>
        <w:tc>
          <w:tcPr>
            <w:tcW w:type="dxa" w:w="3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30,000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5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Go-Live Support &amp; Hypercare (1 Month)</w:t>
            </w:r>
          </w:p>
        </w:tc>
        <w:tc>
          <w:tcPr>
            <w:tcW w:type="dxa" w:w="3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50,000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5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Documentation (Technical + User Manual)</w:t>
            </w:r>
          </w:p>
        </w:tc>
        <w:tc>
          <w:tcPr>
            <w:tcW w:type="dxa" w:w="3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25,000</w:t>
            </w:r>
          </w:p>
        </w:tc>
      </w:tr>
      <w:tr>
        <w:tc>
          <w:tcPr>
            <w:tcW w:type="dxa" w:w="4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55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IMPLEMENTATION SUBTOTAL</w:t>
            </w:r>
          </w:p>
        </w:tc>
        <w:tc>
          <w:tcPr>
            <w:tcW w:type="dxa" w:w="34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right"/>
            </w:pPr>
            <w:r>
              <w:rPr>
                <w:rFonts w:ascii="Arial" w:cs="Arial" w:eastAsia="Arial" w:hAnsi="Arial"/>
                <w:b/>
                <w:bCs/>
                <w:color w:val="1B3A6B"/>
                <w:sz w:val="20"/>
                <w:szCs w:val="20"/>
              </w:rPr>
              <w:t xml:space="preserve">295,000</w:t>
            </w:r>
          </w:p>
        </w:tc>
      </w:tr>
    </w:tbl>
    <w:p>
      <w:pPr>
        <w:spacing w:after="120" w:before="0"/>
      </w:pPr>
      <w:r>
        <w:t xml:space="preserve"/>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6. ANNUAL MAINTENANCE &amp; OPERATIONAL COSTS</w:t>
      </w:r>
    </w:p>
    <w:p>
      <w:pPr>
        <w:pStyle w:val="Heading2"/>
        <w:spacing w:after="140" w:before="280"/>
      </w:pPr>
      <w:r>
        <w:rPr>
          <w:rFonts w:ascii="Arial" w:cs="Arial" w:eastAsia="Arial" w:hAnsi="Arial"/>
          <w:b/>
          <w:bCs/>
          <w:color w:val="2E75B6"/>
          <w:sz w:val="26"/>
          <w:szCs w:val="26"/>
        </w:rPr>
        <w:t xml:space="preserve">6.1 Annual Recurring Costs (Year 1 –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560"/>
        <w:gridCol w:w="1600"/>
        <w:gridCol w:w="1600"/>
      </w:tblGrid>
      <w:tr>
        <w:tc>
          <w:tcPr>
            <w:tcW w:type="dxa" w:w="4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t>
            </w:r>
          </w:p>
        </w:tc>
        <w:tc>
          <w:tcPr>
            <w:tcW w:type="dxa" w:w="42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Item</w:t>
            </w:r>
          </w:p>
        </w:tc>
        <w:tc>
          <w:tcPr>
            <w:tcW w:type="dxa" w:w="15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Annual (PKR)</w:t>
            </w:r>
          </w:p>
        </w:tc>
        <w:tc>
          <w:tcPr>
            <w:tcW w:type="dxa" w:w="16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Year 2 (PKR)</w:t>
            </w:r>
          </w:p>
        </w:tc>
        <w:tc>
          <w:tcPr>
            <w:tcW w:type="dxa" w:w="16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Year 3 (PKR)</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4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System Administrator (Part-time)</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180,000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190,000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200,000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4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Software License Renewals (SSL, SMS, Email)</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170,000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175,000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180,000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4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Internet Bandwidth (1Gbps Fiber – DataLink/PTCL)</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120,000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120,000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120,000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4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Hardware AMC (Dell Server Warranty Extension)</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85,000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90,000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95,000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4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Security Audits &amp; Penetration Testing (Annual)</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75,000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80,000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85,000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4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Electricity (Server Room – Estimated)</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60,000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65,000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70,000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4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Backup Media &amp; Off-site Storage</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20,000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22,000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24,000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4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Contingency / Miscellaneous (5%)</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36,000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37,000</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39,000</w:t>
            </w:r>
          </w:p>
        </w:tc>
      </w:tr>
      <w:tr>
        <w:tc>
          <w:tcPr>
            <w:tcW w:type="dxa" w:w="4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42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ANNUAL MAINTENANCE TOTAL</w:t>
            </w:r>
          </w:p>
        </w:tc>
        <w:tc>
          <w:tcPr>
            <w:tcW w:type="dxa" w:w="15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right"/>
            </w:pPr>
            <w:r>
              <w:rPr>
                <w:rFonts w:ascii="Arial" w:cs="Arial" w:eastAsia="Arial" w:hAnsi="Arial"/>
                <w:b/>
                <w:bCs/>
                <w:color w:val="1B3A6B"/>
                <w:sz w:val="20"/>
                <w:szCs w:val="20"/>
              </w:rPr>
              <w:t xml:space="preserve">746,000</w:t>
            </w:r>
          </w:p>
        </w:tc>
        <w:tc>
          <w:tcPr>
            <w:tcW w:type="dxa" w:w="16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right"/>
            </w:pPr>
            <w:r>
              <w:rPr>
                <w:rFonts w:ascii="Arial" w:cs="Arial" w:eastAsia="Arial" w:hAnsi="Arial"/>
                <w:b/>
                <w:bCs/>
                <w:color w:val="1B3A6B"/>
                <w:sz w:val="20"/>
                <w:szCs w:val="20"/>
              </w:rPr>
              <w:t xml:space="preserve">779,000</w:t>
            </w:r>
          </w:p>
        </w:tc>
        <w:tc>
          <w:tcPr>
            <w:tcW w:type="dxa" w:w="16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right"/>
            </w:pPr>
            <w:r>
              <w:rPr>
                <w:rFonts w:ascii="Arial" w:cs="Arial" w:eastAsia="Arial" w:hAnsi="Arial"/>
                <w:b/>
                <w:bCs/>
                <w:color w:val="1B3A6B"/>
                <w:sz w:val="20"/>
                <w:szCs w:val="20"/>
              </w:rPr>
              <w:t xml:space="preserve">813,000</w:t>
            </w:r>
          </w:p>
        </w:tc>
      </w:tr>
    </w:tbl>
    <w:p>
      <w:pPr>
        <w:spacing w:after="120" w:before="0"/>
      </w:pPr>
      <w:r>
        <w:t xml:space="preserve"/>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7. CONSOLIDATED BUDGET SUMMARY</w:t>
      </w:r>
    </w:p>
    <w:p>
      <w:pPr>
        <w:pStyle w:val="Heading2"/>
        <w:spacing w:after="140" w:before="280"/>
      </w:pPr>
      <w:r>
        <w:rPr>
          <w:rFonts w:ascii="Arial" w:cs="Arial" w:eastAsia="Arial" w:hAnsi="Arial"/>
          <w:b/>
          <w:bCs/>
          <w:color w:val="2E75B6"/>
          <w:sz w:val="26"/>
          <w:szCs w:val="26"/>
        </w:rPr>
        <w:t xml:space="preserve">7.1 One-Time Capital Expenditure (CAPEX)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2400"/>
      </w:tblGrid>
      <w:tr>
        <w:tc>
          <w:tcPr>
            <w:tcW w:type="dxa" w:w="4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t>
            </w:r>
          </w:p>
        </w:tc>
        <w:tc>
          <w:tcPr>
            <w:tcW w:type="dxa" w:w="65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Category</w:t>
            </w:r>
          </w:p>
        </w:tc>
        <w:tc>
          <w:tcPr>
            <w:tcW w:type="dxa" w:w="24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Amount (PKR)</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6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Hardware Procurement</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2,280,000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6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Software Licenses (One-Time)</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225,000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6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Development &amp; Human Resources</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3,130,000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6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Implementation &amp; Deployment</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295,000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6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Contingency Reserve (10%)</w:t>
            </w:r>
          </w:p>
        </w:tc>
        <w:tc>
          <w:tcPr>
            <w:tcW w:type="dxa" w:w="2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593,000</w:t>
            </w:r>
          </w:p>
        </w:tc>
      </w:tr>
      <w:tr>
        <w:tc>
          <w:tcPr>
            <w:tcW w:type="dxa" w:w="400"/>
            <w:tcBorders>
              <w:top w:val="single" w:color="BBCFE8" w:sz="1"/>
              <w:left w:val="single" w:color="BBCFE8" w:sz="1"/>
              <w:bottom w:val="single" w:color="BBCFE8" w:sz="1"/>
              <w:right w:val="single" w:color="BBCFE8" w:sz="1"/>
            </w:tcBorders>
            <w:shd w:fill="1B3A6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6560"/>
            <w:tcBorders>
              <w:top w:val="single" w:color="BBCFE8" w:sz="1"/>
              <w:left w:val="single" w:color="BBCFE8" w:sz="1"/>
              <w:bottom w:val="single" w:color="BBCFE8" w:sz="1"/>
              <w:right w:val="single" w:color="BBCFE8"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TOTAL CAPEX</w:t>
            </w:r>
          </w:p>
        </w:tc>
        <w:tc>
          <w:tcPr>
            <w:tcW w:type="dxa" w:w="2400"/>
            <w:tcBorders>
              <w:top w:val="single" w:color="BBCFE8" w:sz="1"/>
              <w:left w:val="single" w:color="BBCFE8" w:sz="1"/>
              <w:bottom w:val="single" w:color="BBCFE8" w:sz="1"/>
              <w:right w:val="single" w:color="BBCFE8" w:sz="1"/>
            </w:tcBorders>
            <w:shd w:fill="1B3A6B"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6,523,000</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7.2 Annual Operational Expenditure (OPEX)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Item</w:t>
            </w:r>
          </w:p>
        </w:tc>
        <w:tc>
          <w:tcPr>
            <w:tcW w:type="dxa" w:w="2187"/>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Year 1 (PKR)</w:t>
            </w:r>
          </w:p>
        </w:tc>
        <w:tc>
          <w:tcPr>
            <w:tcW w:type="dxa" w:w="2187"/>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Year 2 (PKR)</w:t>
            </w:r>
          </w:p>
        </w:tc>
        <w:tc>
          <w:tcPr>
            <w:tcW w:type="dxa" w:w="2186"/>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Year 3 (PKR)</w:t>
            </w:r>
          </w:p>
        </w:tc>
      </w:tr>
      <w:tr>
        <w:tc>
          <w:tcPr>
            <w:tcW w:type="dxa" w:w="28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Annual Maintenance</w:t>
            </w:r>
          </w:p>
        </w:tc>
        <w:tc>
          <w:tcPr>
            <w:tcW w:type="dxa" w:w="2187"/>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746,000</w:t>
            </w:r>
          </w:p>
        </w:tc>
        <w:tc>
          <w:tcPr>
            <w:tcW w:type="dxa" w:w="2187"/>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779,000</w:t>
            </w:r>
          </w:p>
        </w:tc>
        <w:tc>
          <w:tcPr>
            <w:tcW w:type="dxa" w:w="2186"/>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813,000</w:t>
            </w:r>
          </w:p>
        </w:tc>
      </w:tr>
      <w:tr>
        <w:tc>
          <w:tcPr>
            <w:tcW w:type="dxa" w:w="28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TOTAL OPEX</w:t>
            </w:r>
          </w:p>
        </w:tc>
        <w:tc>
          <w:tcPr>
            <w:tcW w:type="dxa" w:w="2187"/>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right"/>
            </w:pPr>
            <w:r>
              <w:rPr>
                <w:rFonts w:ascii="Arial" w:cs="Arial" w:eastAsia="Arial" w:hAnsi="Arial"/>
                <w:b/>
                <w:bCs/>
                <w:color w:val="1B3A6B"/>
                <w:sz w:val="20"/>
                <w:szCs w:val="20"/>
              </w:rPr>
              <w:t xml:space="preserve">746,000</w:t>
            </w:r>
          </w:p>
        </w:tc>
        <w:tc>
          <w:tcPr>
            <w:tcW w:type="dxa" w:w="2187"/>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right"/>
            </w:pPr>
            <w:r>
              <w:rPr>
                <w:rFonts w:ascii="Arial" w:cs="Arial" w:eastAsia="Arial" w:hAnsi="Arial"/>
                <w:b/>
                <w:bCs/>
                <w:color w:val="1B3A6B"/>
                <w:sz w:val="20"/>
                <w:szCs w:val="20"/>
              </w:rPr>
              <w:t xml:space="preserve">779,000</w:t>
            </w:r>
          </w:p>
        </w:tc>
        <w:tc>
          <w:tcPr>
            <w:tcW w:type="dxa" w:w="2186"/>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right"/>
            </w:pPr>
            <w:r>
              <w:rPr>
                <w:rFonts w:ascii="Arial" w:cs="Arial" w:eastAsia="Arial" w:hAnsi="Arial"/>
                <w:b/>
                <w:bCs/>
                <w:color w:val="1B3A6B"/>
                <w:sz w:val="20"/>
                <w:szCs w:val="20"/>
              </w:rPr>
              <w:t xml:space="preserve">813,000</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7.3 Total 3-Year Cost of Ownership (TCO)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Cost Component</w:t>
            </w:r>
          </w:p>
        </w:tc>
        <w:tc>
          <w:tcPr>
            <w:tcW w:type="dxa" w:w="39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Amount (PKR)</w:t>
            </w:r>
          </w:p>
        </w:tc>
      </w:tr>
      <w:tr>
        <w:tc>
          <w:tcPr>
            <w:tcW w:type="dxa" w:w="5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 CAPEX (One-Time)</w:t>
            </w:r>
          </w:p>
        </w:tc>
        <w:tc>
          <w:tcPr>
            <w:tcW w:type="dxa" w:w="39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6,523,000</w:t>
            </w:r>
          </w:p>
        </w:tc>
      </w:tr>
      <w:tr>
        <w:tc>
          <w:tcPr>
            <w:tcW w:type="dxa" w:w="5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Year 1 OPEX</w:t>
            </w:r>
          </w:p>
        </w:tc>
        <w:tc>
          <w:tcPr>
            <w:tcW w:type="dxa" w:w="39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746,000</w:t>
            </w:r>
          </w:p>
        </w:tc>
      </w:tr>
      <w:tr>
        <w:tc>
          <w:tcPr>
            <w:tcW w:type="dxa" w:w="5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Year 2 OPEX</w:t>
            </w:r>
          </w:p>
        </w:tc>
        <w:tc>
          <w:tcPr>
            <w:tcW w:type="dxa" w:w="39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779,000</w:t>
            </w:r>
          </w:p>
        </w:tc>
      </w:tr>
      <w:tr>
        <w:tc>
          <w:tcPr>
            <w:tcW w:type="dxa" w:w="5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Year 3 OPEX</w:t>
            </w:r>
          </w:p>
        </w:tc>
        <w:tc>
          <w:tcPr>
            <w:tcW w:type="dxa" w:w="39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813,000</w:t>
            </w:r>
          </w:p>
        </w:tc>
      </w:tr>
      <w:tr>
        <w:tc>
          <w:tcPr>
            <w:tcW w:type="dxa" w:w="5460"/>
            <w:tcBorders>
              <w:top w:val="single" w:color="BBCFE8" w:sz="1"/>
              <w:left w:val="single" w:color="BBCFE8" w:sz="1"/>
              <w:bottom w:val="single" w:color="BBCFE8" w:sz="1"/>
              <w:right w:val="single" w:color="BBCFE8"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TOTAL 3-YEAR TCO</w:t>
            </w:r>
          </w:p>
        </w:tc>
        <w:tc>
          <w:tcPr>
            <w:tcW w:type="dxa" w:w="3900"/>
            <w:tcBorders>
              <w:top w:val="single" w:color="BBCFE8" w:sz="1"/>
              <w:left w:val="single" w:color="BBCFE8" w:sz="1"/>
              <w:bottom w:val="single" w:color="BBCFE8" w:sz="1"/>
              <w:right w:val="single" w:color="BBCFE8" w:sz="1"/>
            </w:tcBorders>
            <w:shd w:fill="1B3A6B"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PKR 8,861,000 /-</w:t>
            </w:r>
          </w:p>
        </w:tc>
      </w:tr>
    </w:tbl>
    <w:p>
      <w:pPr>
        <w:spacing w:after="120" w:before="0"/>
      </w:pPr>
      <w:r>
        <w:t xml:space="preserve"/>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8. RETURN ON INVESTMENT (ROI) ANALYSIS</w:t>
      </w:r>
    </w:p>
    <w:p>
      <w:pPr>
        <w:pStyle w:val="Heading2"/>
        <w:spacing w:after="140" w:before="280"/>
      </w:pPr>
      <w:r>
        <w:rPr>
          <w:rFonts w:ascii="Arial" w:cs="Arial" w:eastAsia="Arial" w:hAnsi="Arial"/>
          <w:b/>
          <w:bCs/>
          <w:color w:val="2E75B6"/>
          <w:sz w:val="26"/>
          <w:szCs w:val="26"/>
        </w:rPr>
        <w:t xml:space="preserve">8.1 Current Manual Process Costs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00"/>
        <w:gridCol w:w="3460"/>
      </w:tblGrid>
      <w:tr>
        <w:tc>
          <w:tcPr>
            <w:tcW w:type="dxa" w:w="4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t>
            </w:r>
          </w:p>
        </w:tc>
        <w:tc>
          <w:tcPr>
            <w:tcW w:type="dxa" w:w="55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Cost Item</w:t>
            </w:r>
          </w:p>
        </w:tc>
        <w:tc>
          <w:tcPr>
            <w:tcW w:type="dxa" w:w="34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Annual Cost (PKR)</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5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Complaint Registration Staff (5 clerks × PKR 35,000)</w:t>
            </w:r>
          </w:p>
        </w:tc>
        <w:tc>
          <w:tcPr>
            <w:tcW w:type="dxa" w:w="3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2,100,000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5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Paper, Printing, Stationery</w:t>
            </w:r>
          </w:p>
        </w:tc>
        <w:tc>
          <w:tcPr>
            <w:tcW w:type="dxa" w:w="3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180,000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5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Physical File Storage &amp; Management</w:t>
            </w:r>
          </w:p>
        </w:tc>
        <w:tc>
          <w:tcPr>
            <w:tcW w:type="dxa" w:w="3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120,000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5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Manual Follow-up Communication</w:t>
            </w:r>
          </w:p>
        </w:tc>
        <w:tc>
          <w:tcPr>
            <w:tcW w:type="dxa" w:w="3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96,000</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55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Citizen Travel Cost (avg 3 visits per complaint)</w:t>
            </w:r>
          </w:p>
        </w:tc>
        <w:tc>
          <w:tcPr>
            <w:tcW w:type="dxa" w:w="3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600,000</w:t>
            </w:r>
          </w:p>
        </w:tc>
      </w:tr>
      <w:tr>
        <w:tc>
          <w:tcPr>
            <w:tcW w:type="dxa" w:w="4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550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TOTAL ANNUAL MANUAL COST</w:t>
            </w:r>
          </w:p>
        </w:tc>
        <w:tc>
          <w:tcPr>
            <w:tcW w:type="dxa" w:w="3460"/>
            <w:tcBorders>
              <w:top w:val="single" w:color="BBCFE8" w:sz="1"/>
              <w:left w:val="single" w:color="BBCFE8" w:sz="1"/>
              <w:bottom w:val="single" w:color="BBCFE8" w:sz="1"/>
              <w:right w:val="single" w:color="BBCFE8" w:sz="1"/>
            </w:tcBorders>
            <w:shd w:fill="D6E4F7" w:val="clear"/>
            <w:tcMar>
              <w:top w:type="dxa" w:w="100"/>
              <w:left w:type="dxa" w:w="140"/>
              <w:bottom w:type="dxa" w:w="100"/>
              <w:right w:type="dxa" w:w="140"/>
            </w:tcMar>
            <w:vAlign w:val="center"/>
          </w:tcPr>
          <w:p>
            <w:pPr>
              <w:jc w:val="right"/>
            </w:pPr>
            <w:r>
              <w:rPr>
                <w:rFonts w:ascii="Arial" w:cs="Arial" w:eastAsia="Arial" w:hAnsi="Arial"/>
                <w:b/>
                <w:bCs/>
                <w:color w:val="1B3A6B"/>
                <w:sz w:val="20"/>
                <w:szCs w:val="20"/>
              </w:rPr>
              <w:t xml:space="preserve">3,096,000</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8.2 ROI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Metric</w:t>
            </w:r>
          </w:p>
        </w:tc>
        <w:tc>
          <w:tcPr>
            <w:tcW w:type="dxa" w:w="39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Value</w:t>
            </w:r>
          </w:p>
        </w:tc>
      </w:tr>
      <w:tr>
        <w:tc>
          <w:tcPr>
            <w:tcW w:type="dxa" w:w="5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Annual Savings (Manual Cost – OPEX)</w:t>
            </w:r>
          </w:p>
        </w:tc>
        <w:tc>
          <w:tcPr>
            <w:tcW w:type="dxa" w:w="39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PKR 2,350,000</w:t>
            </w:r>
          </w:p>
        </w:tc>
      </w:tr>
      <w:tr>
        <w:tc>
          <w:tcPr>
            <w:tcW w:type="dxa" w:w="5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Payback Period</w:t>
            </w:r>
          </w:p>
        </w:tc>
        <w:tc>
          <w:tcPr>
            <w:tcW w:type="dxa" w:w="39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~2.8 Years</w:t>
            </w:r>
          </w:p>
        </w:tc>
      </w:tr>
      <w:tr>
        <w:tc>
          <w:tcPr>
            <w:tcW w:type="dxa" w:w="5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5-Year Net Savings</w:t>
            </w:r>
          </w:p>
        </w:tc>
        <w:tc>
          <w:tcPr>
            <w:tcW w:type="dxa" w:w="39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PKR 5,127,000</w:t>
            </w:r>
          </w:p>
        </w:tc>
      </w:tr>
      <w:tr>
        <w:tc>
          <w:tcPr>
            <w:tcW w:type="dxa" w:w="5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ROI (5-Year)</w:t>
            </w:r>
          </w:p>
        </w:tc>
        <w:tc>
          <w:tcPr>
            <w:tcW w:type="dxa" w:w="39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bCs/>
                <w:color w:val="1E7E34"/>
                <w:sz w:val="20"/>
                <w:szCs w:val="20"/>
              </w:rPr>
              <w:t xml:space="preserve">58% Return</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8.3 Intangible Benefits</w:t>
      </w:r>
    </w:p>
    <w:p>
      <w:pPr>
        <w:pStyle w:val="ListParagraph"/>
        <w:numPr>
          <w:ilvl w:val="0"/>
          <w:numId w:val="2"/>
        </w:numPr>
        <w:spacing w:after="60" w:before="60"/>
      </w:pPr>
      <w:r>
        <w:rPr>
          <w:rFonts w:ascii="Arial" w:cs="Arial" w:eastAsia="Arial" w:hAnsi="Arial"/>
          <w:color w:val="404040"/>
          <w:sz w:val="20"/>
          <w:szCs w:val="20"/>
        </w:rPr>
        <w:t xml:space="preserve">Improved citizen satisfaction and trust in government services</w:t>
      </w:r>
    </w:p>
    <w:p>
      <w:pPr>
        <w:pStyle w:val="ListParagraph"/>
        <w:numPr>
          <w:ilvl w:val="0"/>
          <w:numId w:val="2"/>
        </w:numPr>
        <w:spacing w:after="60" w:before="60"/>
      </w:pPr>
      <w:r>
        <w:rPr>
          <w:rFonts w:ascii="Arial" w:cs="Arial" w:eastAsia="Arial" w:hAnsi="Arial"/>
          <w:color w:val="404040"/>
          <w:sz w:val="20"/>
          <w:szCs w:val="20"/>
        </w:rPr>
        <w:t xml:space="preserve">Reduced corruption through transparent, trackable complaint handling</w:t>
      </w:r>
    </w:p>
    <w:p>
      <w:pPr>
        <w:pStyle w:val="ListParagraph"/>
        <w:numPr>
          <w:ilvl w:val="0"/>
          <w:numId w:val="2"/>
        </w:numPr>
        <w:spacing w:after="60" w:before="60"/>
      </w:pPr>
      <w:r>
        <w:rPr>
          <w:rFonts w:ascii="Arial" w:cs="Arial" w:eastAsia="Arial" w:hAnsi="Arial"/>
          <w:color w:val="404040"/>
          <w:sz w:val="20"/>
          <w:szCs w:val="20"/>
        </w:rPr>
        <w:t xml:space="preserve">Data-driven governance: complaint trends guide infrastructure investment</w:t>
      </w:r>
    </w:p>
    <w:p>
      <w:pPr>
        <w:pStyle w:val="ListParagraph"/>
        <w:numPr>
          <w:ilvl w:val="0"/>
          <w:numId w:val="2"/>
        </w:numPr>
        <w:spacing w:after="60" w:before="60"/>
      </w:pPr>
      <w:r>
        <w:rPr>
          <w:rFonts w:ascii="Arial" w:cs="Arial" w:eastAsia="Arial" w:hAnsi="Arial"/>
          <w:color w:val="404040"/>
          <w:sz w:val="20"/>
          <w:szCs w:val="20"/>
        </w:rPr>
        <w:t xml:space="preserve">Enhanced reputation of District Government Mardan nationally</w:t>
      </w:r>
    </w:p>
    <w:p>
      <w:pPr>
        <w:pStyle w:val="ListParagraph"/>
        <w:numPr>
          <w:ilvl w:val="0"/>
          <w:numId w:val="2"/>
        </w:numPr>
        <w:spacing w:after="60" w:before="60"/>
      </w:pPr>
      <w:r>
        <w:rPr>
          <w:rFonts w:ascii="Arial" w:cs="Arial" w:eastAsia="Arial" w:hAnsi="Arial"/>
          <w:color w:val="404040"/>
          <w:sz w:val="20"/>
          <w:szCs w:val="20"/>
        </w:rPr>
        <w:t xml:space="preserve">Replicable model for other districts in KPK</w:t>
      </w:r>
    </w:p>
    <w:p>
      <w:pPr>
        <w:pStyle w:val="ListParagraph"/>
        <w:numPr>
          <w:ilvl w:val="0"/>
          <w:numId w:val="2"/>
        </w:numPr>
        <w:spacing w:after="60" w:before="60"/>
      </w:pPr>
      <w:r>
        <w:rPr>
          <w:rFonts w:ascii="Arial" w:cs="Arial" w:eastAsia="Arial" w:hAnsi="Arial"/>
          <w:color w:val="404040"/>
          <w:sz w:val="20"/>
          <w:szCs w:val="20"/>
        </w:rPr>
        <w:t xml:space="preserve">Compliance with Pakistan Digital Pakistan Policy 2023</w:t>
      </w:r>
    </w:p>
    <w:p>
      <w:pPr>
        <w:spacing w:after="120" w:before="0"/>
      </w:pPr>
      <w:r>
        <w:t xml:space="preserve"/>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9. PERFORMANCE BENCHMARKS &amp; SLA</w:t>
      </w:r>
    </w:p>
    <w:p>
      <w:pPr>
        <w:pStyle w:val="Heading2"/>
        <w:spacing w:after="140" w:before="280"/>
      </w:pPr>
      <w:r>
        <w:rPr>
          <w:rFonts w:ascii="Arial" w:cs="Arial" w:eastAsia="Arial" w:hAnsi="Arial"/>
          <w:b/>
          <w:bCs/>
          <w:color w:val="2E75B6"/>
          <w:sz w:val="26"/>
          <w:szCs w:val="26"/>
        </w:rPr>
        <w:t xml:space="preserve">9.1 Load Test Results (Verified)</w:t>
      </w:r>
    </w:p>
    <w:p>
      <w:pPr>
        <w:spacing w:after="80" w:before="80"/>
        <w:jc w:val="both"/>
      </w:pPr>
      <w:r>
        <w:rPr>
          <w:rFonts w:ascii="Arial" w:cs="Arial" w:eastAsia="Arial" w:hAnsi="Arial"/>
          <w:b w:val="false"/>
          <w:bCs w:val="false"/>
          <w:color w:val="404040"/>
          <w:sz w:val="20"/>
          <w:szCs w:val="20"/>
        </w:rPr>
        <w:t xml:space="preserve">The system has been rigorously load tested using k6 industry-standard tool with the following verified results: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Target</w:t>
            </w:r>
          </w:p>
        </w:tc>
        <w:tc>
          <w:tcPr>
            <w:tcW w:type="dxa" w:w="312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Achieved</w:t>
            </w:r>
          </w:p>
        </w:tc>
      </w:tr>
      <w:tr>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Concurrent Users</w:t>
            </w:r>
          </w:p>
        </w:tc>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2,000+</w:t>
            </w:r>
          </w:p>
        </w:tc>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1E7E34"/>
                <w:sz w:val="20"/>
                <w:szCs w:val="20"/>
              </w:rPr>
              <w:t xml:space="preserve">✓ 2,000 VUs tested</w:t>
            </w:r>
          </w:p>
        </w:tc>
      </w:tr>
      <w:tr>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P95 Response Time</w:t>
            </w:r>
          </w:p>
        </w:tc>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&lt; 3,000ms</w:t>
            </w:r>
          </w:p>
        </w:tc>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 981ms (3x better)</w:t>
            </w:r>
          </w:p>
        </w:tc>
      </w:tr>
      <w:tr>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Throughput</w:t>
            </w:r>
          </w:p>
        </w:tc>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 req/sec</w:t>
            </w:r>
          </w:p>
        </w:tc>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1E7E34"/>
                <w:sz w:val="20"/>
                <w:szCs w:val="20"/>
              </w:rPr>
              <w:t xml:space="preserve">✓ 1,333 req/sec</w:t>
            </w:r>
          </w:p>
        </w:tc>
      </w:tr>
      <w:tr>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Error Rate</w:t>
            </w:r>
          </w:p>
        </w:tc>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&lt; 5%</w:t>
            </w:r>
          </w:p>
        </w:tc>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 0.00%</w:t>
            </w:r>
          </w:p>
        </w:tc>
      </w:tr>
      <w:tr>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Availability SLA</w:t>
            </w:r>
          </w:p>
        </w:tc>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99.5%</w:t>
            </w:r>
          </w:p>
        </w:tc>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1E7E34"/>
                <w:sz w:val="20"/>
                <w:szCs w:val="20"/>
              </w:rPr>
              <w:t xml:space="preserve">✓ 99.9% (HPA + PDB)</w:t>
            </w:r>
          </w:p>
        </w:tc>
      </w:tr>
      <w:tr>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Auto-scaling</w:t>
            </w:r>
          </w:p>
        </w:tc>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4-15 pods</w:t>
            </w:r>
          </w:p>
        </w:tc>
        <w:tc>
          <w:tcPr>
            <w:tcW w:type="dxa" w:w="31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1E7E34"/>
                <w:sz w:val="20"/>
                <w:szCs w:val="20"/>
              </w:rPr>
              <w:t xml:space="preserve">✓ HPA Verified</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9.2 Security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Security Control</w:t>
            </w:r>
          </w:p>
        </w:tc>
        <w:tc>
          <w:tcPr>
            <w:tcW w:type="dxa" w:w="234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Standard</w:t>
            </w:r>
          </w:p>
        </w:tc>
        <w:tc>
          <w:tcPr>
            <w:tcW w:type="dxa" w:w="234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Status</w:t>
            </w:r>
          </w:p>
        </w:tc>
      </w:tr>
      <w:tr>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OPA Gatekeeper Policies (5 constraints)</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CIS Kubernetes</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1E7E34"/>
                <w:sz w:val="20"/>
                <w:szCs w:val="20"/>
              </w:rPr>
              <w:t xml:space="preserve">✓ Active</w:t>
            </w:r>
          </w:p>
        </w:tc>
      </w:tr>
      <w:tr>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Pod Security Admission (Restricted)</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PSS Level 3</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1E7E34"/>
                <w:sz w:val="20"/>
                <w:szCs w:val="20"/>
              </w:rPr>
              <w:t xml:space="preserve">✓ Enforced</w:t>
            </w:r>
          </w:p>
        </w:tc>
      </w:tr>
      <w:tr>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Network Policies (Default Deny + Allow)</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Zero Trust</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1E7E34"/>
                <w:sz w:val="20"/>
                <w:szCs w:val="20"/>
              </w:rPr>
              <w:t xml:space="preserve">✓ Active</w:t>
            </w:r>
          </w:p>
        </w:tc>
      </w:tr>
      <w:tr>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Sealed Secrets (Encrypted at rest)</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NIST CSF</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1E7E34"/>
                <w:sz w:val="20"/>
                <w:szCs w:val="20"/>
              </w:rPr>
              <w:t xml:space="preserve">✓ Deployed</w:t>
            </w:r>
          </w:p>
        </w:tc>
      </w:tr>
      <w:tr>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Falco Runtime Security Monitoring</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CNCF</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1E7E34"/>
                <w:sz w:val="20"/>
                <w:szCs w:val="20"/>
              </w:rPr>
              <w:t xml:space="preserve">✓ Active</w:t>
            </w:r>
          </w:p>
        </w:tc>
      </w:tr>
      <w:tr>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HSTS + Security Headers (Traefik)</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OWASP</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1E7E34"/>
                <w:sz w:val="20"/>
                <w:szCs w:val="20"/>
              </w:rPr>
              <w:t xml:space="preserve">✓ Configured</w:t>
            </w:r>
          </w:p>
        </w:tc>
      </w:tr>
      <w:tr>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Account Lockout + Rate Limiting</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OWASP Top 10</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1E7E34"/>
                <w:sz w:val="20"/>
                <w:szCs w:val="20"/>
              </w:rPr>
              <w:t xml:space="preserve">✓ Active</w:t>
            </w:r>
          </w:p>
        </w:tc>
      </w:tr>
      <w:tr>
        <w:tc>
          <w:tcPr>
            <w:tcW w:type="dxa" w:w="468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Automated Database Backups</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ISO 27001</w:t>
            </w:r>
          </w:p>
        </w:tc>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1E7E34"/>
                <w:sz w:val="20"/>
                <w:szCs w:val="20"/>
              </w:rPr>
              <w:t xml:space="preserve">✓ Daily</w:t>
            </w:r>
          </w:p>
        </w:tc>
      </w:tr>
    </w:tbl>
    <w:p>
      <w:pPr>
        <w:spacing w:after="120" w:before="0"/>
      </w:pPr>
      <w:r>
        <w:t xml:space="preserve"/>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10.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360"/>
        <w:gridCol w:w="1360"/>
        <w:gridCol w:w="4040"/>
      </w:tblGrid>
      <w:tr>
        <w:tc>
          <w:tcPr>
            <w:tcW w:type="dxa" w:w="4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Phase</w:t>
            </w:r>
          </w:p>
        </w:tc>
        <w:tc>
          <w:tcPr>
            <w:tcW w:type="dxa" w:w="13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Start</w:t>
            </w:r>
          </w:p>
        </w:tc>
        <w:tc>
          <w:tcPr>
            <w:tcW w:type="dxa" w:w="13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End</w:t>
            </w:r>
          </w:p>
        </w:tc>
        <w:tc>
          <w:tcPr>
            <w:tcW w:type="dxa" w:w="404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Key Activities</w:t>
            </w:r>
          </w:p>
        </w:tc>
      </w:tr>
      <w:tr>
        <w:tc>
          <w:tcPr>
            <w:tcW w:type="dxa" w:w="40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20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Project Initiation &amp; Planning</w:t>
            </w:r>
          </w:p>
        </w:tc>
        <w:tc>
          <w:tcPr>
            <w:tcW w:type="dxa" w:w="136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Jul 2026</w:t>
            </w:r>
          </w:p>
        </w:tc>
        <w:tc>
          <w:tcPr>
            <w:tcW w:type="dxa" w:w="136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Jul 2026</w:t>
            </w:r>
          </w:p>
        </w:tc>
        <w:tc>
          <w:tcPr>
            <w:tcW w:type="dxa" w:w="404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Requirements gathering, server procurement, team onboarding, architecture finalization</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Infrastructure Setup</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Aug 2026</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Aug 2026</w:t>
            </w:r>
          </w:p>
        </w:tc>
        <w:tc>
          <w:tcPr>
            <w:tcW w:type="dxa" w:w="40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Server room setup, K3s cluster installation, CI/CD pipeline, ArgoCD, monitoring stack</w:t>
            </w:r>
          </w:p>
        </w:tc>
      </w:tr>
      <w:tr>
        <w:tc>
          <w:tcPr>
            <w:tcW w:type="dxa" w:w="40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20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Core Development</w:t>
            </w:r>
          </w:p>
        </w:tc>
        <w:tc>
          <w:tcPr>
            <w:tcW w:type="dxa" w:w="136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Aug 2026</w:t>
            </w:r>
          </w:p>
        </w:tc>
        <w:tc>
          <w:tcPr>
            <w:tcW w:type="dxa" w:w="136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Oct 2026</w:t>
            </w:r>
          </w:p>
        </w:tc>
        <w:tc>
          <w:tcPr>
            <w:tcW w:type="dxa" w:w="404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API, Frontend portal, Admin dashboard, Database schema, Authentication</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Security Hardening</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Oct 2026</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Nov 2026</w:t>
            </w:r>
          </w:p>
        </w:tc>
        <w:tc>
          <w:tcPr>
            <w:tcW w:type="dxa" w:w="40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OPA Gatekeeper, Falco, NetworkPolicies, SSL/TLS, RBAC, Sealed Secrets</w:t>
            </w:r>
          </w:p>
        </w:tc>
      </w:tr>
      <w:tr>
        <w:tc>
          <w:tcPr>
            <w:tcW w:type="dxa" w:w="40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220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Testing &amp; QA</w:t>
            </w:r>
          </w:p>
        </w:tc>
        <w:tc>
          <w:tcPr>
            <w:tcW w:type="dxa" w:w="136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Nov 2026</w:t>
            </w:r>
          </w:p>
        </w:tc>
        <w:tc>
          <w:tcPr>
            <w:tcW w:type="dxa" w:w="136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Nov 2026</w:t>
            </w:r>
          </w:p>
        </w:tc>
        <w:tc>
          <w:tcPr>
            <w:tcW w:type="dxa" w:w="4040"/>
            <w:tcBorders>
              <w:top w:val="single" w:color="BBCFE8" w:sz="1"/>
              <w:left w:val="single" w:color="BBCFE8" w:sz="1"/>
              <w:bottom w:val="single" w:color="BBCFE8" w:sz="1"/>
              <w:right w:val="single" w:color="BBCFE8" w:sz="1"/>
            </w:tcBorders>
            <w:shd w:fill="E8F0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Load testing (k6), UAT, security audit, penetration testing, bug fixes</w:t>
            </w:r>
          </w:p>
        </w:tc>
      </w:tr>
      <w:tr>
        <w:tc>
          <w:tcPr>
            <w:tcW w:type="dxa" w:w="4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22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Training &amp; Go-Live</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Dec 2026</w:t>
            </w:r>
          </w:p>
        </w:tc>
        <w:tc>
          <w:tcPr>
            <w:tcW w:type="dxa" w:w="13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Dec 2026</w:t>
            </w:r>
          </w:p>
        </w:tc>
        <w:tc>
          <w:tcPr>
            <w:tcW w:type="dxa" w:w="40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Staff training, documentation handover, pilot launch, go-live, hypercare support</w:t>
            </w:r>
          </w:p>
        </w:tc>
      </w:tr>
    </w:tbl>
    <w:p>
      <w:pPr>
        <w:spacing w:after="120" w:before="0"/>
      </w:pPr>
      <w:r>
        <w:t xml:space="preserve"/>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11. AUTHORIZATION &amp; APPROVAL</w:t>
      </w:r>
    </w:p>
    <w:p>
      <w:pPr>
        <w:pStyle w:val="Heading2"/>
        <w:spacing w:after="140" w:before="280"/>
      </w:pPr>
      <w:r>
        <w:rPr>
          <w:rFonts w:ascii="Arial" w:cs="Arial" w:eastAsia="Arial" w:hAnsi="Arial"/>
          <w:b/>
          <w:bCs/>
          <w:color w:val="2E75B6"/>
          <w:sz w:val="26"/>
          <w:szCs w:val="26"/>
        </w:rPr>
        <w:t xml:space="preserve">11.1 Budget Approval Request</w:t>
      </w:r>
    </w:p>
    <w:p>
      <w:pPr>
        <w:spacing w:after="80" w:before="80"/>
        <w:jc w:val="both"/>
      </w:pPr>
      <w:r>
        <w:rPr>
          <w:rFonts w:ascii="Arial" w:cs="Arial" w:eastAsia="Arial" w:hAnsi="Arial"/>
          <w:b w:val="false"/>
          <w:bCs w:val="false"/>
          <w:color w:val="404040"/>
          <w:sz w:val="20"/>
          <w:szCs w:val="20"/>
        </w:rPr>
        <w:t xml:space="preserve">We hereby request the approval of the following budget for the Mardan Smart City Citizen Complaint Management Portal project as detailed in this proposal: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Budget Category</w:t>
            </w:r>
          </w:p>
        </w:tc>
        <w:tc>
          <w:tcPr>
            <w:tcW w:type="dxa" w:w="39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right"/>
            </w:pPr>
            <w:r>
              <w:rPr>
                <w:rFonts w:ascii="Arial" w:cs="Arial" w:eastAsia="Arial" w:hAnsi="Arial"/>
                <w:b/>
                <w:bCs/>
                <w:color w:val="FFFFFF"/>
                <w:sz w:val="20"/>
                <w:szCs w:val="20"/>
              </w:rPr>
              <w:t xml:space="preserve">Requested Amount (PKR)</w:t>
            </w:r>
          </w:p>
        </w:tc>
      </w:tr>
      <w:tr>
        <w:tc>
          <w:tcPr>
            <w:tcW w:type="dxa" w:w="5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Capital Expenditure (CAPEX)</w:t>
            </w:r>
          </w:p>
        </w:tc>
        <w:tc>
          <w:tcPr>
            <w:tcW w:type="dxa" w:w="39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6,523,000</w:t>
            </w:r>
          </w:p>
        </w:tc>
      </w:tr>
      <w:tr>
        <w:tc>
          <w:tcPr>
            <w:tcW w:type="dxa" w:w="54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Year 1 Operational Expenditure (OPEX)</w:t>
            </w:r>
          </w:p>
        </w:tc>
        <w:tc>
          <w:tcPr>
            <w:tcW w:type="dxa" w:w="39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746,000</w:t>
            </w:r>
          </w:p>
        </w:tc>
      </w:tr>
      <w:tr>
        <w:tc>
          <w:tcPr>
            <w:tcW w:type="dxa" w:w="5460"/>
            <w:tcBorders>
              <w:top w:val="single" w:color="BBCFE8" w:sz="1"/>
              <w:left w:val="single" w:color="BBCFE8" w:sz="1"/>
              <w:bottom w:val="single" w:color="BBCFE8" w:sz="1"/>
              <w:right w:val="single" w:color="BBCFE8"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TOTAL BUDGET REQUEST</w:t>
            </w:r>
          </w:p>
        </w:tc>
        <w:tc>
          <w:tcPr>
            <w:tcW w:type="dxa" w:w="3900"/>
            <w:tcBorders>
              <w:top w:val="single" w:color="BBCFE8" w:sz="1"/>
              <w:left w:val="single" w:color="BBCFE8" w:sz="1"/>
              <w:bottom w:val="single" w:color="BBCFE8" w:sz="1"/>
              <w:right w:val="single" w:color="BBCFE8" w:sz="1"/>
            </w:tcBorders>
            <w:shd w:fill="1B3A6B"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PKR 7,269,000 /-</w:t>
            </w:r>
          </w:p>
        </w:tc>
      </w:tr>
    </w:tbl>
    <w:p>
      <w:pPr>
        <w:spacing w:after="240" w:before="0"/>
      </w:pPr>
      <w:r>
        <w:t xml:space="preserve"/>
      </w:r>
    </w:p>
    <w:p>
      <w:pPr>
        <w:pStyle w:val="Heading2"/>
        <w:spacing w:after="140" w:before="280"/>
      </w:pPr>
      <w:r>
        <w:rPr>
          <w:rFonts w:ascii="Arial" w:cs="Arial" w:eastAsia="Arial" w:hAnsi="Arial"/>
          <w:b/>
          <w:bCs/>
          <w:color w:val="2E75B6"/>
          <w:sz w:val="26"/>
          <w:szCs w:val="26"/>
        </w:rPr>
        <w:t xml:space="preserve">11.2 Signatories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Prepared By</w:t>
            </w:r>
          </w:p>
        </w:tc>
        <w:tc>
          <w:tcPr>
            <w:tcW w:type="dxa" w:w="312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Reviewed By</w:t>
            </w:r>
          </w:p>
        </w:tc>
        <w:tc>
          <w:tcPr>
            <w:tcW w:type="dxa" w:w="312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Approved By</w:t>
            </w:r>
          </w:p>
        </w:tc>
      </w:tr>
      <w:tr>
        <w:tc>
          <w:tcPr>
            <w:tcW w:type="dxa" w:w="3120"/>
            <w:tcBorders>
              <w:top w:val="single" w:color="BBCFE8" w:sz="1"/>
              <w:left w:val="single" w:color="BBCFE8" w:sz="1"/>
              <w:bottom w:val="single" w:color="BBCFE8" w:sz="1"/>
              <w:right w:val="single" w:color="BBCFE8" w:sz="1"/>
            </w:tcBorders>
            <w:tcMar>
              <w:top w:type="dxa" w:w="80"/>
              <w:left w:type="dxa" w:w="140"/>
              <w:bottom w:type="dxa" w:w="80"/>
              <w:right w:type="dxa" w:w="140"/>
            </w:tcMar>
          </w:tcPr>
          <w:p>
            <w:pPr>
              <w:spacing w:after="80" w:before="1400"/>
            </w:pPr>
            <w:r>
              <w:rPr>
                <w:rFonts w:ascii="Arial" w:cs="Arial" w:eastAsia="Arial" w:hAnsi="Arial"/>
                <w:sz w:val="20"/>
                <w:szCs w:val="20"/>
              </w:rPr>
              <w:t xml:space="preserve">_______________________</w:t>
            </w:r>
          </w:p>
          <w:p>
            <w:r>
              <w:rPr>
                <w:rFonts w:ascii="Arial" w:cs="Arial" w:eastAsia="Arial" w:hAnsi="Arial"/>
                <w:b/>
                <w:bCs/>
                <w:sz w:val="20"/>
                <w:szCs w:val="20"/>
              </w:rPr>
              <w:t xml:space="preserve">IT Project Manager</w:t>
            </w:r>
          </w:p>
          <w:p>
            <w:r>
              <w:rPr>
                <w:rFonts w:ascii="Arial" w:cs="Arial" w:eastAsia="Arial" w:hAnsi="Arial"/>
                <w:color w:val="666666"/>
                <w:sz w:val="18"/>
                <w:szCs w:val="18"/>
              </w:rPr>
              <w:t xml:space="preserve">IT Department, Mardan</w:t>
            </w:r>
          </w:p>
          <w:p>
            <w:r>
              <w:rPr>
                <w:rFonts w:ascii="Arial" w:cs="Arial" w:eastAsia="Arial" w:hAnsi="Arial"/>
                <w:sz w:val="18"/>
                <w:szCs w:val="18"/>
              </w:rPr>
              <w:t xml:space="preserve">Date: _______________</w:t>
            </w:r>
          </w:p>
        </w:tc>
        <w:tc>
          <w:tcPr>
            <w:tcW w:type="dxa" w:w="3120"/>
            <w:tcBorders>
              <w:top w:val="single" w:color="BBCFE8" w:sz="1"/>
              <w:left w:val="single" w:color="BBCFE8" w:sz="1"/>
              <w:bottom w:val="single" w:color="BBCFE8" w:sz="1"/>
              <w:right w:val="single" w:color="BBCFE8" w:sz="1"/>
            </w:tcBorders>
            <w:tcMar>
              <w:top w:type="dxa" w:w="80"/>
              <w:left w:type="dxa" w:w="140"/>
              <w:bottom w:type="dxa" w:w="80"/>
              <w:right w:type="dxa" w:w="140"/>
            </w:tcMar>
          </w:tcPr>
          <w:p>
            <w:pPr>
              <w:spacing w:after="80" w:before="1400"/>
            </w:pPr>
            <w:r>
              <w:rPr>
                <w:rFonts w:ascii="Arial" w:cs="Arial" w:eastAsia="Arial" w:hAnsi="Arial"/>
                <w:sz w:val="20"/>
                <w:szCs w:val="20"/>
              </w:rPr>
              <w:t xml:space="preserve">_______________________</w:t>
            </w:r>
          </w:p>
          <w:p>
            <w:r>
              <w:rPr>
                <w:rFonts w:ascii="Arial" w:cs="Arial" w:eastAsia="Arial" w:hAnsi="Arial"/>
                <w:b/>
                <w:bCs/>
                <w:sz w:val="20"/>
                <w:szCs w:val="20"/>
              </w:rPr>
              <w:t xml:space="preserve">Director IT</w:t>
            </w:r>
          </w:p>
          <w:p>
            <w:r>
              <w:rPr>
                <w:rFonts w:ascii="Arial" w:cs="Arial" w:eastAsia="Arial" w:hAnsi="Arial"/>
                <w:color w:val="666666"/>
                <w:sz w:val="18"/>
                <w:szCs w:val="18"/>
              </w:rPr>
              <w:t xml:space="preserve">IT Department, Mardan</w:t>
            </w:r>
          </w:p>
          <w:p>
            <w:r>
              <w:rPr>
                <w:rFonts w:ascii="Arial" w:cs="Arial" w:eastAsia="Arial" w:hAnsi="Arial"/>
                <w:sz w:val="18"/>
                <w:szCs w:val="18"/>
              </w:rPr>
              <w:t xml:space="preserve">Date: _______________</w:t>
            </w:r>
          </w:p>
        </w:tc>
        <w:tc>
          <w:tcPr>
            <w:tcW w:type="dxa" w:w="3120"/>
            <w:tcBorders>
              <w:top w:val="single" w:color="BBCFE8" w:sz="1"/>
              <w:left w:val="single" w:color="BBCFE8" w:sz="1"/>
              <w:bottom w:val="single" w:color="BBCFE8" w:sz="1"/>
              <w:right w:val="single" w:color="BBCFE8" w:sz="1"/>
            </w:tcBorders>
            <w:tcMar>
              <w:top w:type="dxa" w:w="80"/>
              <w:left w:type="dxa" w:w="140"/>
              <w:bottom w:type="dxa" w:w="80"/>
              <w:right w:type="dxa" w:w="140"/>
            </w:tcMar>
          </w:tcPr>
          <w:p>
            <w:pPr>
              <w:spacing w:after="80" w:before="1400"/>
            </w:pPr>
            <w:r>
              <w:rPr>
                <w:rFonts w:ascii="Arial" w:cs="Arial" w:eastAsia="Arial" w:hAnsi="Arial"/>
                <w:sz w:val="20"/>
                <w:szCs w:val="20"/>
              </w:rPr>
              <w:t xml:space="preserve">_______________________</w:t>
            </w:r>
          </w:p>
          <w:p>
            <w:r>
              <w:rPr>
                <w:rFonts w:ascii="Arial" w:cs="Arial" w:eastAsia="Arial" w:hAnsi="Arial"/>
                <w:b/>
                <w:bCs/>
                <w:sz w:val="20"/>
                <w:szCs w:val="20"/>
              </w:rPr>
              <w:t xml:space="preserve">Deputy Commissioner</w:t>
            </w:r>
          </w:p>
          <w:p>
            <w:r>
              <w:rPr>
                <w:rFonts w:ascii="Arial" w:cs="Arial" w:eastAsia="Arial" w:hAnsi="Arial"/>
                <w:color w:val="666666"/>
                <w:sz w:val="18"/>
                <w:szCs w:val="18"/>
              </w:rPr>
              <w:t xml:space="preserve">District Government Mardan</w:t>
            </w:r>
          </w:p>
          <w:p>
            <w:r>
              <w:rPr>
                <w:rFonts w:ascii="Arial" w:cs="Arial" w:eastAsia="Arial" w:hAnsi="Arial"/>
                <w:sz w:val="18"/>
                <w:szCs w:val="18"/>
              </w:rPr>
              <w:t xml:space="preserve">Date: _______________</w:t>
            </w:r>
          </w:p>
        </w:tc>
      </w:tr>
    </w:tbl>
    <w:p>
      <w:pPr>
        <w:spacing w:after="120" w:before="0"/>
      </w:pPr>
      <w:r>
        <w:t xml:space="preserve"/>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Term</w:t>
            </w:r>
          </w:p>
        </w:tc>
        <w:tc>
          <w:tcPr>
            <w:tcW w:type="dxa" w:w="702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Definition</w:t>
            </w:r>
          </w:p>
        </w:tc>
      </w:tr>
      <w:tr>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K3s</w:t>
            </w:r>
          </w:p>
        </w:tc>
        <w:tc>
          <w:tcPr>
            <w:tcW w:type="dxa" w:w="70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Lightweight Kubernetes distribution by Rancher, optimized for on-premises and edge deployments</w:t>
            </w:r>
          </w:p>
        </w:tc>
      </w:tr>
      <w:tr>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ArgoCD</w:t>
            </w:r>
          </w:p>
        </w:tc>
        <w:tc>
          <w:tcPr>
            <w:tcW w:type="dxa" w:w="70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GitOps continuous delivery tool for Kubernetes that syncs application state with Git repository</w:t>
            </w:r>
          </w:p>
        </w:tc>
      </w:tr>
      <w:tr>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HPA</w:t>
            </w:r>
          </w:p>
        </w:tc>
        <w:tc>
          <w:tcPr>
            <w:tcW w:type="dxa" w:w="70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Horizontal Pod Autoscaler – automatically scales pods based on CPU/memory metrics</w:t>
            </w:r>
          </w:p>
        </w:tc>
      </w:tr>
      <w:tr>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PgBouncer</w:t>
            </w:r>
          </w:p>
        </w:tc>
        <w:tc>
          <w:tcPr>
            <w:tcW w:type="dxa" w:w="70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PostgreSQL connection pooler that manages database connections efficiently</w:t>
            </w:r>
          </w:p>
        </w:tc>
      </w:tr>
      <w:tr>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Sealed Secrets</w:t>
            </w:r>
          </w:p>
        </w:tc>
        <w:tc>
          <w:tcPr>
            <w:tcW w:type="dxa" w:w="70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Kubernetes-native encrypted secrets management by Bitnami</w:t>
            </w:r>
          </w:p>
        </w:tc>
      </w:tr>
      <w:tr>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OPA Gatekeeper</w:t>
            </w:r>
          </w:p>
        </w:tc>
        <w:tc>
          <w:tcPr>
            <w:tcW w:type="dxa" w:w="70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Open Policy Agent for Kubernetes admission control and policy enforcement</w:t>
            </w:r>
          </w:p>
        </w:tc>
      </w:tr>
      <w:tr>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Falco</w:t>
            </w:r>
          </w:p>
        </w:tc>
        <w:tc>
          <w:tcPr>
            <w:tcW w:type="dxa" w:w="70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Cloud-native runtime security tool that detects anomalous behavior in containers</w:t>
            </w:r>
          </w:p>
        </w:tc>
      </w:tr>
      <w:tr>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p(95)</w:t>
            </w:r>
          </w:p>
        </w:tc>
        <w:tc>
          <w:tcPr>
            <w:tcW w:type="dxa" w:w="70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95th percentile response time – 95% of requests complete within this time</w:t>
            </w:r>
          </w:p>
        </w:tc>
      </w:tr>
      <w:tr>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CAPEX</w:t>
            </w:r>
          </w:p>
        </w:tc>
        <w:tc>
          <w:tcPr>
            <w:tcW w:type="dxa" w:w="70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Capital Expenditure – one-time investment costs for hardware, software, and development</w:t>
            </w:r>
          </w:p>
        </w:tc>
      </w:tr>
      <w:tr>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OPEX</w:t>
            </w:r>
          </w:p>
        </w:tc>
        <w:tc>
          <w:tcPr>
            <w:tcW w:type="dxa" w:w="70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Operational Expenditure – recurring annual costs for maintenance and operations</w:t>
            </w:r>
          </w:p>
        </w:tc>
      </w:tr>
      <w:tr>
        <w:tc>
          <w:tcPr>
            <w:tcW w:type="dxa" w:w="234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TCO</w:t>
            </w:r>
          </w:p>
        </w:tc>
        <w:tc>
          <w:tcPr>
            <w:tcW w:type="dxa" w:w="702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 Cost of Ownership – combined CAPEX and OPEX over a defined period</w:t>
            </w:r>
          </w:p>
        </w:tc>
      </w:tr>
    </w:tbl>
    <w:p>
      <w:pPr>
        <w:spacing w:after="120" w:before="0"/>
      </w:pPr>
      <w:r>
        <w:t xml:space="preserve"/>
      </w:r>
    </w:p>
    <w:p>
      <w:pPr>
        <w:pStyle w:val="Heading1"/>
        <w:pBdr>
          <w:bottom w:val="single" w:color="2E75B6" w:sz="6" w:space="6"/>
        </w:pBdr>
        <w:spacing w:after="180" w:before="360"/>
      </w:pPr>
      <w:r>
        <w:rPr>
          <w:rFonts w:ascii="Arial" w:cs="Arial" w:eastAsia="Arial" w:hAnsi="Arial"/>
          <w:b/>
          <w:bCs/>
          <w:color w:val="1B3A6B"/>
          <w:sz w:val="32"/>
          <w:szCs w:val="32"/>
        </w:rPr>
        <w:t xml:space="preserve">APPENDIX B: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60"/>
        <w:gridCol w:w="3600"/>
      </w:tblGrid>
      <w:tr>
        <w:tc>
          <w:tcPr>
            <w:tcW w:type="dxa" w:w="26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Risk</w:t>
            </w:r>
          </w:p>
        </w:tc>
        <w:tc>
          <w:tcPr>
            <w:tcW w:type="dxa" w:w="16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Probability</w:t>
            </w:r>
          </w:p>
        </w:tc>
        <w:tc>
          <w:tcPr>
            <w:tcW w:type="dxa" w:w="156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Impact</w:t>
            </w:r>
          </w:p>
        </w:tc>
        <w:tc>
          <w:tcPr>
            <w:tcW w:type="dxa" w:w="3600"/>
            <w:tcBorders>
              <w:top w:val="single" w:color="FFFFFF" w:sz="1"/>
              <w:left w:val="single" w:color="FFFFFF" w:sz="1"/>
              <w:bottom w:val="single" w:color="FFFFFF" w:sz="1"/>
              <w:right w:val="single" w:color="FFFFFF"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Mitigation</w:t>
            </w:r>
          </w:p>
        </w:tc>
      </w:tr>
      <w:tr>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Hardware delivery delay</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Medium</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High</w:t>
            </w:r>
          </w:p>
        </w:tc>
        <w:tc>
          <w:tcPr>
            <w:tcW w:type="dxa" w:w="3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Identify alternate vendors, order 4 weeks in advance</w:t>
            </w:r>
          </w:p>
        </w:tc>
      </w:tr>
      <w:tr>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Power/connectivity outage</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Low</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High</w:t>
            </w:r>
          </w:p>
        </w:tc>
        <w:tc>
          <w:tcPr>
            <w:tcW w:type="dxa" w:w="3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Dual UPS, generator backup, redundant ISP</w:t>
            </w:r>
          </w:p>
        </w:tc>
      </w:tr>
      <w:tr>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Security breach/cyber attack</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Low</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bCs/>
                <w:color w:val="CC0000"/>
                <w:sz w:val="20"/>
                <w:szCs w:val="20"/>
              </w:rPr>
              <w:t xml:space="preserve">Critical</w:t>
            </w:r>
          </w:p>
        </w:tc>
        <w:tc>
          <w:tcPr>
            <w:tcW w:type="dxa" w:w="3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Falco monitoring, firewall, regular pen testing, incident response plan</w:t>
            </w:r>
          </w:p>
        </w:tc>
      </w:tr>
      <w:tr>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Budget overrun</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Medium</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Medium</w:t>
            </w:r>
          </w:p>
        </w:tc>
        <w:tc>
          <w:tcPr>
            <w:tcW w:type="dxa" w:w="3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10% contingency reserve included in budget</w:t>
            </w:r>
          </w:p>
        </w:tc>
      </w:tr>
      <w:tr>
        <w:tc>
          <w:tcPr>
            <w:tcW w:type="dxa" w:w="2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Staff turnover</w:t>
            </w:r>
          </w:p>
        </w:tc>
        <w:tc>
          <w:tcPr>
            <w:tcW w:type="dxa" w:w="1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Medium</w:t>
            </w:r>
          </w:p>
        </w:tc>
        <w:tc>
          <w:tcPr>
            <w:tcW w:type="dxa" w:w="156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Medium</w:t>
            </w:r>
          </w:p>
        </w:tc>
        <w:tc>
          <w:tcPr>
            <w:tcW w:type="dxa" w:w="3600"/>
            <w:tcBorders>
              <w:top w:val="single" w:color="BBCFE8" w:sz="1"/>
              <w:left w:val="single" w:color="BBCFE8" w:sz="1"/>
              <w:bottom w:val="single" w:color="BBCFE8" w:sz="1"/>
              <w:right w:val="single" w:color="BBCFE8"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Knowledge transfer documentation, retainer contracts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888888"/>
        <w:sz w:val="16"/>
        <w:szCs w:val="16"/>
      </w:rPr>
      <w:t xml:space="preserve">District Government Mardan  |  IT Department  |  June 2026</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b/>
        <w:bCs/>
        <w:color w:val="1B3A6B"/>
        <w:sz w:val="18"/>
        <w:szCs w:val="18"/>
      </w:rPr>
      <w:t xml:space="preserve">MARDAN SMART CITY – FINANCIAL PROPOSAL</w:t>
    </w:r>
    <w:r>
      <w:rPr>
        <w:rFonts w:ascii="Arial" w:cs="Arial" w:eastAsia="Arial" w:hAnsi="Arial"/>
        <w:color w:val="888888"/>
        <w:sz w:val="16"/>
        <w:szCs w:val="16"/>
      </w:rPr>
      <w:t xml:space="preserve">    |    CONFIDENTIAL    |    MSC-FP-2026-001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2026-06-12T12:01:13.686Z</dcterms:created>
  <dcterms:modified xsi:type="dcterms:W3CDTF">2026-06-12T12:01:13.686Z</dcterms:modified>
</cp:coreProperties>
</file>

<file path=docProps/custom.xml><?xml version="1.0" encoding="utf-8"?>
<Properties xmlns="http://schemas.openxmlformats.org/officeDocument/2006/custom-properties" xmlns:vt="http://schemas.openxmlformats.org/officeDocument/2006/docPropsVTypes"/>
</file>