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Summary - MSEDCL v. RIPL (CA 10046 of 2025)</w:t>
      </w:r>
    </w:p>
    <w:p>
      <w:pPr>
        <w:pStyle w:val="Heading1"/>
      </w:pPr>
      <w:r>
        <w:t>Client Summary: Additional Affidavit in MSEDCL v. RattanIndia Power Limited</w:t>
      </w:r>
    </w:p>
    <w:p>
      <w:r>
        <w:t>Civil Appeal No. 10046 of 2025 before the Supreme Court of India</w:t>
      </w:r>
    </w:p>
    <w:p>
      <w:r>
        <w:t>Background</w:t>
        <w:br/>
        <w:t>This affidavit was filed by MSEDCL in its appeal against the APTEL judgment dated 08.05.2025 in Appeal No. 345 of 2021. Following the APTEL order, RIPL initiated remand proceedings before MERC (Case No. 171/AD/2025), which are currently pending adjudication.</w:t>
      </w:r>
    </w:p>
    <w:p>
      <w:r>
        <w:t>RIPL's Claims Before MERC</w:t>
        <w:br/>
        <w:t>RIPL has submitted cumulative claims totaling Rs. 819.25 crore (including carrying cost), comprising:</w:t>
      </w:r>
    </w:p>
    <w:p>
      <w:r>
        <w:t>• Surface Transportation &amp; Sizing/Crushing Charges: Rs. 566.86 crore (Principal: Rs. 290.68 crore; Carrying Cost: Rs. 276.18 crore)</w:t>
      </w:r>
    </w:p>
    <w:p>
      <w:r>
        <w:t>• Fly Ash Transportation: Rs. 252.39 crore (Principal: Rs. 169.85 crore; Carrying Cost: Rs. 82.54 crore)</w:t>
      </w:r>
    </w:p>
    <w:p>
      <w:r>
        <w:t>MSEDCL has contested these claims and their computations through appropriate pleadings before MERC.</w:t>
      </w:r>
    </w:p>
    <w:p>
      <w:r>
        <w:t>Ad Hoc Payment Made</w:t>
        <w:br/>
        <w:t>MSEDCL, without prejudice to its rights and contentions, made an ad hoc payment of Rs. 44.73 crore on 27.04.2026 towards fly ash transportation. This payment was made pursuant to RIPL's requests citing severe cash flow issues, and is expressly without admission of liability—subject to refund with applicable late payment surcharge if the appeal succeeds.</w:t>
      </w:r>
    </w:p>
    <w:p>
      <w:r>
        <w:t>Current Status</w:t>
        <w:br/>
        <w:t>The MERC proceedings stand adjourned pending the outcome of the Supreme Court appeal. MSEDCL continues to contest RIPL's claims in their entirety.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