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Resolution</w:t>
      </w:r>
    </w:p>
    <w:p>
      <w:pPr>
        <w:pStyle w:val="Heading1"/>
      </w:pPr>
      <w:r>
        <w:t>CERTIFIED TRUE COPY OF THE RESOLUTIONS OF THE BOARD OF DIRECTORS OF ACME TECHNOLOGIES PRIVATE LIMITED</w:t>
      </w:r>
    </w:p>
    <w:p>
      <w:pPr>
        <w:pStyle w:val="Heading2"/>
      </w:pPr>
      <w:r>
        <w:t>Meeting</w:t>
      </w:r>
    </w:p>
    <w:p>
      <w:r>
        <w:t>Passed at the meeting of the Board of Directors held on 12 September 2026 at the registered office of the Company in Bengaluru, at which a quorum was present throughout.</w:t>
      </w:r>
    </w:p>
    <w:p>
      <w:pPr>
        <w:pStyle w:val="Heading2"/>
      </w:pPr>
      <w:r>
        <w:t>1. Approval of transfer of Series A preference shares</w:t>
      </w:r>
    </w:p>
    <w:p>
      <w:r>
        <w:t>RESOLVED THAT, pursuant to the articles of association of the Company and subject to the approval of the shareholders, consent of the Board be and is hereby accorded to the transfer of 1,240,000 Series A compulsorily convertible preference shares from Horizon Seed Partners LLP to Northbridge Growth Fund II.</w:t>
      </w:r>
    </w:p>
    <w:p>
      <w:pPr>
        <w:pStyle w:val="Heading2"/>
      </w:pPr>
      <w:r>
        <w:t>2. Amendment of articles of association</w:t>
      </w:r>
    </w:p>
    <w:p>
      <w:r>
        <w:t>RESOLVED FURTHER THAT the draft amended articles of association, incorporating the investor rights agreed in the Shareholders Agreement dated on or about the date of Closing, be placed before the shareholders for approval by special resolution under Section 14 of the Companies Act, 2013.</w:t>
      </w:r>
    </w:p>
    <w:p>
      <w:pPr>
        <w:pStyle w:val="Heading2"/>
      </w:pPr>
      <w:r>
        <w:t>3. Authorisation</w:t>
      </w:r>
    </w:p>
    <w:p>
      <w:r>
        <w:t>RESOLVED FURTHER THAT Ms Riya Anand, Director, and Mr Kabir Sethi, Company Secretary, be and are hereby severally authorised to sign all documents and file all forms with the Registrar of Companies and the Reserve Bank of India as may be required to give effect to these resolutions.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