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 Purchase Agreement</w:t>
      </w:r>
    </w:p>
    <w:p>
      <w:pPr>
        <w:pStyle w:val="Heading1"/>
      </w:pPr>
      <w:r>
        <w:t>ARTICLE I — DEFINITIONS AND INTERPRETATION</w:t>
      </w:r>
    </w:p>
    <w:p>
      <w:pPr>
        <w:pStyle w:val="Heading2"/>
      </w:pPr>
      <w:r>
        <w:t>1.1 Definitions</w:t>
      </w:r>
    </w:p>
    <w:p>
      <w:r>
        <w:t>In this Agreement, unless the context otherwise requires: "Business Day" means a day on which scheduled banks are open for business in Bengaluru and Mumbai; "Closing" means completion of the sale and purchase of the Sale Shares in accordance with Article V; "Company" means Acme Technologies Private Limited, a company incorporated under the Companies Act, 2013; "Long Stop Date" means 31 March 2027 or such later date as the Parties may agree in writing; "Material Adverse Effect" means any event which, individually or together with other events, has had or would reasonably be expected to have a material adverse effect on the business, assets or financial condition of the Company, taken as a whole; "Purchaser" means Northbridge Growth Fund II; "Sale Shares" means 1,240,000 Series A compulsorily convertible preference shares of the Company; "Seller" means Horizon Seed Partners LLP.</w:t>
      </w:r>
    </w:p>
    <w:p>
      <w:pPr>
        <w:pStyle w:val="Heading2"/>
      </w:pPr>
      <w:r>
        <w:t>1.2 Interpretation</w:t>
      </w:r>
    </w:p>
    <w:p>
      <w:r>
        <w:t>Headings are for convenience only. References to Articles and Schedules are to the articles of and schedules to this Agreement. The Disclosure Schedule forms part of this Agreement.</w:t>
      </w:r>
    </w:p>
    <w:p>
      <w:pPr>
        <w:pStyle w:val="Heading1"/>
      </w:pPr>
      <w:r>
        <w:t>ARTICLE II — SALE AND PURCHASE</w:t>
      </w:r>
    </w:p>
    <w:p>
      <w:pPr>
        <w:pStyle w:val="Heading2"/>
      </w:pPr>
      <w:r>
        <w:t>2.1 Sale Shares</w:t>
      </w:r>
    </w:p>
    <w:p>
      <w:r>
        <w:t>Subject to the terms of this Agreement, the Seller shall sell and the Purchaser shall purchase the Sale Shares, free from all Encumbrances and together with all rights attaching to them at Closing.</w:t>
      </w:r>
    </w:p>
    <w:p>
      <w:pPr>
        <w:pStyle w:val="Heading2"/>
      </w:pPr>
      <w:r>
        <w:t>2.2 Consideration</w:t>
      </w:r>
    </w:p>
    <w:p>
      <w:r>
        <w:t>The aggregate consideration for the Sale Shares is INR 186,00,00,000 (Indian Rupees One Hundred and Eighty-Six Crore), payable at Closing by wire transfer to the Seller's designated account, subject to applicable withholding tax.</w:t>
      </w:r>
    </w:p>
    <w:p>
      <w:pPr>
        <w:pStyle w:val="Heading1"/>
      </w:pPr>
      <w:r>
        <w:t>ARTICLE III — CONDITIONS PRECEDENT</w:t>
      </w:r>
    </w:p>
    <w:p>
      <w:pPr>
        <w:pStyle w:val="Heading2"/>
      </w:pPr>
      <w:r>
        <w:t>3.1 Conditions</w:t>
      </w:r>
    </w:p>
    <w:p>
      <w:r>
        <w:t>Closing is conditional on: (a) the Company's board and shareholders approving the transfer and the amended articles of association; (b) the Purchaser receiving the waiver of pre-emption rights from existing shareholders; (c) no Material Adverse Effect having occurred; and (d) any filing required under the Foreign Exchange Management (Non-debt Instruments) Rules, 2019 having been made.</w:t>
      </w:r>
    </w:p>
    <w:p>
      <w:pPr>
        <w:pStyle w:val="Heading2"/>
      </w:pPr>
      <w:r>
        <w:t>3.2 Satisfaction</w:t>
      </w:r>
    </w:p>
    <w:p>
      <w:r>
        <w:t>Each Party shall use reasonable endeavours to satisfy the conditions for which it is responsible as soon as practicable and in any event before the Long Stop Date.</w:t>
      </w:r>
    </w:p>
    <w:p>
      <w:pPr>
        <w:pStyle w:val="Heading1"/>
      </w:pPr>
      <w:r>
        <w:t>ARTICLE IV — WARRANTIES</w:t>
      </w:r>
    </w:p>
    <w:p>
      <w:pPr>
        <w:pStyle w:val="Heading2"/>
      </w:pPr>
      <w:r>
        <w:t>4.1 Seller Warranties</w:t>
      </w:r>
    </w:p>
    <w:p>
      <w:r>
        <w:t>The Seller warrants to the Purchaser that each statement in Schedule 2 is true and accurate on the date of this Agreement and at Closing, save as fairly disclosed in the Disclosure Schedule.</w:t>
      </w:r>
    </w:p>
    <w:p>
      <w:pPr>
        <w:pStyle w:val="Heading2"/>
      </w:pPr>
      <w:r>
        <w:t>4.2 Company Warranties</w:t>
      </w:r>
    </w:p>
    <w:p>
      <w:r>
        <w:t>The Company, as confirming party, gives the business warranties in Schedule 3, including warranties as to financial statements, intellectual property, employees and compliance with law.</w:t>
      </w:r>
    </w:p>
    <w:p>
      <w:pPr>
        <w:pStyle w:val="Heading1"/>
      </w:pPr>
      <w:r>
        <w:t>ARTICLE V — CLOSING</w:t>
      </w:r>
    </w:p>
    <w:p>
      <w:pPr>
        <w:pStyle w:val="Heading2"/>
      </w:pPr>
      <w:r>
        <w:t>5.1 Closing Date</w:t>
      </w:r>
    </w:p>
    <w:p>
      <w:r>
        <w:t>Closing shall take place on the fifth Business Day after the last condition in Article III is satisfied or waived, or on such other date as the Parties agree.</w:t>
      </w:r>
    </w:p>
    <w:p>
      <w:pPr>
        <w:pStyle w:val="Heading1"/>
      </w:pPr>
      <w:r>
        <w:t>ARTICLE IX — INDEMNIFICATION</w:t>
      </w:r>
    </w:p>
    <w:p>
      <w:pPr>
        <w:pStyle w:val="Heading2"/>
      </w:pPr>
      <w:r>
        <w:t>9.1 Indemnity</w:t>
      </w:r>
    </w:p>
    <w:p>
      <w:r>
        <w:t>The Seller shall indemnify the Purchaser against all Losses arising from any breach of the Seller Warranties or of any covenant of the Seller under this Agreement.</w:t>
      </w:r>
    </w:p>
    <w:p>
      <w:pPr>
        <w:pStyle w:val="Heading2"/>
      </w:pPr>
      <w:r>
        <w:t>9.2 Limitations</w:t>
      </w:r>
    </w:p>
    <w:p>
      <w:r>
        <w:t>The aggregate liability of the Seller for claims under the Seller Warranties (other than Fundamental Warranties and claims arising from fraud) shall not exceed 20% of the consideration. No claim may be brought unless notified within 24 months after Closing.</w:t>
      </w:r>
    </w:p>
    <w:p>
      <w:pPr>
        <w:pStyle w:val="Heading1"/>
      </w:pPr>
      <w:r>
        <w:t>ARTICLE XII — TERMINATION</w:t>
      </w:r>
    </w:p>
    <w:p>
      <w:pPr>
        <w:pStyle w:val="Heading2"/>
      </w:pPr>
      <w:r>
        <w:t>12.1 Termination by Mutual Consent</w:t>
      </w:r>
    </w:p>
    <w:p>
      <w:r>
        <w:t>This Agreement may be terminated at any time before Closing by mutual written consent of the Seller and the Purchaser.</w:t>
      </w:r>
    </w:p>
    <w:p>
      <w:pPr>
        <w:pStyle w:val="Heading2"/>
      </w:pPr>
      <w:r>
        <w:t>12.2 Termination for Failure to Close</w:t>
      </w:r>
    </w:p>
    <w:p>
      <w:r>
        <w:t>Either the Seller or the Purchaser may terminate this Agreement by written notice if Closing has not occurred on or before the Long Stop Date, provided that the right to terminate under this Clause 12.2 shall not be available to a Party whose breach of this Agreement has been the principal cause of the failure to close.</w:t>
      </w:r>
    </w:p>
    <w:p>
      <w:pPr>
        <w:pStyle w:val="Heading2"/>
      </w:pPr>
      <w:r>
        <w:t>12.3 Termination for Material Breach</w:t>
      </w:r>
    </w:p>
    <w:p>
      <w:r>
        <w:t>A Party may terminate this Agreement by written notice to the other Party if the other Party commits a material breach of this Agreement which, if capable of remedy, remains uncured for a period of fifteen (15) days after receipt of written notice specifying the breach and requiring it to be remedied.</w:t>
      </w:r>
    </w:p>
    <w:p>
      <w:pPr>
        <w:pStyle w:val="Heading2"/>
      </w:pPr>
      <w:r>
        <w:t>12.4 Regulatory Termination</w:t>
      </w:r>
    </w:p>
    <w:p>
      <w:r>
        <w:t>The Purchaser may terminate this Agreement by written notice if any Governmental Authority issues an order, decree or ruling that permanently restrains or prohibits the transactions contemplated by this Agreement and such order has become final and non-appealable.</w:t>
      </w:r>
    </w:p>
    <w:p>
      <w:pPr>
        <w:pStyle w:val="Heading2"/>
      </w:pPr>
      <w:r>
        <w:t>12.5 Effect of Termination</w:t>
      </w:r>
    </w:p>
    <w:p>
      <w:r>
        <w:t>On termination under this Article XII, this Agreement shall cease to have effect except for Clauses 12.5 and 12.6 and Articles XIII and XIV, and termination shall not affect any rights or liabilities of a Party accrued before termination.</w:t>
      </w:r>
    </w:p>
    <w:p>
      <w:pPr>
        <w:pStyle w:val="Heading2"/>
      </w:pPr>
      <w:r>
        <w:t>12.6 Break Fee</w:t>
      </w:r>
    </w:p>
    <w:p>
      <w:r>
        <w:t>If this Agreement is terminated by the Purchaser under Clause 12.3 following a material breach by the Seller, the Seller shall pay the Purchaser a break fee of INR 2,50,00,000 within ten Business Days, which the Parties agree is a genuine pre-estimate of the Purchaser's costs and not a penalty.</w:t>
      </w:r>
    </w:p>
    <w:p>
      <w:pPr>
        <w:pStyle w:val="Heading1"/>
      </w:pPr>
      <w:r>
        <w:t>ARTICLE XIII — CONFIDENTIALITY</w:t>
      </w:r>
    </w:p>
    <w:p>
      <w:pPr>
        <w:pStyle w:val="Heading2"/>
      </w:pPr>
      <w:r>
        <w:t>13.1 Confidential Information</w:t>
      </w:r>
    </w:p>
    <w:p>
      <w:r>
        <w:t>Each Party shall keep confidential the terms of this Agreement and all information received from the other Party, save as required by law or a stock exchange, or with the other Party's prior written consent.</w:t>
      </w:r>
    </w:p>
    <w:p>
      <w:pPr>
        <w:pStyle w:val="Heading1"/>
      </w:pPr>
      <w:r>
        <w:t>ARTICLE XIV — GOVERNING LAW AND DISPUTE RESOLUTION</w:t>
      </w:r>
    </w:p>
    <w:p>
      <w:pPr>
        <w:pStyle w:val="Heading2"/>
      </w:pPr>
      <w:r>
        <w:t>14.1 Governing Law</w:t>
      </w:r>
    </w:p>
    <w:p>
      <w:r>
        <w:t>This Agreement is governed by the laws of India.</w:t>
      </w:r>
    </w:p>
    <w:p>
      <w:pPr>
        <w:pStyle w:val="Heading2"/>
      </w:pPr>
      <w:r>
        <w:t>14.2 Arbitration</w:t>
      </w:r>
    </w:p>
    <w:p>
      <w:r>
        <w:t>Any dispute arising out of or in connection with this Agreement shall be referred to arbitration by a tribunal of three arbitrators under the Arbitration and Conciliation Act, 1996. The seat of arbitration shall be Mumbai and the language English.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