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>Either Party may terminate on thirty (30) days' written notice.</w:t>
      </w:r>
    </w:p>
    <w:p>
      <w:pPr>
        <w:pStyle w:val="Heading1"/>
      </w:pPr>
      <w:r>
        <w:t>Article 2 — Fees</w:t>
      </w:r>
    </w:p>
    <w:p>
      <w: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