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pPr>
        <w:pStyle w:val="Heading2"/>
        <w:pPrChange w:id="20001" w:author="Priya Menon" w:date="2026-09-28T08:37:47Z">
          <w:pPr/>
        </w:pPrChange>
      </w:pPr>
      <w:r>
        <w:t>Either Party may terminate on thirty (30) days' written notice.</w:t>
      </w:r>
    </w:p>
    <w:p>
      <w:pPr>
        <w:pStyle w:val="Heading1"/>
      </w:pPr>
      <w:r>
        <w:t>Article 2 — Fees</w:t>
      </w:r>
    </w:p>
    <w:p>
      <w:r>
        <w:rPr>
          <w:b/>
          <w:rPrChange w:id="20002" w:author="Priya Menon" w:date="2026-09-28T08:37:47Z">
            <w:rPr/>
          </w:rPrChange>
        </w:rPr>
        <w:t>The Client shall pay the Fees within forty-five (45) days of invoice.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