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8D41" w14:textId="1CAA1862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</w:p>
    <w:p w14:paraId="1883F71E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</w:pPr>
      <w:r w:rsidRPr="00A36AE0"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  <w:t>Exploratory Data Analysis (EDA) Report</w:t>
      </w:r>
    </w:p>
    <w:p w14:paraId="19AC0128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1. Introduction</w:t>
      </w:r>
    </w:p>
    <w:p w14:paraId="76B52B67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This report provides an exploratory review of </w:t>
      </w:r>
      <w:proofErr w:type="spellStart"/>
      <w:r w:rsidRPr="00A36AE0">
        <w:rPr>
          <w:rFonts w:asciiTheme="minorHAnsi" w:eastAsia="Times New Roman" w:hAnsiTheme="minorHAnsi" w:cstheme="minorHAnsi"/>
          <w:sz w:val="28"/>
          <w:szCs w:val="28"/>
        </w:rPr>
        <w:t>Geldium’s</w:t>
      </w:r>
      <w:proofErr w:type="spellEnd"/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dataset, with the goal of checking data quality, extracting key insights, and identifying drivers that may increase the risk of credit default. The broader aim is to shape the dataset into a reliable foundation for predictive modeling and credit risk assessment.</w:t>
      </w:r>
    </w:p>
    <w:p w14:paraId="1F4F0063" w14:textId="77777777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pict w14:anchorId="52FE9723">
          <v:rect id="_x0000_i1026" style="width:0;height:1.5pt" o:hralign="center" o:hrstd="t" o:hr="t" fillcolor="#a0a0a0" stroked="f"/>
        </w:pict>
      </w:r>
    </w:p>
    <w:p w14:paraId="34CE9415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2. Dataset Overview</w:t>
      </w:r>
    </w:p>
    <w:p w14:paraId="7413B35B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The dataset contains information on 500 customers, covering a mix of demographic, financial, and credit-related variables. These attributes capture both numerical and categorical features relevant to credit behavior.</w:t>
      </w:r>
    </w:p>
    <w:p w14:paraId="32D4A012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Key details:</w:t>
      </w:r>
    </w:p>
    <w:p w14:paraId="220DAFAD" w14:textId="77777777" w:rsidR="00A36AE0" w:rsidRPr="00A36AE0" w:rsidRDefault="00A36AE0" w:rsidP="00A36AE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Total records: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500</w:t>
      </w:r>
    </w:p>
    <w:p w14:paraId="02195139" w14:textId="77777777" w:rsidR="00A36AE0" w:rsidRPr="00A36AE0" w:rsidRDefault="00A36AE0" w:rsidP="00A36AE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Important variables: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Age, Income, Credit Score, Credit Utilization, Missed Payments, Debt-to-Income Ratio</w:t>
      </w:r>
    </w:p>
    <w:p w14:paraId="204DB53A" w14:textId="77777777" w:rsidR="00A36AE0" w:rsidRPr="00A36AE0" w:rsidRDefault="00A36AE0" w:rsidP="00A36AE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Data types:</w:t>
      </w:r>
    </w:p>
    <w:p w14:paraId="602E2A6B" w14:textId="77777777" w:rsidR="00A36AE0" w:rsidRPr="00A36AE0" w:rsidRDefault="00A36AE0" w:rsidP="00A36AE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i/>
          <w:iCs/>
          <w:sz w:val="28"/>
          <w:szCs w:val="28"/>
        </w:rPr>
        <w:t>Categorical: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Employment Status, Credit Card Type</w:t>
      </w:r>
    </w:p>
    <w:p w14:paraId="661E2C20" w14:textId="77777777" w:rsidR="00A36AE0" w:rsidRPr="00A36AE0" w:rsidRDefault="00A36AE0" w:rsidP="00A36AE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i/>
          <w:iCs/>
          <w:sz w:val="28"/>
          <w:szCs w:val="28"/>
        </w:rPr>
        <w:t>Numerical: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Income, Loan Balance</w:t>
      </w:r>
    </w:p>
    <w:p w14:paraId="2E8FBEFD" w14:textId="77777777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pict w14:anchorId="0BF8F5BB">
          <v:rect id="_x0000_i1027" style="width:0;height:1.5pt" o:hralign="center" o:hrstd="t" o:hr="t" fillcolor="#a0a0a0" stroked="f"/>
        </w:pict>
      </w:r>
    </w:p>
    <w:p w14:paraId="5B9EB0F2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3. Missing Data Assessment</w:t>
      </w:r>
    </w:p>
    <w:p w14:paraId="71F7273A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Some fields have incomplete values, particularly those tied to income and outstanding loan balances. If not handled properly, these gaps could bias results and reduce model reliability.</w:t>
      </w:r>
    </w:p>
    <w:p w14:paraId="31A8CAD1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Findings:</w:t>
      </w:r>
    </w:p>
    <w:p w14:paraId="33797963" w14:textId="77777777" w:rsidR="00A36AE0" w:rsidRPr="00A36AE0" w:rsidRDefault="00A36AE0" w:rsidP="00A36AE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Income: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50 missing entries</w:t>
      </w:r>
    </w:p>
    <w:p w14:paraId="56328D0D" w14:textId="77777777" w:rsidR="00A36AE0" w:rsidRPr="00A36AE0" w:rsidRDefault="00A36AE0" w:rsidP="00A36AE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Loan Balance: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30 missing entries</w:t>
      </w:r>
    </w:p>
    <w:p w14:paraId="6C5A0D80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Proposed treatment:</w:t>
      </w:r>
    </w:p>
    <w:p w14:paraId="55C4E946" w14:textId="77777777" w:rsidR="00A36AE0" w:rsidRPr="00A36AE0" w:rsidRDefault="00A36AE0" w:rsidP="00A36AE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Replace missing numeric fields (e.g., Income) with the median.</w:t>
      </w:r>
    </w:p>
    <w:p w14:paraId="7E361358" w14:textId="77777777" w:rsidR="00A36AE0" w:rsidRPr="00A36AE0" w:rsidRDefault="00A36AE0" w:rsidP="00A36AE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Generate synthetic but realistic estimates for Loan Balance using AI-assisted techniques where appropriate.</w:t>
      </w:r>
    </w:p>
    <w:p w14:paraId="7B910CE7" w14:textId="77777777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lastRenderedPageBreak/>
        <w:pict w14:anchorId="68F7BC81">
          <v:rect id="_x0000_i1028" style="width:0;height:1.5pt" o:hralign="center" o:hrstd="t" o:hr="t" fillcolor="#a0a0a0" stroked="f"/>
        </w:pict>
      </w:r>
    </w:p>
    <w:p w14:paraId="06A8F687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4. Core Insights and Risk Drivers</w:t>
      </w:r>
    </w:p>
    <w:p w14:paraId="1B064F38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Exploration of the data highlights strong relationships between certain behaviors and default risk. High credit utilization and repeated missed payments stand out as major red flags.</w:t>
      </w:r>
    </w:p>
    <w:p w14:paraId="5C19D755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Notable patterns:</w:t>
      </w:r>
    </w:p>
    <w:p w14:paraId="6666B65D" w14:textId="77777777" w:rsidR="00A36AE0" w:rsidRPr="00A36AE0" w:rsidRDefault="00A36AE0" w:rsidP="00A36AE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Customers who use over </w:t>
      </w: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50% of their credit limit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are more prone to delinquency.</w:t>
      </w:r>
    </w:p>
    <w:p w14:paraId="0D6EE980" w14:textId="77777777" w:rsidR="00A36AE0" w:rsidRPr="00A36AE0" w:rsidRDefault="00A36AE0" w:rsidP="00A36AE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Individuals with </w:t>
      </w: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3 or more missed installments in a six-month window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are more likely to default.</w:t>
      </w:r>
    </w:p>
    <w:p w14:paraId="73009390" w14:textId="77777777" w:rsidR="00A36AE0" w:rsidRPr="00A36AE0" w:rsidRDefault="00A36AE0" w:rsidP="00A36AE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Unexpected cases were noted, such as </w:t>
      </w: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high-income customers paired with unusually low credit scores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>, which require closer review.</w:t>
      </w:r>
    </w:p>
    <w:p w14:paraId="7829E0C3" w14:textId="77777777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pict w14:anchorId="03079C33">
          <v:rect id="_x0000_i1029" style="width:0;height:1.5pt" o:hralign="center" o:hrstd="t" o:hr="t" fillcolor="#a0a0a0" stroked="f"/>
        </w:pict>
      </w:r>
    </w:p>
    <w:p w14:paraId="79A096F1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 xml:space="preserve">5. Application of AI &amp; </w:t>
      </w:r>
      <w:proofErr w:type="spellStart"/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GenAI</w:t>
      </w:r>
      <w:proofErr w:type="spellEnd"/>
    </w:p>
    <w:p w14:paraId="20CB905E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Generative AI tools supported the analysis by identifying patterns, spotting missing values, and flagging possible risk elements. The AI findings were cross-checked against traditional financial risk benchmarks to ensure validity.</w:t>
      </w:r>
    </w:p>
    <w:p w14:paraId="3C6E2085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Sample AI prompts used:</w:t>
      </w:r>
    </w:p>
    <w:p w14:paraId="67E254E6" w14:textId="77777777" w:rsidR="00A36AE0" w:rsidRPr="00A36AE0" w:rsidRDefault="00A36AE0" w:rsidP="00A36AE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i/>
          <w:iCs/>
          <w:sz w:val="28"/>
          <w:szCs w:val="28"/>
        </w:rPr>
        <w:t>"Identify gaps in the dataset and summarize overall patterns."</w:t>
      </w:r>
    </w:p>
    <w:p w14:paraId="70DFD970" w14:textId="77777777" w:rsidR="00A36AE0" w:rsidRPr="00A36AE0" w:rsidRDefault="00A36AE0" w:rsidP="00A36AE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i/>
          <w:iCs/>
          <w:sz w:val="28"/>
          <w:szCs w:val="28"/>
        </w:rPr>
        <w:t>"Evaluate risk of default given credit utilization and missed payments."</w:t>
      </w:r>
    </w:p>
    <w:p w14:paraId="56A58E61" w14:textId="77777777" w:rsidR="00A36AE0" w:rsidRPr="00A36AE0" w:rsidRDefault="00A36AE0" w:rsidP="00A36AE0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pict w14:anchorId="56000341">
          <v:rect id="_x0000_i1030" style="width:0;height:1.5pt" o:hralign="center" o:hrstd="t" o:hr="t" fillcolor="#a0a0a0" stroked="f"/>
        </w:pict>
      </w:r>
    </w:p>
    <w:p w14:paraId="28540046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A36AE0">
        <w:rPr>
          <w:rFonts w:asciiTheme="minorHAnsi" w:eastAsia="Times New Roman" w:hAnsiTheme="minorHAnsi" w:cstheme="minorHAnsi"/>
          <w:b/>
          <w:bCs/>
          <w:sz w:val="40"/>
          <w:szCs w:val="40"/>
        </w:rPr>
        <w:t>6. Conclusions &amp; Next Steps</w:t>
      </w:r>
    </w:p>
    <w:p w14:paraId="399B3986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This initial analysis sheds light on important characteristics of </w:t>
      </w:r>
      <w:proofErr w:type="spellStart"/>
      <w:r w:rsidRPr="00A36AE0">
        <w:rPr>
          <w:rFonts w:asciiTheme="minorHAnsi" w:eastAsia="Times New Roman" w:hAnsiTheme="minorHAnsi" w:cstheme="minorHAnsi"/>
          <w:sz w:val="28"/>
          <w:szCs w:val="28"/>
        </w:rPr>
        <w:t>Geldium’s</w:t>
      </w:r>
      <w:proofErr w:type="spellEnd"/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dataset. It uncovers missing entries, credit behavior patterns linked to delinquency, and anomalies that require further scrutiny.</w:t>
      </w:r>
    </w:p>
    <w:p w14:paraId="12FA9715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Key takeaways:</w:t>
      </w:r>
    </w:p>
    <w:p w14:paraId="3282CC75" w14:textId="77777777" w:rsidR="00A36AE0" w:rsidRPr="00A36AE0" w:rsidRDefault="00A36AE0" w:rsidP="00A36AE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Data gaps: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Missing income and loan balance values could distort analysis if not addressed.</w:t>
      </w:r>
    </w:p>
    <w:p w14:paraId="5EEA7773" w14:textId="77777777" w:rsidR="00A36AE0" w:rsidRPr="00A36AE0" w:rsidRDefault="00A36AE0" w:rsidP="00A36AE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Risk indicators: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Heavy credit usage and repeated late payments are strong predictors of default.</w:t>
      </w:r>
    </w:p>
    <w:p w14:paraId="63F55389" w14:textId="77777777" w:rsidR="00A36AE0" w:rsidRPr="00A36AE0" w:rsidRDefault="00A36AE0" w:rsidP="00A36AE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Unusual cases:</w:t>
      </w: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High earnings paired with low credit scores need to be verified.</w:t>
      </w:r>
    </w:p>
    <w:p w14:paraId="5592AA07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b/>
          <w:bCs/>
          <w:sz w:val="28"/>
          <w:szCs w:val="28"/>
        </w:rPr>
        <w:t>Recommendations:</w:t>
      </w:r>
    </w:p>
    <w:p w14:paraId="7691A0A9" w14:textId="77777777" w:rsidR="00A36AE0" w:rsidRPr="00A36AE0" w:rsidRDefault="00A36AE0" w:rsidP="00A36AE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lastRenderedPageBreak/>
        <w:t>Apply appropriate imputation strategies to handle missing data effectively.</w:t>
      </w:r>
    </w:p>
    <w:p w14:paraId="4BCD7698" w14:textId="77777777" w:rsidR="00A36AE0" w:rsidRPr="00A36AE0" w:rsidRDefault="00A36AE0" w:rsidP="00A36AE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Validate whether key risk patterns remain stable across different customer segments.</w:t>
      </w:r>
    </w:p>
    <w:p w14:paraId="244B8128" w14:textId="77777777" w:rsidR="00A36AE0" w:rsidRPr="00A36AE0" w:rsidRDefault="00A36AE0" w:rsidP="00A36AE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>Investigate irregular data points for potential data entry errors or hidden financial risks.</w:t>
      </w:r>
    </w:p>
    <w:p w14:paraId="7FA6B07F" w14:textId="77777777" w:rsidR="00A36AE0" w:rsidRPr="00A36AE0" w:rsidRDefault="00A36AE0" w:rsidP="00A36AE0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By addressing these issues, </w:t>
      </w:r>
      <w:proofErr w:type="spellStart"/>
      <w:r w:rsidRPr="00A36AE0">
        <w:rPr>
          <w:rFonts w:asciiTheme="minorHAnsi" w:eastAsia="Times New Roman" w:hAnsiTheme="minorHAnsi" w:cstheme="minorHAnsi"/>
          <w:sz w:val="28"/>
          <w:szCs w:val="28"/>
        </w:rPr>
        <w:t>Geldium</w:t>
      </w:r>
      <w:proofErr w:type="spellEnd"/>
      <w:r w:rsidRPr="00A36AE0">
        <w:rPr>
          <w:rFonts w:asciiTheme="minorHAnsi" w:eastAsia="Times New Roman" w:hAnsiTheme="minorHAnsi" w:cstheme="minorHAnsi"/>
          <w:sz w:val="28"/>
          <w:szCs w:val="28"/>
        </w:rPr>
        <w:t xml:space="preserve"> can improve data reliability, refine its risk detection framework, and strengthen predictive modeling for credit evaluation.</w:t>
      </w:r>
    </w:p>
    <w:p w14:paraId="187135B4" w14:textId="77777777" w:rsidR="00692951" w:rsidRPr="00A36AE0" w:rsidRDefault="00692951">
      <w:pPr>
        <w:rPr>
          <w:rFonts w:asciiTheme="minorHAnsi" w:hAnsiTheme="minorHAnsi" w:cstheme="minorHAnsi"/>
          <w:sz w:val="24"/>
          <w:szCs w:val="24"/>
        </w:rPr>
      </w:pPr>
    </w:p>
    <w:sectPr w:rsidR="00692951" w:rsidRPr="00A36AE0" w:rsidSect="00B111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F59"/>
    <w:multiLevelType w:val="multilevel"/>
    <w:tmpl w:val="58F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F29"/>
    <w:multiLevelType w:val="multilevel"/>
    <w:tmpl w:val="59C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00BEE"/>
    <w:multiLevelType w:val="multilevel"/>
    <w:tmpl w:val="C0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C67B2"/>
    <w:multiLevelType w:val="multilevel"/>
    <w:tmpl w:val="BC5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97585"/>
    <w:multiLevelType w:val="multilevel"/>
    <w:tmpl w:val="7B60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D4333"/>
    <w:multiLevelType w:val="multilevel"/>
    <w:tmpl w:val="651C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A7363"/>
    <w:multiLevelType w:val="multilevel"/>
    <w:tmpl w:val="DBD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E0"/>
    <w:rsid w:val="00692951"/>
    <w:rsid w:val="00A36AE0"/>
    <w:rsid w:val="00B1111F"/>
    <w:rsid w:val="00E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D101"/>
  <w15:chartTrackingRefBased/>
  <w15:docId w15:val="{DEEC965B-0FE0-45AD-BE7C-4A9C8194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03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ED2603"/>
    <w:pPr>
      <w:ind w:left="100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2603"/>
  </w:style>
  <w:style w:type="character" w:customStyle="1" w:styleId="Heading1Char">
    <w:name w:val="Heading 1 Char"/>
    <w:basedOn w:val="DefaultParagraphFont"/>
    <w:link w:val="Heading1"/>
    <w:uiPriority w:val="9"/>
    <w:rsid w:val="00ED2603"/>
    <w:rPr>
      <w:rFonts w:ascii="Tahoma" w:eastAsia="Tahoma" w:hAnsi="Tahoma" w:cs="Tahoma"/>
      <w:b/>
      <w:bCs/>
      <w:sz w:val="40"/>
      <w:szCs w:val="40"/>
    </w:rPr>
  </w:style>
  <w:style w:type="paragraph" w:styleId="Title">
    <w:name w:val="Title"/>
    <w:basedOn w:val="Normal"/>
    <w:link w:val="TitleChar"/>
    <w:uiPriority w:val="10"/>
    <w:qFormat/>
    <w:rsid w:val="00ED2603"/>
    <w:pPr>
      <w:spacing w:before="257"/>
      <w:ind w:left="100"/>
    </w:pPr>
    <w:rPr>
      <w:rFonts w:ascii="Calibri" w:eastAsia="Calibri" w:hAnsi="Calibri" w:cs="Calibri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2603"/>
    <w:rPr>
      <w:rFonts w:ascii="Calibri" w:eastAsia="Calibri" w:hAnsi="Calibri" w:cs="Calibri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D260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2603"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ED2603"/>
    <w:pPr>
      <w:ind w:left="1051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2025-08-19T08:07:00Z</dcterms:created>
  <dcterms:modified xsi:type="dcterms:W3CDTF">2025-08-19T08:08:00Z</dcterms:modified>
</cp:coreProperties>
</file>