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147A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sz w:val="52"/>
          <w:szCs w:val="52"/>
        </w:rPr>
      </w:pPr>
      <w:r w:rsidRPr="00C75CE7">
        <w:rPr>
          <w:rFonts w:asciiTheme="minorHAnsi" w:eastAsia="Times New Roman" w:hAnsiTheme="minorHAnsi" w:cstheme="minorHAnsi"/>
          <w:b/>
          <w:bCs/>
          <w:kern w:val="36"/>
          <w:sz w:val="52"/>
          <w:szCs w:val="52"/>
        </w:rPr>
        <w:t>Business Summary Report: Predictive Insights for Collections Strategy</w:t>
      </w:r>
    </w:p>
    <w:p w14:paraId="10335B5F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C75CE7">
        <w:rPr>
          <w:rFonts w:asciiTheme="minorHAnsi" w:eastAsia="Times New Roman" w:hAnsiTheme="minorHAnsi" w:cstheme="minorHAnsi"/>
          <w:b/>
          <w:bCs/>
          <w:sz w:val="40"/>
          <w:szCs w:val="40"/>
        </w:rPr>
        <w:t>1. Predictive Insights Overview</w:t>
      </w:r>
    </w:p>
    <w:p w14:paraId="1D451731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sz w:val="28"/>
          <w:szCs w:val="28"/>
        </w:rPr>
        <w:t>Drawing from the exploratory analysis (Task 1) and the predictive modeling framework (Task 2), several critical delinquency patterns emerged:</w:t>
      </w:r>
    </w:p>
    <w:p w14:paraId="7E9777CE" w14:textId="77777777" w:rsidR="00C75CE7" w:rsidRPr="00C75CE7" w:rsidRDefault="00C75CE7" w:rsidP="00C75CE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Young customers (&lt; 30 years old)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with </w:t>
      </w: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2+ missed payments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and </w:t>
      </w: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credit utilization over 50%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represent a significantly higher delinquency risk.</w:t>
      </w:r>
    </w:p>
    <w:p w14:paraId="13DC2535" w14:textId="77777777" w:rsidR="00C75CE7" w:rsidRPr="00C75CE7" w:rsidRDefault="00C75CE7" w:rsidP="00C75CE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A </w:t>
      </w: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debt-to-income ratio exceeding 0.5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shows a strong and consistent relationship with late or missed installments.</w:t>
      </w:r>
    </w:p>
    <w:p w14:paraId="7F8C1008" w14:textId="77777777" w:rsidR="00C75CE7" w:rsidRPr="00C75CE7" w:rsidRDefault="00C75CE7" w:rsidP="00C75CE7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Customers with </w:t>
      </w: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account tenure under 12 months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demonstrate weaker repayment reliability compared to longer-tenured accounts.</w:t>
      </w:r>
    </w:p>
    <w:p w14:paraId="3B50026F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outlineLvl w:val="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Key Insights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2161"/>
        <w:gridCol w:w="2428"/>
        <w:gridCol w:w="2742"/>
      </w:tblGrid>
      <w:tr w:rsidR="00C75CE7" w:rsidRPr="00C75CE7" w14:paraId="436B9A61" w14:textId="77777777" w:rsidTr="00C75C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7A3C29" w14:textId="77777777" w:rsidR="00C75CE7" w:rsidRPr="00C75CE7" w:rsidRDefault="00C75CE7" w:rsidP="00C75CE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Key Finding</w:t>
            </w:r>
          </w:p>
        </w:tc>
        <w:tc>
          <w:tcPr>
            <w:tcW w:w="0" w:type="auto"/>
            <w:vAlign w:val="center"/>
            <w:hideMark/>
          </w:tcPr>
          <w:p w14:paraId="7762B095" w14:textId="77777777" w:rsidR="00C75CE7" w:rsidRPr="00C75CE7" w:rsidRDefault="00C75CE7" w:rsidP="00C75CE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Affected Segment</w:t>
            </w:r>
          </w:p>
        </w:tc>
        <w:tc>
          <w:tcPr>
            <w:tcW w:w="0" w:type="auto"/>
            <w:vAlign w:val="center"/>
            <w:hideMark/>
          </w:tcPr>
          <w:p w14:paraId="201D2D1B" w14:textId="77777777" w:rsidR="00C75CE7" w:rsidRPr="00C75CE7" w:rsidRDefault="00C75CE7" w:rsidP="00C75CE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Influencing Factors</w:t>
            </w:r>
          </w:p>
        </w:tc>
        <w:tc>
          <w:tcPr>
            <w:tcW w:w="0" w:type="auto"/>
            <w:vAlign w:val="center"/>
            <w:hideMark/>
          </w:tcPr>
          <w:p w14:paraId="1A582AB8" w14:textId="77777777" w:rsidR="00C75CE7" w:rsidRPr="00C75CE7" w:rsidRDefault="00C75CE7" w:rsidP="00C75CE7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Business Impact</w:t>
            </w:r>
          </w:p>
        </w:tc>
      </w:tr>
      <w:tr w:rsidR="00C75CE7" w:rsidRPr="00C75CE7" w14:paraId="62065D5F" w14:textId="77777777" w:rsidTr="00C75C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E444C" w14:textId="77777777" w:rsidR="00C75CE7" w:rsidRPr="00C75CE7" w:rsidRDefault="00C75CE7" w:rsidP="00C75CE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sz w:val="28"/>
                <w:szCs w:val="28"/>
              </w:rPr>
              <w:t>High delinquency risk in customers combining high utilization and repeated missed payments</w:t>
            </w:r>
          </w:p>
        </w:tc>
        <w:tc>
          <w:tcPr>
            <w:tcW w:w="0" w:type="auto"/>
            <w:vAlign w:val="center"/>
            <w:hideMark/>
          </w:tcPr>
          <w:p w14:paraId="485ECEE8" w14:textId="77777777" w:rsidR="00C75CE7" w:rsidRPr="00C75CE7" w:rsidRDefault="00C75CE7" w:rsidP="00C75CE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sz w:val="28"/>
                <w:szCs w:val="28"/>
              </w:rPr>
              <w:t>Under 30 years, 2+ missed payments, utilization &gt; 50%</w:t>
            </w:r>
          </w:p>
        </w:tc>
        <w:tc>
          <w:tcPr>
            <w:tcW w:w="0" w:type="auto"/>
            <w:vAlign w:val="center"/>
            <w:hideMark/>
          </w:tcPr>
          <w:p w14:paraId="78347611" w14:textId="77777777" w:rsidR="00C75CE7" w:rsidRPr="00C75CE7" w:rsidRDefault="00C75CE7" w:rsidP="00C75CE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sz w:val="28"/>
                <w:szCs w:val="28"/>
              </w:rPr>
              <w:t>Missed Payments, Credit Utilization, Age, Debt-to-Income Ratio</w:t>
            </w:r>
          </w:p>
        </w:tc>
        <w:tc>
          <w:tcPr>
            <w:tcW w:w="0" w:type="auto"/>
            <w:vAlign w:val="center"/>
            <w:hideMark/>
          </w:tcPr>
          <w:p w14:paraId="0FA25793" w14:textId="77777777" w:rsidR="00C75CE7" w:rsidRPr="00C75CE7" w:rsidRDefault="00C75CE7" w:rsidP="00C75CE7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C75CE7">
              <w:rPr>
                <w:rFonts w:asciiTheme="minorHAnsi" w:eastAsia="Times New Roman" w:hAnsiTheme="minorHAnsi" w:cstheme="minorHAnsi"/>
                <w:sz w:val="28"/>
                <w:szCs w:val="28"/>
              </w:rPr>
              <w:t>Targeted outreach could lower 30-day delinquency by ~10% for this group</w:t>
            </w:r>
          </w:p>
        </w:tc>
      </w:tr>
    </w:tbl>
    <w:p w14:paraId="2938DD7B" w14:textId="77777777" w:rsidR="00C75CE7" w:rsidRPr="00C75CE7" w:rsidRDefault="00C75CE7" w:rsidP="00C75CE7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sz w:val="28"/>
          <w:szCs w:val="28"/>
        </w:rPr>
        <w:pict w14:anchorId="73EFF0DF">
          <v:rect id="_x0000_i1026" style="width:0;height:1.5pt" o:hralign="center" o:hrstd="t" o:hr="t" fillcolor="#a0a0a0" stroked="f"/>
        </w:pict>
      </w:r>
    </w:p>
    <w:p w14:paraId="0595749B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C75CE7">
        <w:rPr>
          <w:rFonts w:asciiTheme="minorHAnsi" w:eastAsia="Times New Roman" w:hAnsiTheme="minorHAnsi" w:cstheme="minorHAnsi"/>
          <w:b/>
          <w:bCs/>
          <w:sz w:val="40"/>
          <w:szCs w:val="40"/>
        </w:rPr>
        <w:t>2. Recommendation Framework</w:t>
      </w:r>
    </w:p>
    <w:p w14:paraId="51A70545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Restated Insight: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br/>
        <w:t>Customers younger than 30, with more than two missed payments and high utilization (&gt;50%), are among the riskiest segments for delinquency.</w:t>
      </w:r>
    </w:p>
    <w:p w14:paraId="0F82134B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Proposed Action: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br/>
        <w:t xml:space="preserve">Implement a </w:t>
      </w: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6-week SMS-based outreach initiative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directed at this group with the objective of cutting 30-day delinquency by at least 10%.</w:t>
      </w:r>
    </w:p>
    <w:p w14:paraId="0C2AD4F4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SMART Recommendation Breakdown:</w:t>
      </w:r>
    </w:p>
    <w:p w14:paraId="62384AAA" w14:textId="77777777" w:rsidR="00C75CE7" w:rsidRPr="00C75CE7" w:rsidRDefault="00C75CE7" w:rsidP="00C75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Specific: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Target under-30 customers with 2+ missed payments and high credit utilization.</w:t>
      </w:r>
    </w:p>
    <w:p w14:paraId="2495342D" w14:textId="77777777" w:rsidR="00C75CE7" w:rsidRPr="00C75CE7" w:rsidRDefault="00C75CE7" w:rsidP="00C75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Measurable: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Aim for a minimum 10% drop in 30-day delinquency.</w:t>
      </w:r>
    </w:p>
    <w:p w14:paraId="0AFF62B7" w14:textId="77777777" w:rsidR="00C75CE7" w:rsidRPr="00C75CE7" w:rsidRDefault="00C75CE7" w:rsidP="00C75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Actionable: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Leverage existing SMS channels to deliver reminders and repayment support.</w:t>
      </w:r>
    </w:p>
    <w:p w14:paraId="027ABB16" w14:textId="77777777" w:rsidR="00C75CE7" w:rsidRPr="00C75CE7" w:rsidRDefault="00C75CE7" w:rsidP="00C75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Relevant: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Supports </w:t>
      </w:r>
      <w:proofErr w:type="spellStart"/>
      <w:r w:rsidRPr="00C75CE7">
        <w:rPr>
          <w:rFonts w:asciiTheme="minorHAnsi" w:eastAsia="Times New Roman" w:hAnsiTheme="minorHAnsi" w:cstheme="minorHAnsi"/>
          <w:sz w:val="28"/>
          <w:szCs w:val="28"/>
        </w:rPr>
        <w:t>Geldium’s</w:t>
      </w:r>
      <w:proofErr w:type="spellEnd"/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strategic goal of lowering delinquency while improving repayment patterns.</w:t>
      </w:r>
    </w:p>
    <w:p w14:paraId="3967DBBD" w14:textId="77777777" w:rsidR="00C75CE7" w:rsidRPr="00C75CE7" w:rsidRDefault="00C75CE7" w:rsidP="00C75CE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Time-Bound: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Run campaign over a 6-week window.</w:t>
      </w:r>
    </w:p>
    <w:p w14:paraId="6065A399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Business Rationale: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br/>
        <w:t xml:space="preserve">This initiative is low-cost, highly scalable, and backed by predictive evidence. By concentrating on a high-risk segment, </w:t>
      </w:r>
      <w:proofErr w:type="spellStart"/>
      <w:r w:rsidRPr="00C75CE7">
        <w:rPr>
          <w:rFonts w:asciiTheme="minorHAnsi" w:eastAsia="Times New Roman" w:hAnsiTheme="minorHAnsi" w:cstheme="minorHAnsi"/>
          <w:sz w:val="28"/>
          <w:szCs w:val="28"/>
        </w:rPr>
        <w:t>Geldium</w:t>
      </w:r>
      <w:proofErr w:type="spellEnd"/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can drive meaningful reductions in delinquency while maintaining a supportive customer relationship.</w:t>
      </w:r>
    </w:p>
    <w:p w14:paraId="36420F6E" w14:textId="77777777" w:rsidR="00C75CE7" w:rsidRPr="00C75CE7" w:rsidRDefault="00C75CE7" w:rsidP="00C75CE7">
      <w:pPr>
        <w:widowControl/>
        <w:autoSpaceDE/>
        <w:autoSpaceDN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sz w:val="28"/>
          <w:szCs w:val="28"/>
        </w:rPr>
        <w:pict w14:anchorId="56F882F0">
          <v:rect id="_x0000_i1027" style="width:0;height:1.5pt" o:hralign="center" o:hrstd="t" o:hr="t" fillcolor="#a0a0a0" stroked="f"/>
        </w:pict>
      </w:r>
    </w:p>
    <w:p w14:paraId="1F56C98D" w14:textId="77777777" w:rsidR="00C75CE7" w:rsidRPr="00C75CE7" w:rsidRDefault="00C75CE7" w:rsidP="00C75CE7">
      <w:pPr>
        <w:widowControl/>
        <w:autoSpaceDE/>
        <w:autoSpaceDN/>
        <w:spacing w:before="100" w:beforeAutospacing="1" w:after="100" w:afterAutospacing="1"/>
        <w:outlineLvl w:val="1"/>
        <w:rPr>
          <w:rFonts w:asciiTheme="minorHAnsi" w:eastAsia="Times New Roman" w:hAnsiTheme="minorHAnsi" w:cstheme="minorHAnsi"/>
          <w:b/>
          <w:bCs/>
          <w:sz w:val="40"/>
          <w:szCs w:val="40"/>
        </w:rPr>
      </w:pPr>
      <w:r w:rsidRPr="00C75CE7">
        <w:rPr>
          <w:rFonts w:asciiTheme="minorHAnsi" w:eastAsia="Times New Roman" w:hAnsiTheme="minorHAnsi" w:cstheme="minorHAnsi"/>
          <w:b/>
          <w:bCs/>
          <w:sz w:val="40"/>
          <w:szCs w:val="40"/>
        </w:rPr>
        <w:t>3. Ethical &amp; Responsible AI Considerations</w:t>
      </w:r>
    </w:p>
    <w:p w14:paraId="5F7EF0DA" w14:textId="77777777" w:rsidR="00C75CE7" w:rsidRPr="00C75CE7" w:rsidRDefault="00C75CE7" w:rsidP="00C75CE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Bias Risk: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Historical data may contain imbalances (e.g., by income level, region, or demographic group). Regular fairness testing is essential.</w:t>
      </w:r>
    </w:p>
    <w:p w14:paraId="23EAB1BD" w14:textId="77777777" w:rsidR="00C75CE7" w:rsidRPr="00C75CE7" w:rsidRDefault="00C75CE7" w:rsidP="00C75CE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Interpretability: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Logistic regression coefficients make model decisions transparent and easily communicated to stakeholders.</w:t>
      </w:r>
    </w:p>
    <w:p w14:paraId="7DB171A1" w14:textId="77777777" w:rsidR="00C75CE7" w:rsidRPr="00C75CE7" w:rsidRDefault="00C75CE7" w:rsidP="00C75CE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Human Oversight: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AI outputs inform strategy, but all customer actions are reviewed by human analysts. The outreach campaign emphasizes support rather than penalties.</w:t>
      </w:r>
    </w:p>
    <w:p w14:paraId="1B6122C1" w14:textId="77777777" w:rsidR="00C75CE7" w:rsidRPr="00C75CE7" w:rsidRDefault="00C75CE7" w:rsidP="00C75CE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b/>
          <w:bCs/>
          <w:sz w:val="28"/>
          <w:szCs w:val="28"/>
        </w:rPr>
        <w:t>Additional Principles:</w:t>
      </w:r>
    </w:p>
    <w:p w14:paraId="787F03ED" w14:textId="77777777" w:rsidR="00C75CE7" w:rsidRPr="00C75CE7" w:rsidRDefault="00C75CE7" w:rsidP="00C75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i/>
          <w:iCs/>
          <w:sz w:val="28"/>
          <w:szCs w:val="28"/>
        </w:rPr>
        <w:t>Transparency: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Model decisions remain explainable and auditable.</w:t>
      </w:r>
    </w:p>
    <w:p w14:paraId="3BC695AE" w14:textId="77777777" w:rsidR="00C75CE7" w:rsidRPr="00C75CE7" w:rsidRDefault="00C75CE7" w:rsidP="00C75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i/>
          <w:iCs/>
          <w:sz w:val="28"/>
          <w:szCs w:val="28"/>
        </w:rPr>
        <w:t>Privacy: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Data is anonymized and compliant with regulations.</w:t>
      </w:r>
    </w:p>
    <w:p w14:paraId="4C691458" w14:textId="77777777" w:rsidR="00C75CE7" w:rsidRPr="00C75CE7" w:rsidRDefault="00C75CE7" w:rsidP="00C75CE7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C75CE7">
        <w:rPr>
          <w:rFonts w:asciiTheme="minorHAnsi" w:eastAsia="Times New Roman" w:hAnsiTheme="minorHAnsi" w:cstheme="minorHAnsi"/>
          <w:i/>
          <w:iCs/>
          <w:sz w:val="28"/>
          <w:szCs w:val="28"/>
        </w:rPr>
        <w:t>Adaptability:</w:t>
      </w:r>
      <w:r w:rsidRPr="00C75CE7">
        <w:rPr>
          <w:rFonts w:asciiTheme="minorHAnsi" w:eastAsia="Times New Roman" w:hAnsiTheme="minorHAnsi" w:cstheme="minorHAnsi"/>
          <w:sz w:val="28"/>
          <w:szCs w:val="28"/>
        </w:rPr>
        <w:t xml:space="preserve"> Ongoing monitoring ensures the model remains effective as customer behavior evolves.</w:t>
      </w:r>
    </w:p>
    <w:p w14:paraId="79850051" w14:textId="77777777" w:rsidR="00692951" w:rsidRPr="00C75CE7" w:rsidRDefault="00692951">
      <w:pPr>
        <w:rPr>
          <w:rFonts w:asciiTheme="minorHAnsi" w:hAnsiTheme="minorHAnsi" w:cstheme="minorHAnsi"/>
          <w:sz w:val="24"/>
          <w:szCs w:val="24"/>
        </w:rPr>
      </w:pPr>
    </w:p>
    <w:sectPr w:rsidR="00692951" w:rsidRPr="00C75CE7" w:rsidSect="00B1111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590D"/>
    <w:multiLevelType w:val="multilevel"/>
    <w:tmpl w:val="058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969E2"/>
    <w:multiLevelType w:val="multilevel"/>
    <w:tmpl w:val="B972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4AB4"/>
    <w:multiLevelType w:val="multilevel"/>
    <w:tmpl w:val="2DBE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7"/>
    <w:rsid w:val="00692951"/>
    <w:rsid w:val="00B1111F"/>
    <w:rsid w:val="00C75CE7"/>
    <w:rsid w:val="00E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B542C"/>
  <w15:chartTrackingRefBased/>
  <w15:docId w15:val="{B2895202-2AB2-4B63-BBA8-129D15E8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603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ED2603"/>
    <w:pPr>
      <w:ind w:left="100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D2603"/>
  </w:style>
  <w:style w:type="character" w:customStyle="1" w:styleId="Heading1Char">
    <w:name w:val="Heading 1 Char"/>
    <w:basedOn w:val="DefaultParagraphFont"/>
    <w:link w:val="Heading1"/>
    <w:uiPriority w:val="9"/>
    <w:rsid w:val="00ED2603"/>
    <w:rPr>
      <w:rFonts w:ascii="Tahoma" w:eastAsia="Tahoma" w:hAnsi="Tahoma" w:cs="Tahoma"/>
      <w:b/>
      <w:bCs/>
      <w:sz w:val="40"/>
      <w:szCs w:val="40"/>
    </w:rPr>
  </w:style>
  <w:style w:type="paragraph" w:styleId="Title">
    <w:name w:val="Title"/>
    <w:basedOn w:val="Normal"/>
    <w:link w:val="TitleChar"/>
    <w:uiPriority w:val="10"/>
    <w:qFormat/>
    <w:rsid w:val="00ED2603"/>
    <w:pPr>
      <w:spacing w:before="257"/>
      <w:ind w:left="100"/>
    </w:pPr>
    <w:rPr>
      <w:rFonts w:ascii="Calibri" w:eastAsia="Calibri" w:hAnsi="Calibri" w:cs="Calibri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2603"/>
    <w:rPr>
      <w:rFonts w:ascii="Calibri" w:eastAsia="Calibri" w:hAnsi="Calibri" w:cs="Calibri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ED260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D2603"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1"/>
    <w:qFormat/>
    <w:rsid w:val="00ED2603"/>
    <w:pPr>
      <w:ind w:left="1051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2025-08-19T08:17:00Z</dcterms:created>
  <dcterms:modified xsi:type="dcterms:W3CDTF">2025-08-19T08:18:00Z</dcterms:modified>
</cp:coreProperties>
</file>