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ED5BF1" wp14:paraId="1D59F4E3" wp14:textId="219D5130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>Executive Summary</w:t>
      </w:r>
    </w:p>
    <w:p xmlns:wp14="http://schemas.microsoft.com/office/word/2010/wordml" w:rsidP="29ED5BF1" wp14:paraId="500E4A9F" wp14:textId="2F972D1E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Project Title</w:t>
      </w:r>
    </w:p>
    <w:p xmlns:wp14="http://schemas.microsoft.com/office/word/2010/wordml" w:rsidP="29ED5BF1" wp14:paraId="2C5D8CE0" wp14:textId="1821530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Fixing the Gaps: A Stakeholder-Driven Power BI Dashboard for Resource Allocation and School Performance in Pakistan</w:t>
      </w:r>
    </w:p>
    <w:p xmlns:wp14="http://schemas.microsoft.com/office/word/2010/wordml" w:rsidP="29ED5BF1" wp14:paraId="730729B8" wp14:textId="563B758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Executive Summary</w:t>
      </w:r>
    </w:p>
    <w:p xmlns:wp14="http://schemas.microsoft.com/office/word/2010/wordml" w:rsidP="29ED5BF1" wp14:paraId="5084F4E2" wp14:textId="3D4CAA4C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This project develops a stakeholder-driven Power BI dashboard to support evidence-based education planning and resource allocation in Pakistan. The analysis combines school infrastructure, enrollment, education performance, retention, learning outcomes, geographic information, and socio-economic/security context to identify regions where intervention is most needed.</w:t>
      </w:r>
    </w:p>
    <w:p xmlns:wp14="http://schemas.microsoft.com/office/word/2010/wordml" w:rsidP="29ED5BF1" wp14:paraId="2A83DB6F" wp14:textId="1DA1EB1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dashboard was designed for government education decision-makers and provides multiple levels of analysis. The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Executive Governance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view provides a high-level summary of education performance and resource conditions. The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Executive Risk &amp; Intervention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view identifies regions with critical gender and infrastructure risks. The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District Infrastructure Audit/Analysis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view investigates infrastructure deficits at province and district level. The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Policy Impact &amp; Socio-Economic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views examine relationships between educational investment, infrastructure, socio-economic context, terrorism indicators, and education outcomes.</w:t>
      </w:r>
    </w:p>
    <w:p xmlns:wp14="http://schemas.microsoft.com/office/word/2010/wordml" w:rsidP="29ED5BF1" wp14:paraId="08F5ABC2" wp14:textId="2C7A6D6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analysis identifies substantial differences between regions. ICT records an average education score of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81.3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learning score of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64.6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and retention score of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81.3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while Sindh records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55.9, 41.6, and 48.8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respectively. Balochistan records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51.0, 38.3, and 43.0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and FATA records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47.5, 37.3, and 38.8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 These differences indicate that education performance is highly uneven across regions.</w:t>
      </w:r>
    </w:p>
    <w:p xmlns:wp14="http://schemas.microsoft.com/office/word/2010/wordml" w:rsidP="29ED5BF1" wp14:paraId="280EE779" wp14:textId="09FEB88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Infrastructure indicators also reveal significant gaps. Across the overall dataset, average electricity coverage is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47.83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drinking-water coverage is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59.68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and toilet coverage is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57.29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while the overall no-facility rate is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10.26%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. District-level analysis shows that several areas experience much higher deficits. Tharparkar has a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52.89% no-facility rate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and a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33.1 retention score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while Thatta has a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44.42% no-facility rate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and a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24.3 retention score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9ED5BF1" wp14:paraId="6E1FB4E9" wp14:textId="47E2EA1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risk analysis identifies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Kohistan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as a particularly important intervention region. It has a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93.0% gender enrollment gap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37.89% utility deficit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28.6% single-teacher strain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20.5% single-classroom strain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42.1 learning score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and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30.0 retention score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 The combination of these indicators supports a targeted intervention rather than a single-issue response.</w:t>
      </w:r>
    </w:p>
    <w:p xmlns:wp14="http://schemas.microsoft.com/office/word/2010/wordml" w:rsidP="29ED5BF1" wp14:paraId="7D183264" wp14:textId="646EC802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project also identifies important differences in trends. AJK's education score increased from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66.2 in 2013 to 78.1 in 2016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while Balochistan improved to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57.2 in 2014 before falling to 46.1 in 2016</w:t>
      </w: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 This demonstrates why policymakers should examine trends over time instead of relying only on a single year's performance.</w:t>
      </w:r>
    </w:p>
    <w:p xmlns:wp14="http://schemas.microsoft.com/office/word/2010/wordml" w:rsidP="29ED5BF1" wp14:paraId="27E15DA3" wp14:textId="1455B15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 main recommendations are therefore to prioritize integrated interventions in critical regions such as Kohistan, target infrastructure and education support toward high-deficit districts in Sindh and Balochistan, and study successful regions such as AJK and ICT to identify practices that can be adapted elsewhere.</w:t>
      </w:r>
    </w:p>
    <w:p xmlns:wp14="http://schemas.microsoft.com/office/word/2010/wordml" w:rsidP="29ED5BF1" wp14:paraId="33FB120A" wp14:textId="1FE92E1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9ED5BF1" w:rsidR="171E564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Overall, the dashboard transforms fragmented education data into a decision-support solution that helps stakeholders answer three questions: </w:t>
      </w:r>
      <w:r w:rsidRPr="29ED5BF1" w:rsidR="171E564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Where are the largest gaps? What indicators are associated with weak outcomes? And where should limited government resources be prioritized?</w:t>
      </w:r>
    </w:p>
    <w:p xmlns:wp14="http://schemas.microsoft.com/office/word/2010/wordml" w:rsidP="29ED5BF1" wp14:paraId="2C078E63" wp14:textId="10274669">
      <w:pPr>
        <w:rPr>
          <w:color w:val="auto"/>
        </w:rPr>
      </w:pPr>
    </w:p>
    <w:sectPr>
      <w:pgSz w:w="12240" w:h="15840" w:orient="portrait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793ECB"/>
    <w:rsid w:val="0F793ECB"/>
    <w:rsid w:val="171E5641"/>
    <w:rsid w:val="18F22715"/>
    <w:rsid w:val="29ED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BA5B"/>
  <w15:chartTrackingRefBased/>
  <w15:docId w15:val="{E5CB0BFC-DD2E-4515-B46D-1D6BA94C69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ED5B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ED5B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2026-08-24T17:15:41.9353271Z</dcterms:created>
  <dcterms:modified xsi:type="dcterms:W3CDTF">2026-08-24T17:17:00.2823507Z</dcterms:modified>
  <dc:creator>shoaib yousaf</dc:creator>
  <lastModifiedBy>shoaib yousaf</lastModifiedBy>
</coreProperties>
</file>