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הילה</w:t>
      </w:r>
      <w:proofErr w:type="spellStart"/>
      <w:r w:rsidRPr="003A2D9B">
        <w:rPr>
          <w:color w:val="000000" w:themeColor="text1"/>
        </w:rPr>
        <w:t/>
      </w:r>
      <w:proofErr w:type="spellEnd"/>
      <w:r w:rsidRPr="003A2D9B">
        <w:rPr>
          <w:color w:val="000000" w:themeColor="text1"/>
        </w:rPr>
        <w:t xml:space="preserve">  דגן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הילה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הילה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הילה,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הילה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