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גילה</w:t>
      </w:r>
      <w:proofErr w:type="spellStart"/>
      <w:r w:rsidRPr="003A2D9B">
        <w:rPr>
          <w:color w:val="000000" w:themeColor="text1"/>
        </w:rPr>
        <w:t/>
      </w:r>
      <w:proofErr w:type="spellEnd"/>
      <w:r w:rsidRPr="003A2D9B">
        <w:rPr>
          <w:color w:val="000000" w:themeColor="text1"/>
        </w:rPr>
        <w:t xml:space="preserve">  חי</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גילה את ילדה נהדרת,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גילה, את ילדה נפלאה,עלי והצלחי!!</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גילה את תלמידה מדהימה!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גילה את תלמידה מצויוינת,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