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ריקי</w:t>
      </w:r>
      <w:proofErr w:type="spellStart"/>
      <w:r w:rsidRPr="003A2D9B">
        <w:rPr>
          <w:color w:val="000000" w:themeColor="text1"/>
        </w:rPr>
        <w:t/>
      </w:r>
      <w:proofErr w:type="spellEnd"/>
      <w:r w:rsidRPr="003A2D9B">
        <w:rPr>
          <w:color w:val="000000" w:themeColor="text1"/>
        </w:rPr>
        <w:t xml:space="preserve">  אורבך</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ריקי את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ריקי את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