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יוסף</w:t>
      </w:r>
      <w:proofErr w:type="spellStart"/>
      <w:r w:rsidRPr="003A2D9B">
        <w:rPr>
          <w:color w:val="000000" w:themeColor="text1"/>
        </w:rPr>
        <w:t/>
      </w:r>
      <w:proofErr w:type="spellEnd"/>
      <w:r w:rsidRPr="003A2D9B">
        <w:rPr>
          <w:color w:val="000000" w:themeColor="text1"/>
        </w:rPr>
        <w:t xml:space="preserve">  בלוי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יוסף אתה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יוסף אתה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