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חני</w:t>
      </w:r>
      <w:proofErr w:type="spellStart"/>
      <w:r w:rsidRPr="003A2D9B">
        <w:rPr>
          <w:color w:val="000000" w:themeColor="text1"/>
        </w:rPr>
        <w:t/>
      </w:r>
      <w:proofErr w:type="spellEnd"/>
      <w:r w:rsidRPr="003A2D9B">
        <w:rPr>
          <w:color w:val="000000" w:themeColor="text1"/>
        </w:rPr>
        <w:t xml:space="preserve">  ברגק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חני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חני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חני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חני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