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jc w:val="both"/>
        <w:rPr>
          <w:sz w:val="24"/>
          <w:szCs w:val="24"/>
        </w:rPr>
      </w:pPr>
      <w:r>
        <w:rPr>
          <w:b/>
          <w:color w:val="1F497D"/>
          <w:sz w:val="72"/>
          <w:szCs w:val="24"/>
        </w:rPr>
        <w:br/>
        <w:t>LEAF HEALTH CHECK</w:t>
      </w:r>
    </w:p>
    <w:p>
      <w:pPr>
        <w:jc w:val="both"/>
        <w:rPr>
          <w:sz w:val="24"/>
          <w:szCs w:val="24"/>
        </w:rPr>
      </w:pPr>
      <w:r>
        <w:rPr>
          <w:i/>
          <w:sz w:val="36"/>
          <w:szCs w:val="24"/>
        </w:rPr>
        <w:t>AI-Powered Plant Disease Detection &amp; Rescue System</w:t>
      </w:r>
    </w:p>
    <w:p>
      <w:pPr>
        <w:jc w:val="both"/>
        <w:rPr>
          <w:sz w:val="24"/>
          <w:szCs w:val="24"/>
        </w:rPr>
      </w:pPr>
    </w:p>
    <w:p>
      <w:pPr>
        <w:jc w:val="both"/>
        <w:rPr>
          <w:sz w:val="24"/>
          <w:szCs w:val="24"/>
        </w:rPr>
      </w:pPr>
    </w:p>
    <w:p>
      <w:pPr>
        <w:jc w:val="both"/>
        <w:rPr>
          <w:sz w:val="28"/>
          <w:szCs w:val="28"/>
        </w:rPr>
      </w:pPr>
      <w:bookmarkStart w:id="0" w:name="_GoBack"/>
      <w:bookmarkEnd w:id="0"/>
    </w:p>
    <w:p>
      <w:pPr>
        <w:jc w:val="both"/>
        <w:rPr>
          <w:sz w:val="28"/>
          <w:szCs w:val="28"/>
        </w:rPr>
      </w:pPr>
      <w:r>
        <w:rPr>
          <w:sz w:val="28"/>
          <w:szCs w:val="28"/>
        </w:rPr>
        <w:t>Team ID : SWTID-2026-9255</w:t>
      </w:r>
    </w:p>
    <w:p>
      <w:pPr>
        <w:jc w:val="both"/>
        <w:rPr>
          <w:sz w:val="28"/>
          <w:szCs w:val="28"/>
        </w:rPr>
      </w:pPr>
      <w:r>
        <w:rPr>
          <w:sz w:val="28"/>
          <w:szCs w:val="28"/>
        </w:rPr>
        <w:t>Team Leader : Shobana devi B</w:t>
      </w:r>
    </w:p>
    <w:p>
      <w:pPr>
        <w:jc w:val="both"/>
        <w:rPr>
          <w:sz w:val="28"/>
          <w:szCs w:val="28"/>
        </w:rPr>
      </w:pPr>
      <w:r>
        <w:rPr>
          <w:sz w:val="28"/>
          <w:szCs w:val="28"/>
        </w:rPr>
        <w:t>Team member : Priya M</w:t>
      </w:r>
    </w:p>
    <w:p>
      <w:pPr>
        <w:jc w:val="both"/>
        <w:rPr>
          <w:sz w:val="28"/>
          <w:szCs w:val="28"/>
        </w:rPr>
      </w:pPr>
      <w:r>
        <w:rPr>
          <w:sz w:val="28"/>
          <w:szCs w:val="28"/>
        </w:rPr>
        <w:t>Team member : Hemamalini N</w:t>
      </w:r>
    </w:p>
    <w:p>
      <w:pPr>
        <w:jc w:val="both"/>
        <w:rPr>
          <w:sz w:val="28"/>
          <w:szCs w:val="28"/>
        </w:rPr>
      </w:pPr>
      <w:r>
        <w:rPr>
          <w:sz w:val="28"/>
          <w:szCs w:val="28"/>
        </w:rPr>
        <w:t>Team member : Thirisha V</w:t>
      </w:r>
    </w:p>
    <w:p>
      <w:pPr>
        <w:jc w:val="both"/>
        <w:rPr>
          <w:sz w:val="28"/>
          <w:szCs w:val="28"/>
        </w:rPr>
      </w:pPr>
    </w:p>
    <w:p>
      <w:pPr>
        <w:jc w:val="both"/>
        <w:rPr>
          <w:sz w:val="24"/>
          <w:szCs w:val="24"/>
        </w:rPr>
      </w:pPr>
    </w:p>
    <w:p>
      <w:pPr>
        <w:jc w:val="both"/>
        <w:rPr>
          <w:sz w:val="24"/>
          <w:szCs w:val="24"/>
        </w:rPr>
      </w:pPr>
    </w:p>
    <w:p>
      <w:pPr>
        <w:jc w:val="both"/>
        <w:rPr>
          <w:sz w:val="24"/>
          <w:szCs w:val="24"/>
        </w:rPr>
      </w:pPr>
    </w:p>
    <w:p>
      <w:pPr>
        <w:jc w:val="both"/>
        <w:rPr>
          <w:sz w:val="24"/>
          <w:szCs w:val="24"/>
        </w:rPr>
      </w:pPr>
    </w:p>
    <w:p>
      <w:pPr>
        <w:jc w:val="both"/>
        <w:rPr>
          <w:sz w:val="24"/>
          <w:szCs w:val="24"/>
        </w:rPr>
      </w:pPr>
    </w:p>
    <w:p>
      <w:pPr>
        <w:jc w:val="both"/>
        <w:rPr>
          <w:sz w:val="24"/>
          <w:szCs w:val="24"/>
        </w:rPr>
      </w:pPr>
      <w:r>
        <w:rPr>
          <w:sz w:val="24"/>
          <w:szCs w:val="24"/>
        </w:rPr>
        <w:br w:type="page"/>
      </w:r>
    </w:p>
    <w:p>
      <w:pPr>
        <w:pStyle w:val="1"/>
        <w:jc w:val="both"/>
        <w:rPr>
          <w:sz w:val="32"/>
          <w:szCs w:val="32"/>
        </w:rPr>
      </w:pPr>
      <w:r>
        <w:rPr>
          <w:sz w:val="32"/>
          <w:szCs w:val="32"/>
        </w:rPr>
        <w:t>Table of Contents</w:t>
      </w:r>
    </w:p>
    <w:p>
      <w:pPr>
        <w:ind w:left="288"/>
        <w:jc w:val="both"/>
        <w:rPr>
          <w:sz w:val="24"/>
          <w:szCs w:val="24"/>
        </w:rPr>
      </w:pPr>
      <w:r>
        <w:rPr>
          <w:sz w:val="24"/>
          <w:szCs w:val="24"/>
        </w:rPr>
        <w:t>1. Executive Summary</w:t>
      </w:r>
    </w:p>
    <w:p>
      <w:pPr>
        <w:ind w:left="288"/>
        <w:jc w:val="both"/>
        <w:rPr>
          <w:sz w:val="24"/>
          <w:szCs w:val="24"/>
        </w:rPr>
      </w:pPr>
      <w:r>
        <w:rPr>
          <w:sz w:val="24"/>
          <w:szCs w:val="24"/>
        </w:rPr>
        <w:t>2. Project Introduction</w:t>
      </w:r>
    </w:p>
    <w:p>
      <w:pPr>
        <w:ind w:left="288"/>
        <w:jc w:val="both"/>
        <w:rPr>
          <w:sz w:val="24"/>
          <w:szCs w:val="24"/>
        </w:rPr>
      </w:pPr>
      <w:r>
        <w:rPr>
          <w:sz w:val="24"/>
          <w:szCs w:val="24"/>
        </w:rPr>
        <w:t>3. Problem Statement &amp; Solution</w:t>
      </w:r>
    </w:p>
    <w:p>
      <w:pPr>
        <w:ind w:left="288"/>
        <w:jc w:val="both"/>
        <w:rPr>
          <w:sz w:val="24"/>
          <w:szCs w:val="24"/>
        </w:rPr>
      </w:pPr>
      <w:r>
        <w:rPr>
          <w:sz w:val="24"/>
          <w:szCs w:val="24"/>
        </w:rPr>
        <w:t>4. Detailed Use Case Scenarios</w:t>
      </w:r>
    </w:p>
    <w:p>
      <w:pPr>
        <w:ind w:left="288"/>
        <w:jc w:val="both"/>
        <w:rPr>
          <w:sz w:val="24"/>
          <w:szCs w:val="24"/>
        </w:rPr>
      </w:pPr>
      <w:r>
        <w:rPr>
          <w:sz w:val="24"/>
          <w:szCs w:val="24"/>
        </w:rPr>
        <w:t>5. System Architecture &amp; Component Mapping</w:t>
      </w:r>
    </w:p>
    <w:p>
      <w:pPr>
        <w:ind w:left="288"/>
        <w:jc w:val="both"/>
        <w:rPr>
          <w:sz w:val="24"/>
          <w:szCs w:val="24"/>
        </w:rPr>
      </w:pPr>
      <w:r>
        <w:rPr>
          <w:sz w:val="24"/>
          <w:szCs w:val="24"/>
        </w:rPr>
        <w:t>6. Core Technologies &amp; Stack</w:t>
      </w:r>
    </w:p>
    <w:p>
      <w:pPr>
        <w:ind w:left="288"/>
        <w:jc w:val="both"/>
        <w:rPr>
          <w:sz w:val="24"/>
          <w:szCs w:val="24"/>
        </w:rPr>
      </w:pPr>
      <w:r>
        <w:rPr>
          <w:sz w:val="24"/>
          <w:szCs w:val="24"/>
        </w:rPr>
        <w:t>7. Image Processing Pipeline</w:t>
      </w:r>
    </w:p>
    <w:p>
      <w:pPr>
        <w:ind w:left="288"/>
        <w:jc w:val="both"/>
        <w:rPr>
          <w:sz w:val="24"/>
          <w:szCs w:val="24"/>
        </w:rPr>
      </w:pPr>
      <w:r>
        <w:rPr>
          <w:sz w:val="24"/>
          <w:szCs w:val="24"/>
        </w:rPr>
        <w:t>8. AI &amp; Deep Learning Model Layer</w:t>
      </w:r>
    </w:p>
    <w:p>
      <w:pPr>
        <w:ind w:left="288"/>
        <w:jc w:val="both"/>
        <w:rPr>
          <w:sz w:val="24"/>
          <w:szCs w:val="24"/>
        </w:rPr>
      </w:pPr>
      <w:r>
        <w:rPr>
          <w:sz w:val="24"/>
          <w:szCs w:val="24"/>
        </w:rPr>
        <w:t>9. Severity Grading &amp; Logic</w:t>
      </w:r>
    </w:p>
    <w:p>
      <w:pPr>
        <w:ind w:left="288"/>
        <w:jc w:val="both"/>
        <w:rPr>
          <w:sz w:val="24"/>
          <w:szCs w:val="24"/>
        </w:rPr>
      </w:pPr>
      <w:r>
        <w:rPr>
          <w:sz w:val="24"/>
          <w:szCs w:val="24"/>
        </w:rPr>
        <w:t>10. Recommendation Engine &amp; Knowledge Base</w:t>
      </w:r>
    </w:p>
    <w:p>
      <w:pPr>
        <w:ind w:left="288"/>
        <w:jc w:val="both"/>
        <w:rPr>
          <w:sz w:val="24"/>
          <w:szCs w:val="24"/>
        </w:rPr>
      </w:pPr>
      <w:r>
        <w:rPr>
          <w:sz w:val="24"/>
          <w:szCs w:val="24"/>
        </w:rPr>
        <w:t>11. Milestone 1: Environment Setup</w:t>
      </w:r>
    </w:p>
    <w:p>
      <w:pPr>
        <w:ind w:left="288"/>
        <w:jc w:val="both"/>
        <w:rPr>
          <w:sz w:val="24"/>
          <w:szCs w:val="24"/>
        </w:rPr>
      </w:pPr>
      <w:r>
        <w:rPr>
          <w:sz w:val="24"/>
          <w:szCs w:val="24"/>
        </w:rPr>
        <w:t>12. Milestone 2: Core Application Logic</w:t>
      </w:r>
    </w:p>
    <w:p>
      <w:pPr>
        <w:ind w:left="288"/>
        <w:jc w:val="both"/>
        <w:rPr>
          <w:sz w:val="24"/>
          <w:szCs w:val="24"/>
        </w:rPr>
      </w:pPr>
      <w:r>
        <w:rPr>
          <w:sz w:val="24"/>
          <w:szCs w:val="24"/>
        </w:rPr>
        <w:t>13. Milestone 3: Backend Integration</w:t>
      </w:r>
    </w:p>
    <w:p>
      <w:pPr>
        <w:ind w:left="288"/>
        <w:jc w:val="both"/>
        <w:rPr>
          <w:sz w:val="24"/>
          <w:szCs w:val="24"/>
        </w:rPr>
      </w:pPr>
      <w:r>
        <w:rPr>
          <w:sz w:val="24"/>
          <w:szCs w:val="24"/>
        </w:rPr>
        <w:t>14. Milestone 4: UI/UX Implementation</w:t>
      </w:r>
    </w:p>
    <w:p>
      <w:pPr>
        <w:ind w:left="288"/>
        <w:jc w:val="both"/>
        <w:rPr>
          <w:sz w:val="24"/>
          <w:szCs w:val="24"/>
        </w:rPr>
      </w:pPr>
      <w:r>
        <w:rPr>
          <w:sz w:val="24"/>
          <w:szCs w:val="24"/>
        </w:rPr>
        <w:t>15. Milestone 5: Testing &amp; Optimization</w:t>
      </w:r>
    </w:p>
    <w:p>
      <w:pPr>
        <w:ind w:left="288"/>
        <w:jc w:val="both"/>
        <w:rPr>
          <w:sz w:val="24"/>
          <w:szCs w:val="24"/>
        </w:rPr>
      </w:pPr>
      <w:r>
        <w:rPr>
          <w:sz w:val="24"/>
          <w:szCs w:val="24"/>
        </w:rPr>
        <w:t>16. Code Implementation: Preprocessing</w:t>
      </w:r>
    </w:p>
    <w:p>
      <w:pPr>
        <w:ind w:left="288"/>
        <w:jc w:val="both"/>
        <w:rPr>
          <w:sz w:val="24"/>
          <w:szCs w:val="24"/>
        </w:rPr>
      </w:pPr>
      <w:r>
        <w:rPr>
          <w:sz w:val="24"/>
          <w:szCs w:val="24"/>
        </w:rPr>
        <w:t>17. Code Implementation: AI Prompting</w:t>
      </w:r>
    </w:p>
    <w:p>
      <w:pPr>
        <w:ind w:left="288"/>
        <w:jc w:val="both"/>
        <w:rPr>
          <w:sz w:val="24"/>
          <w:szCs w:val="24"/>
        </w:rPr>
      </w:pPr>
      <w:r>
        <w:rPr>
          <w:sz w:val="24"/>
          <w:szCs w:val="24"/>
        </w:rPr>
        <w:t>18. Code Implementation: Streamlit UI</w:t>
      </w:r>
    </w:p>
    <w:p>
      <w:pPr>
        <w:ind w:left="288"/>
        <w:jc w:val="both"/>
        <w:rPr>
          <w:sz w:val="24"/>
          <w:szCs w:val="24"/>
        </w:rPr>
      </w:pPr>
      <w:r>
        <w:rPr>
          <w:sz w:val="24"/>
          <w:szCs w:val="24"/>
        </w:rPr>
        <w:t>19. Deployment Strategies</w:t>
      </w:r>
    </w:p>
    <w:p>
      <w:pPr>
        <w:ind w:left="288"/>
        <w:jc w:val="both"/>
        <w:rPr>
          <w:sz w:val="24"/>
          <w:szCs w:val="24"/>
        </w:rPr>
      </w:pPr>
      <w:r>
        <w:rPr>
          <w:sz w:val="24"/>
          <w:szCs w:val="24"/>
        </w:rPr>
        <w:t>20. Future Enhancements &amp; Scalability</w:t>
      </w:r>
    </w:p>
    <w:p>
      <w:pPr>
        <w:ind w:left="288"/>
        <w:jc w:val="both"/>
        <w:rPr>
          <w:sz w:val="24"/>
          <w:szCs w:val="24"/>
        </w:rPr>
      </w:pPr>
      <w:r>
        <w:rPr>
          <w:sz w:val="24"/>
          <w:szCs w:val="24"/>
        </w:rPr>
        <w:t>21. Conclusion</w:t>
      </w:r>
    </w:p>
    <w:p>
      <w:pPr>
        <w:ind w:left="288"/>
        <w:jc w:val="both"/>
        <w:rPr>
          <w:sz w:val="24"/>
          <w:szCs w:val="24"/>
        </w:rPr>
      </w:pPr>
      <w:r>
        <w:rPr>
          <w:sz w:val="24"/>
          <w:szCs w:val="24"/>
        </w:rPr>
        <w:t>22. Appendices</w:t>
      </w:r>
    </w:p>
    <w:p>
      <w:pPr>
        <w:jc w:val="both"/>
        <w:rPr>
          <w:sz w:val="24"/>
          <w:szCs w:val="24"/>
        </w:rPr>
      </w:pPr>
      <w:r>
        <w:rPr>
          <w:sz w:val="24"/>
          <w:szCs w:val="24"/>
        </w:rPr>
        <w:br w:type="page"/>
      </w:r>
    </w:p>
    <w:p>
      <w:pPr>
        <w:pStyle w:val="1"/>
        <w:jc w:val="both"/>
        <w:rPr>
          <w:sz w:val="44"/>
          <w:szCs w:val="44"/>
        </w:rPr>
      </w:pPr>
      <w:r>
        <w:rPr>
          <w:sz w:val="44"/>
          <w:szCs w:val="44"/>
        </w:rPr>
        <w:t>1. Executive Summary</w:t>
      </w:r>
    </w:p>
    <w:p>
      <w:pPr>
        <w:jc w:val="both"/>
        <w:rPr>
          <w:sz w:val="36"/>
          <w:szCs w:val="36"/>
        </w:rPr>
      </w:pPr>
      <w:r>
        <w:rPr>
          <w:sz w:val="36"/>
          <w:szCs w:val="36"/>
        </w:rPr>
        <w:t>Agriculture is the backbone of global food security, yet plant diseases reduce annual crop yields by an estimated 20% to 40%. The 'Leaf Health Check' project is an innovative solution that leverages Artificial Intelligence and Computer Vision to empower farmers and gardeners with real-time diagnostic capabilities. By integrating the Google Gemini AI Studio with the Python-based Streamlit framework, this application provides an end-to-end pipeline from image acquisition to actionable advice.</w:t>
      </w:r>
    </w:p>
    <w:p>
      <w:pPr>
        <w:jc w:val="both"/>
        <w:rPr>
          <w:sz w:val="36"/>
          <w:szCs w:val="36"/>
        </w:rPr>
      </w:pPr>
      <w:r>
        <w:rPr>
          <w:sz w:val="36"/>
          <w:szCs w:val="36"/>
        </w:rPr>
        <w:t>Key highlights include a custom-built severity grading engine, a species-aware recommendation system, and an intuitive web interface. The system aims to democratize plant pathology, making expert-level knowledge accessible to anyone with a smartphone camera.</w:t>
      </w:r>
    </w:p>
    <w:p>
      <w:pPr>
        <w:jc w:val="both"/>
        <w:rPr>
          <w:b/>
          <w:bCs/>
          <w:color w:val="365F91"/>
          <w:sz w:val="24"/>
          <w:szCs w:val="24"/>
        </w:rPr>
      </w:pPr>
      <w:r>
        <w:rPr>
          <w:b/>
          <w:bCs/>
          <w:color w:val="365F91"/>
          <w:sz w:val="40"/>
          <w:szCs w:val="40"/>
        </w:rPr>
        <w:t>2. Project Introduction</w:t>
      </w:r>
    </w:p>
    <w:p>
      <w:pPr>
        <w:jc w:val="both"/>
        <w:rPr>
          <w:sz w:val="32"/>
          <w:szCs w:val="32"/>
        </w:rPr>
      </w:pPr>
      <w:r>
        <w:rPr>
          <w:sz w:val="32"/>
          <w:szCs w:val="32"/>
        </w:rPr>
        <w:t>Leaf Health Check is designed as a smart digital assistant for agricultural stakeholders. Digital tools for agriculture, often referred to as 'AgriTech,' are essential for sustainable farming. This project focuses on the 'leaf' as the primary diagnostic organ of the plant, utilizing structural and colorimetric changes captured in images to infer health status.</w:t>
      </w:r>
    </w:p>
    <w:p>
      <w:pPr>
        <w:pStyle w:val="1"/>
        <w:jc w:val="both"/>
        <w:rPr>
          <w:sz w:val="40"/>
          <w:szCs w:val="40"/>
        </w:rPr>
      </w:pPr>
      <w:r>
        <w:rPr>
          <w:sz w:val="40"/>
          <w:szCs w:val="40"/>
        </w:rPr>
        <w:t>3. Problem Statement &amp; Solution</w:t>
      </w:r>
    </w:p>
    <w:p>
      <w:pPr>
        <w:jc w:val="both"/>
        <w:rPr>
          <w:sz w:val="32"/>
          <w:szCs w:val="32"/>
        </w:rPr>
      </w:pPr>
      <w:r>
        <w:rPr>
          <w:sz w:val="32"/>
          <w:szCs w:val="32"/>
        </w:rPr>
        <w:t>Traditional plant diagnosis involves physical inspection by experts, which is often slow, expensive, and subjective. Small-scale farmers often lack access to diagnostic labs, leading to delayed treatment and total crop failure. Leaf Health Check solves this by providing instant, AI-verified health reports, 24/7 availability, and localized rescue tips.</w:t>
      </w:r>
    </w:p>
    <w:p>
      <w:pPr>
        <w:jc w:val="both"/>
        <w:rPr>
          <w:b/>
          <w:bCs/>
          <w:color w:val="365F91"/>
          <w:sz w:val="32"/>
          <w:szCs w:val="32"/>
        </w:rPr>
      </w:pPr>
      <w:r>
        <w:rPr>
          <w:b/>
          <w:bCs/>
          <w:color w:val="365F91"/>
          <w:sz w:val="40"/>
          <w:szCs w:val="40"/>
        </w:rPr>
        <w:t>4. Detailed Use Case Scenarios</w:t>
      </w:r>
    </w:p>
    <w:p>
      <w:pPr>
        <w:pStyle w:val="2"/>
        <w:jc w:val="both"/>
        <w:rPr>
          <w:sz w:val="36"/>
          <w:szCs w:val="36"/>
        </w:rPr>
      </w:pPr>
      <w:r>
        <w:rPr>
          <w:sz w:val="36"/>
          <w:szCs w:val="36"/>
        </w:rPr>
        <w:t>Scenario 1: Residential &amp; Urban Gardening</w:t>
      </w:r>
    </w:p>
    <w:p>
      <w:pPr>
        <w:jc w:val="both"/>
        <w:rPr>
          <w:sz w:val="32"/>
          <w:szCs w:val="32"/>
        </w:rPr>
      </w:pPr>
      <w:r>
        <w:rPr>
          <w:sz w:val="32"/>
          <w:szCs w:val="32"/>
        </w:rPr>
        <w:t>Urban gardeners managing balcony plants or kitchen gardens often struggle with identifying nutrient deficiencies versus infections. The app allows them to upload a photo and receive instant advice on soil amendments or watering adjustments.</w:t>
      </w:r>
    </w:p>
    <w:p>
      <w:pPr>
        <w:pStyle w:val="2"/>
        <w:jc w:val="both"/>
        <w:rPr>
          <w:sz w:val="36"/>
          <w:szCs w:val="36"/>
        </w:rPr>
      </w:pPr>
      <w:r>
        <w:rPr>
          <w:sz w:val="36"/>
          <w:szCs w:val="36"/>
        </w:rPr>
        <w:t>Scenario 2: Large-Scale Commercial Farming</w:t>
      </w:r>
    </w:p>
    <w:p>
      <w:pPr>
        <w:jc w:val="both"/>
        <w:rPr>
          <w:sz w:val="32"/>
          <w:szCs w:val="32"/>
        </w:rPr>
      </w:pPr>
      <w:r>
        <w:rPr>
          <w:sz w:val="32"/>
          <w:szCs w:val="32"/>
        </w:rPr>
        <w:t>Field scouts can use the mobile-responsive interface to sample leaves across hectares of crops, enabling early detection of outbreaks like blight or rust before they spread to the entire field.</w:t>
      </w:r>
    </w:p>
    <w:p>
      <w:pPr>
        <w:pStyle w:val="2"/>
        <w:jc w:val="both"/>
        <w:rPr>
          <w:sz w:val="36"/>
          <w:szCs w:val="36"/>
        </w:rPr>
      </w:pPr>
      <w:r>
        <w:rPr>
          <w:sz w:val="36"/>
          <w:szCs w:val="36"/>
        </w:rPr>
        <w:t>Scenario 3: Agricultural Research &amp; Education</w:t>
      </w:r>
    </w:p>
    <w:p>
      <w:pPr>
        <w:jc w:val="both"/>
        <w:rPr>
          <w:sz w:val="32"/>
          <w:szCs w:val="32"/>
        </w:rPr>
      </w:pPr>
      <w:r>
        <w:rPr>
          <w:sz w:val="32"/>
          <w:szCs w:val="32"/>
        </w:rPr>
        <w:t>Botany students and researchers can use the system as a reference tool to compare field samples against the AI's vast internal knowledge base, learning identifying markers of different diseases.</w:t>
      </w:r>
    </w:p>
    <w:p>
      <w:pPr>
        <w:jc w:val="both"/>
        <w:rPr>
          <w:sz w:val="24"/>
          <w:szCs w:val="24"/>
        </w:rPr>
      </w:pPr>
      <w:r>
        <w:rPr>
          <w:sz w:val="24"/>
          <w:szCs w:val="24"/>
        </w:rPr>
        <w:br w:type="page"/>
      </w:r>
    </w:p>
    <w:p>
      <w:pPr>
        <w:pStyle w:val="1"/>
        <w:jc w:val="both"/>
        <w:rPr>
          <w:sz w:val="36"/>
          <w:szCs w:val="36"/>
        </w:rPr>
      </w:pPr>
      <w:r>
        <w:rPr>
          <w:sz w:val="36"/>
          <w:szCs w:val="36"/>
        </w:rPr>
        <w:t>5. System Architecture &amp; Component Mapping</w:t>
      </w:r>
    </w:p>
    <w:p>
      <w:pPr>
        <w:jc w:val="both"/>
        <w:rPr>
          <w:sz w:val="28"/>
          <w:szCs w:val="28"/>
        </w:rPr>
      </w:pPr>
      <w:r>
        <w:rPr>
          <w:sz w:val="28"/>
          <w:szCs w:val="28"/>
        </w:rPr>
        <w:t>The architecture is built on a modular, multi-layered framework. Each component is isolated to ensure that the system remains robust and easy to update as AI models evolve.</w:t>
      </w:r>
    </w:p>
    <w:tbl>
      <w:tblPr>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tblGrid>
        <w:gridCol w:w="4320"/>
        <w:gridCol w:w="4320"/>
      </w:tblGrid>
      <w:tr>
        <w:trPr>
          <w:tblHeader/>
        </w:trPr>
        <w:tc>
          <w:tcPr>
            <w:tcW w:w="4320" w:type="dxa"/>
          </w:tcPr>
          <w:p>
            <w:pPr>
              <w:spacing w:after="0" w:line="240" w:lineRule="auto"/>
              <w:jc w:val="both"/>
              <w:rPr>
                <w:sz w:val="28"/>
                <w:szCs w:val="28"/>
              </w:rPr>
            </w:pPr>
            <w:r>
              <w:rPr>
                <w:sz w:val="28"/>
                <w:szCs w:val="28"/>
              </w:rPr>
              <w:t>Component</w:t>
            </w:r>
          </w:p>
        </w:tc>
        <w:tc>
          <w:tcPr>
            <w:tcW w:w="4320" w:type="dxa"/>
          </w:tcPr>
          <w:p>
            <w:pPr>
              <w:spacing w:after="0" w:line="240" w:lineRule="auto"/>
              <w:jc w:val="both"/>
              <w:rPr>
                <w:sz w:val="28"/>
                <w:szCs w:val="28"/>
              </w:rPr>
            </w:pPr>
            <w:r>
              <w:rPr>
                <w:sz w:val="28"/>
                <w:szCs w:val="28"/>
              </w:rPr>
              <w:t>Functional Responsibility</w:t>
            </w:r>
          </w:p>
        </w:tc>
      </w:tr>
      <w:tr>
        <w:tc>
          <w:tcPr>
            <w:tcW w:w="4320" w:type="dxa"/>
          </w:tcPr>
          <w:p>
            <w:pPr>
              <w:spacing w:after="0" w:line="240" w:lineRule="auto"/>
              <w:jc w:val="center"/>
              <w:rPr>
                <w:sz w:val="28"/>
                <w:szCs w:val="28"/>
              </w:rPr>
            </w:pPr>
          </w:p>
          <w:p>
            <w:pPr>
              <w:spacing w:after="0" w:line="240" w:lineRule="auto"/>
              <w:jc w:val="center"/>
              <w:rPr>
                <w:sz w:val="28"/>
                <w:szCs w:val="28"/>
              </w:rPr>
            </w:pPr>
            <w:r>
              <w:rPr>
                <w:sz w:val="28"/>
                <w:szCs w:val="28"/>
              </w:rPr>
              <w:t>Frontend UI (Streamlit)</w:t>
            </w:r>
          </w:p>
        </w:tc>
        <w:tc>
          <w:tcPr>
            <w:tcW w:w="4320" w:type="dxa"/>
          </w:tcPr>
          <w:p>
            <w:pPr>
              <w:spacing w:after="0" w:line="240" w:lineRule="auto"/>
              <w:jc w:val="both"/>
              <w:rPr>
                <w:sz w:val="28"/>
                <w:szCs w:val="28"/>
              </w:rPr>
            </w:pPr>
            <w:r>
              <w:rPr>
                <w:sz w:val="28"/>
                <w:szCs w:val="28"/>
              </w:rPr>
              <w:t>Handles user input, file uploads, and displays the final dynamic diagnosis report.</w:t>
            </w:r>
          </w:p>
        </w:tc>
      </w:tr>
      <w:tr>
        <w:tc>
          <w:tcPr>
            <w:tcW w:w="4320" w:type="dxa"/>
          </w:tcPr>
          <w:p>
            <w:pPr>
              <w:spacing w:after="0" w:line="240" w:lineRule="auto"/>
              <w:jc w:val="center"/>
              <w:rPr>
                <w:sz w:val="28"/>
                <w:szCs w:val="28"/>
              </w:rPr>
            </w:pPr>
          </w:p>
          <w:p>
            <w:pPr>
              <w:spacing w:after="0" w:line="240" w:lineRule="auto"/>
              <w:jc w:val="center"/>
              <w:rPr>
                <w:sz w:val="28"/>
                <w:szCs w:val="28"/>
              </w:rPr>
            </w:pPr>
            <w:r>
              <w:rPr>
                <w:sz w:val="28"/>
                <w:szCs w:val="28"/>
              </w:rPr>
              <w:t>Image Processing Module</w:t>
            </w:r>
          </w:p>
        </w:tc>
        <w:tc>
          <w:tcPr>
            <w:tcW w:w="4320" w:type="dxa"/>
          </w:tcPr>
          <w:p>
            <w:pPr>
              <w:spacing w:after="0" w:line="240" w:lineRule="auto"/>
              <w:jc w:val="both"/>
              <w:rPr>
                <w:sz w:val="28"/>
                <w:szCs w:val="28"/>
              </w:rPr>
            </w:pPr>
            <w:r>
              <w:rPr>
                <w:sz w:val="28"/>
                <w:szCs w:val="28"/>
              </w:rPr>
              <w:t>Utilizes OpenCV to normalize images, perform color segmentation, and calculate pixel-level discoloration.</w:t>
            </w:r>
          </w:p>
        </w:tc>
      </w:tr>
      <w:tr>
        <w:tc>
          <w:tcPr>
            <w:tcW w:w="4320" w:type="dxa"/>
          </w:tcPr>
          <w:p>
            <w:pPr>
              <w:spacing w:after="0" w:line="240" w:lineRule="auto"/>
              <w:jc w:val="center"/>
              <w:rPr>
                <w:sz w:val="28"/>
                <w:szCs w:val="28"/>
              </w:rPr>
            </w:pPr>
          </w:p>
          <w:p>
            <w:pPr>
              <w:spacing w:after="0" w:line="240" w:lineRule="auto"/>
              <w:jc w:val="center"/>
              <w:rPr>
                <w:sz w:val="28"/>
                <w:szCs w:val="28"/>
              </w:rPr>
            </w:pPr>
            <w:r>
              <w:rPr>
                <w:sz w:val="28"/>
                <w:szCs w:val="28"/>
              </w:rPr>
              <w:t>AI Model Layer (Gemini)</w:t>
            </w:r>
          </w:p>
        </w:tc>
        <w:tc>
          <w:tcPr>
            <w:tcW w:w="4320" w:type="dxa"/>
          </w:tcPr>
          <w:p>
            <w:pPr>
              <w:spacing w:after="0" w:line="240" w:lineRule="auto"/>
              <w:jc w:val="both"/>
              <w:rPr>
                <w:sz w:val="28"/>
                <w:szCs w:val="28"/>
              </w:rPr>
            </w:pPr>
            <w:r>
              <w:rPr>
                <w:sz w:val="28"/>
                <w:szCs w:val="28"/>
              </w:rPr>
              <w:t>Interprets visual features to identify species and specific disease classes based on millions of trained parameters.</w:t>
            </w:r>
          </w:p>
        </w:tc>
      </w:tr>
      <w:tr>
        <w:tc>
          <w:tcPr>
            <w:tcW w:w="4320" w:type="dxa"/>
          </w:tcPr>
          <w:p>
            <w:pPr>
              <w:spacing w:after="0" w:line="240" w:lineRule="auto"/>
              <w:jc w:val="center"/>
              <w:rPr>
                <w:sz w:val="28"/>
                <w:szCs w:val="28"/>
              </w:rPr>
            </w:pPr>
          </w:p>
          <w:p>
            <w:pPr>
              <w:spacing w:after="0" w:line="240" w:lineRule="auto"/>
              <w:jc w:val="center"/>
              <w:rPr>
                <w:sz w:val="28"/>
                <w:szCs w:val="28"/>
              </w:rPr>
            </w:pPr>
            <w:r>
              <w:rPr>
                <w:sz w:val="28"/>
                <w:szCs w:val="28"/>
              </w:rPr>
              <w:t>Severity Grading Engine</w:t>
            </w:r>
          </w:p>
        </w:tc>
        <w:tc>
          <w:tcPr>
            <w:tcW w:w="4320" w:type="dxa"/>
          </w:tcPr>
          <w:p>
            <w:pPr>
              <w:spacing w:after="0" w:line="240" w:lineRule="auto"/>
              <w:jc w:val="both"/>
              <w:rPr>
                <w:sz w:val="28"/>
                <w:szCs w:val="28"/>
              </w:rPr>
            </w:pPr>
            <w:r>
              <w:rPr>
                <w:sz w:val="28"/>
                <w:szCs w:val="28"/>
              </w:rPr>
              <w:t>A logic-based mathematical model that maps the percentage of leaf damage to a standard 5-point health scale.</w:t>
            </w:r>
          </w:p>
        </w:tc>
      </w:tr>
      <w:tr>
        <w:tc>
          <w:tcPr>
            <w:tcW w:w="4320" w:type="dxa"/>
          </w:tcPr>
          <w:p>
            <w:pPr>
              <w:spacing w:after="0" w:line="240" w:lineRule="auto"/>
              <w:jc w:val="center"/>
              <w:rPr>
                <w:sz w:val="28"/>
                <w:szCs w:val="28"/>
              </w:rPr>
            </w:pPr>
          </w:p>
          <w:p>
            <w:pPr>
              <w:spacing w:after="0" w:line="240" w:lineRule="auto"/>
              <w:jc w:val="center"/>
              <w:rPr>
                <w:sz w:val="28"/>
                <w:szCs w:val="28"/>
              </w:rPr>
            </w:pPr>
            <w:r>
              <w:rPr>
                <w:sz w:val="28"/>
                <w:szCs w:val="28"/>
              </w:rPr>
              <w:t>Species DB Lookup</w:t>
            </w:r>
          </w:p>
        </w:tc>
        <w:tc>
          <w:tcPr>
            <w:tcW w:w="4320" w:type="dxa"/>
          </w:tcPr>
          <w:p>
            <w:pPr>
              <w:spacing w:after="0" w:line="240" w:lineRule="auto"/>
              <w:jc w:val="both"/>
              <w:rPr>
                <w:sz w:val="28"/>
                <w:szCs w:val="28"/>
              </w:rPr>
            </w:pPr>
            <w:r>
              <w:rPr>
                <w:sz w:val="28"/>
                <w:szCs w:val="28"/>
              </w:rPr>
              <w:t>A curated lookup system to verify that predicted diseases are biologically possible for the identified species.</w:t>
            </w:r>
          </w:p>
        </w:tc>
      </w:tr>
      <w:tr>
        <w:tc>
          <w:tcPr>
            <w:tcW w:w="4320" w:type="dxa"/>
          </w:tcPr>
          <w:p>
            <w:pPr>
              <w:spacing w:after="0" w:line="240" w:lineRule="auto"/>
              <w:jc w:val="center"/>
              <w:rPr>
                <w:sz w:val="28"/>
                <w:szCs w:val="28"/>
              </w:rPr>
            </w:pPr>
          </w:p>
          <w:p>
            <w:pPr>
              <w:spacing w:after="0" w:line="240" w:lineRule="auto"/>
              <w:jc w:val="center"/>
              <w:rPr>
                <w:sz w:val="28"/>
                <w:szCs w:val="28"/>
              </w:rPr>
            </w:pPr>
            <w:r>
              <w:rPr>
                <w:sz w:val="28"/>
                <w:szCs w:val="28"/>
              </w:rPr>
              <w:t>Recommendation Engine</w:t>
            </w:r>
          </w:p>
        </w:tc>
        <w:tc>
          <w:tcPr>
            <w:tcW w:w="4320" w:type="dxa"/>
          </w:tcPr>
          <w:p>
            <w:pPr>
              <w:spacing w:after="0" w:line="240" w:lineRule="auto"/>
              <w:jc w:val="both"/>
              <w:rPr>
                <w:sz w:val="28"/>
                <w:szCs w:val="28"/>
              </w:rPr>
            </w:pPr>
            <w:r>
              <w:rPr>
                <w:sz w:val="28"/>
                <w:szCs w:val="28"/>
              </w:rPr>
              <w:t>Synthesizes data from the AI analysis and the database to generate three actionable 'Rescue Tips'.</w:t>
            </w:r>
          </w:p>
        </w:tc>
      </w:tr>
      <w:tr>
        <w:tc>
          <w:tcPr>
            <w:tcW w:w="4320" w:type="dxa"/>
          </w:tcPr>
          <w:p>
            <w:pPr>
              <w:spacing w:after="0" w:line="240" w:lineRule="auto"/>
              <w:jc w:val="center"/>
              <w:rPr>
                <w:sz w:val="28"/>
                <w:szCs w:val="28"/>
              </w:rPr>
            </w:pPr>
          </w:p>
          <w:p>
            <w:pPr>
              <w:spacing w:after="0" w:line="240" w:lineRule="auto"/>
              <w:jc w:val="center"/>
              <w:rPr>
                <w:sz w:val="28"/>
                <w:szCs w:val="28"/>
              </w:rPr>
            </w:pPr>
            <w:r>
              <w:rPr>
                <w:sz w:val="28"/>
                <w:szCs w:val="28"/>
              </w:rPr>
              <w:t>Export Module</w:t>
            </w:r>
          </w:p>
        </w:tc>
        <w:tc>
          <w:tcPr>
            <w:tcW w:w="4320" w:type="dxa"/>
          </w:tcPr>
          <w:p>
            <w:pPr>
              <w:spacing w:after="0" w:line="240" w:lineRule="auto"/>
              <w:jc w:val="both"/>
              <w:rPr>
                <w:sz w:val="28"/>
                <w:szCs w:val="28"/>
              </w:rPr>
            </w:pPr>
            <w:r>
              <w:rPr>
                <w:sz w:val="28"/>
                <w:szCs w:val="28"/>
              </w:rPr>
              <w:t>Converts the interactive dashboard results into a permanent PDF or Text record for the user.</w:t>
            </w:r>
          </w:p>
        </w:tc>
      </w:tr>
    </w:tbl>
    <w:p>
      <w:pPr>
        <w:jc w:val="both"/>
        <w:rPr>
          <w:sz w:val="28"/>
          <w:szCs w:val="28"/>
        </w:rPr>
      </w:pPr>
      <w:r>
        <w:rPr>
          <w:sz w:val="28"/>
          <w:szCs w:val="28"/>
        </w:rPr>
        <w:br w:type="page"/>
      </w:r>
    </w:p>
    <w:p>
      <w:pPr>
        <w:pStyle w:val="1"/>
        <w:jc w:val="both"/>
        <w:rPr>
          <w:sz w:val="36"/>
          <w:szCs w:val="36"/>
        </w:rPr>
      </w:pPr>
      <w:r>
        <w:rPr>
          <w:sz w:val="36"/>
          <w:szCs w:val="36"/>
        </w:rPr>
        <w:t>6. Core Technologies &amp; Stack</w:t>
      </w:r>
    </w:p>
    <w:p>
      <w:pPr>
        <w:jc w:val="both"/>
        <w:rPr>
          <w:sz w:val="32"/>
          <w:szCs w:val="32"/>
        </w:rPr>
      </w:pPr>
      <w:r>
        <w:rPr>
          <w:b/>
          <w:sz w:val="32"/>
          <w:szCs w:val="32"/>
        </w:rPr>
        <w:t xml:space="preserve">Python 3.9+: </w:t>
      </w:r>
      <w:r>
        <w:rPr>
          <w:sz w:val="32"/>
          <w:szCs w:val="32"/>
        </w:rPr>
        <w:t>Primary language for backend development and automation.</w:t>
      </w:r>
    </w:p>
    <w:p>
      <w:pPr>
        <w:jc w:val="both"/>
        <w:rPr>
          <w:sz w:val="32"/>
          <w:szCs w:val="32"/>
        </w:rPr>
      </w:pPr>
      <w:r>
        <w:rPr>
          <w:b/>
          <w:sz w:val="32"/>
          <w:szCs w:val="32"/>
        </w:rPr>
        <w:t xml:space="preserve">Streamlit: </w:t>
      </w:r>
      <w:r>
        <w:rPr>
          <w:sz w:val="32"/>
          <w:szCs w:val="32"/>
        </w:rPr>
        <w:t>Used for building the interactive web dashboard without complex frontend code.</w:t>
      </w:r>
    </w:p>
    <w:p>
      <w:pPr>
        <w:jc w:val="both"/>
        <w:rPr>
          <w:sz w:val="32"/>
          <w:szCs w:val="32"/>
        </w:rPr>
      </w:pPr>
      <w:r>
        <w:rPr>
          <w:b/>
          <w:sz w:val="32"/>
          <w:szCs w:val="32"/>
        </w:rPr>
        <w:t xml:space="preserve">OpenCV: </w:t>
      </w:r>
      <w:r>
        <w:rPr>
          <w:sz w:val="32"/>
          <w:szCs w:val="32"/>
        </w:rPr>
        <w:t>Used for low-level image manipulation and pixel-based damage calculation.</w:t>
      </w:r>
    </w:p>
    <w:p>
      <w:pPr>
        <w:jc w:val="both"/>
        <w:rPr>
          <w:sz w:val="32"/>
          <w:szCs w:val="32"/>
        </w:rPr>
      </w:pPr>
      <w:r>
        <w:rPr>
          <w:b/>
          <w:sz w:val="32"/>
          <w:szCs w:val="32"/>
        </w:rPr>
        <w:t xml:space="preserve">Google Gemini AI Studio: </w:t>
      </w:r>
      <w:r>
        <w:rPr>
          <w:sz w:val="32"/>
          <w:szCs w:val="32"/>
        </w:rPr>
        <w:t>Used as the vision-intelligence engine for species and disease detection.</w:t>
      </w:r>
    </w:p>
    <w:p>
      <w:pPr>
        <w:jc w:val="both"/>
        <w:rPr>
          <w:sz w:val="32"/>
          <w:szCs w:val="32"/>
        </w:rPr>
      </w:pPr>
      <w:r>
        <w:rPr>
          <w:b/>
          <w:sz w:val="32"/>
          <w:szCs w:val="32"/>
        </w:rPr>
        <w:t xml:space="preserve">NumPy / Pandas: </w:t>
      </w:r>
      <w:r>
        <w:rPr>
          <w:sz w:val="32"/>
          <w:szCs w:val="32"/>
        </w:rPr>
        <w:t>Handles the mathematical arrays representing pixels and data structuring.</w:t>
      </w:r>
    </w:p>
    <w:p>
      <w:pPr>
        <w:jc w:val="both"/>
        <w:rPr>
          <w:sz w:val="32"/>
          <w:szCs w:val="32"/>
        </w:rPr>
      </w:pPr>
      <w:r>
        <w:rPr>
          <w:b/>
          <w:sz w:val="32"/>
          <w:szCs w:val="32"/>
        </w:rPr>
        <w:t xml:space="preserve">Pillow (PIL): </w:t>
      </w:r>
      <w:r>
        <w:rPr>
          <w:sz w:val="32"/>
          <w:szCs w:val="32"/>
        </w:rPr>
        <w:t>Provides robust support for opening, manipulating, and saving many different image file formats.</w:t>
      </w:r>
    </w:p>
    <w:p>
      <w:pPr>
        <w:jc w:val="both"/>
        <w:rPr>
          <w:sz w:val="32"/>
          <w:szCs w:val="32"/>
        </w:rPr>
      </w:pPr>
      <w:r>
        <w:rPr>
          <w:b/>
          <w:sz w:val="32"/>
          <w:szCs w:val="32"/>
        </w:rPr>
        <w:t xml:space="preserve">python-dotenv: </w:t>
      </w:r>
      <w:r>
        <w:rPr>
          <w:sz w:val="32"/>
          <w:szCs w:val="32"/>
        </w:rPr>
        <w:t>Manages sensitive API credentials and environment configurations safely.</w:t>
      </w:r>
    </w:p>
    <w:p>
      <w:pPr>
        <w:pStyle w:val="1"/>
        <w:jc w:val="both"/>
        <w:rPr>
          <w:sz w:val="36"/>
          <w:szCs w:val="36"/>
        </w:rPr>
      </w:pPr>
      <w:r>
        <w:rPr>
          <w:sz w:val="36"/>
          <w:szCs w:val="36"/>
        </w:rPr>
        <w:t>7. Image Processing Pipeline</w:t>
      </w:r>
    </w:p>
    <w:p>
      <w:pPr>
        <w:jc w:val="both"/>
        <w:rPr>
          <w:sz w:val="32"/>
          <w:szCs w:val="32"/>
        </w:rPr>
      </w:pPr>
      <w:r>
        <w:rPr>
          <w:sz w:val="32"/>
          <w:szCs w:val="32"/>
        </w:rPr>
        <w:t>Raw images from cameras often contain noise, varying brightness, and varying orientations. The preprocessing pipeline standardizes these inputs. First, images are resized to 224x224 pixels. Second, we apply a Gaussian Blur to reduce high-frequency noise. Third, we use Color Segmentation (HSV conversion) to calculate the healthy vs. unhealthy ratio.</w:t>
      </w:r>
    </w:p>
    <w:p>
      <w:pPr>
        <w:pStyle w:val="1"/>
        <w:jc w:val="both"/>
        <w:rPr>
          <w:sz w:val="36"/>
          <w:szCs w:val="36"/>
        </w:rPr>
      </w:pPr>
      <w:r>
        <w:rPr>
          <w:sz w:val="36"/>
          <w:szCs w:val="36"/>
        </w:rPr>
        <w:t>8. AI &amp; Deep Learning Model Layer</w:t>
      </w:r>
    </w:p>
    <w:p>
      <w:pPr>
        <w:jc w:val="both"/>
        <w:rPr>
          <w:sz w:val="28"/>
          <w:szCs w:val="28"/>
        </w:rPr>
      </w:pPr>
      <w:r>
        <w:rPr>
          <w:sz w:val="32"/>
          <w:szCs w:val="32"/>
        </w:rPr>
        <w:t>The intelligence of the platform relies on Large Multimodal Models (LMMs). Unlike traditional CNNs that require specific training on every new disease, Gemini AI understands taxonomic patterns and visual indicators with broader context. This allows the system to identify rare diseases and nutrient deficiencies more reliably.</w:t>
      </w:r>
    </w:p>
    <w:p>
      <w:pPr>
        <w:pStyle w:val="1"/>
        <w:jc w:val="both"/>
        <w:rPr>
          <w:sz w:val="36"/>
          <w:szCs w:val="36"/>
        </w:rPr>
      </w:pPr>
      <w:r>
        <w:rPr>
          <w:sz w:val="36"/>
          <w:szCs w:val="36"/>
        </w:rPr>
        <w:t>9. Severity Grading &amp; Logic</w:t>
      </w:r>
    </w:p>
    <w:p>
      <w:pPr>
        <w:jc w:val="both"/>
        <w:rPr>
          <w:sz w:val="32"/>
          <w:szCs w:val="32"/>
        </w:rPr>
      </w:pPr>
      <w:r>
        <w:rPr>
          <w:sz w:val="32"/>
          <w:szCs w:val="32"/>
        </w:rPr>
        <w:t>The Severity system follows a mathematical 'Damage Coefficient' (DC) logic:</w:t>
      </w:r>
    </w:p>
    <w:p>
      <w:pPr>
        <w:pStyle w:val="41"/>
        <w:jc w:val="both"/>
        <w:rPr>
          <w:sz w:val="32"/>
          <w:szCs w:val="32"/>
        </w:rPr>
      </w:pPr>
      <w:r>
        <w:rPr>
          <w:sz w:val="32"/>
          <w:szCs w:val="32"/>
        </w:rPr>
        <w:t>DC = (Σ Unhealthy Pixels / Σ Total Leaf Pixels) * 100</w:t>
      </w:r>
    </w:p>
    <w:p>
      <w:pPr>
        <w:jc w:val="both"/>
        <w:rPr>
          <w:sz w:val="32"/>
          <w:szCs w:val="32"/>
        </w:rPr>
      </w:pPr>
      <w:r>
        <w:rPr>
          <w:sz w:val="32"/>
          <w:szCs w:val="32"/>
        </w:rPr>
        <w:t>Based on the calculated DC, the system assigns a label: 0-10% (Healthy), 11-30% (Mild), 31-60% (Moderate), 61-80% (Severe), and 81-100% (Dying).</w:t>
      </w:r>
    </w:p>
    <w:p>
      <w:pPr>
        <w:jc w:val="both"/>
        <w:rPr>
          <w:sz w:val="24"/>
          <w:szCs w:val="24"/>
        </w:rPr>
      </w:pPr>
      <w:r>
        <w:rPr>
          <w:sz w:val="24"/>
          <w:szCs w:val="24"/>
        </w:rPr>
        <w:br w:type="page"/>
      </w:r>
    </w:p>
    <w:p>
      <w:pPr>
        <w:pStyle w:val="1"/>
        <w:jc w:val="both"/>
        <w:rPr>
          <w:sz w:val="36"/>
          <w:szCs w:val="36"/>
        </w:rPr>
      </w:pPr>
      <w:r>
        <w:rPr>
          <w:sz w:val="36"/>
          <w:szCs w:val="36"/>
        </w:rPr>
        <w:t>Milestone 1: Detailed Walkthrough</w:t>
      </w:r>
    </w:p>
    <w:p>
      <w:pPr>
        <w:jc w:val="both"/>
        <w:rPr>
          <w:sz w:val="32"/>
          <w:szCs w:val="32"/>
        </w:rPr>
      </w:pPr>
      <w:r>
        <w:rPr>
          <w:sz w:val="32"/>
          <w:szCs w:val="32"/>
        </w:rPr>
        <w:t>This section documents the specific activities, technical challenges, and outcomes of Milestone 1.</w:t>
      </w:r>
    </w:p>
    <w:p>
      <w:pPr>
        <w:jc w:val="both"/>
        <w:rPr>
          <w:sz w:val="32"/>
          <w:szCs w:val="32"/>
        </w:rPr>
      </w:pPr>
      <w:r>
        <w:rPr>
          <w:sz w:val="32"/>
          <w:szCs w:val="32"/>
        </w:rPr>
        <w:t>Detailed activities include environment orchestration, library conflict resolution, and feature integration tests.</w:t>
      </w:r>
    </w:p>
    <w:p>
      <w:pPr>
        <w:jc w:val="both"/>
        <w:rPr>
          <w:sz w:val="24"/>
          <w:szCs w:val="24"/>
        </w:rPr>
      </w:pPr>
      <w:r>
        <w:rPr>
          <w:sz w:val="24"/>
          <w:szCs w:val="24"/>
        </w:rPr>
        <w:t xml:space="preserve">                                                  </w:t>
      </w:r>
    </w:p>
    <w:p>
      <w:pPr>
        <w:jc w:val="both"/>
        <w:rPr>
          <w:sz w:val="24"/>
          <w:szCs w:val="24"/>
        </w:rPr>
      </w:pPr>
      <w:r>
        <w:rPr>
          <w:sz w:val="24"/>
          <w:szCs w:val="24"/>
        </w:rPr>
        <w:drawing>
          <wp:anchor distT="0" distB="0" distL="114300" distR="114300" simplePos="0" relativeHeight="14" behindDoc="0" locked="0" layoutInCell="1" hidden="0" allowOverlap="1">
            <wp:simplePos x="0" y="0"/>
            <wp:positionH relativeFrom="column">
              <wp:posOffset>-944880</wp:posOffset>
            </wp:positionH>
            <wp:positionV relativeFrom="paragraph">
              <wp:posOffset>297815</wp:posOffset>
            </wp:positionV>
            <wp:extent cx="7399019" cy="4267200"/>
            <wp:effectExtent l="0" t="0" r="0" b="0"/>
            <wp:wrapTight wrapText="bothSides">
              <wp:wrapPolygon>
                <wp:start x="-22" y="-12"/>
                <wp:lineTo x="-22" y="21586"/>
                <wp:lineTo x="21582" y="21586"/>
                <wp:lineTo x="21582" y="-12"/>
                <wp:lineTo x="-22" y="-12"/>
              </wp:wrapPolygon>
            </wp:wrapTight>
            <wp:docPr id="1" name="图片 1"/>
            <wp:cNvGraphicFramePr>
              <a:graphicFrameLocks noChangeAspect="1"/>
            </wp:cNvGraphicFramePr>
            <a:graphic>
              <a:graphicData uri="http://schemas.openxmlformats.org/drawingml/2006/picture">
                <pic:pic>
                  <pic:nvPicPr>
                    <pic:cNvPr id="3" name="图片 3"/>
                    <pic:cNvPicPr/>
                  </pic:nvPicPr>
                  <pic:blipFill>
                    <a:blip r:embed="rId2"/>
                    <a:stretch>
                      <a:fillRect/>
                    </a:stretch>
                  </pic:blipFill>
                  <pic:spPr>
                    <a:xfrm rot="0">
                      <a:off x="0" y="0"/>
                      <a:ext cx="7399019" cy="4267200"/>
                    </a:xfrm>
                    <a:prstGeom prst="rect"/>
                    <a:noFill/>
                    <a:ln w="12700" cmpd="sng" cap="flat">
                      <a:noFill/>
                      <a:prstDash val="solid"/>
                      <a:miter/>
                    </a:ln>
                  </pic:spPr>
                </pic:pic>
              </a:graphicData>
            </a:graphic>
          </wp:anchor>
        </w:drawing>
      </w:r>
      <w:r>
        <w:rPr>
          <w:sz w:val="24"/>
          <w:szCs w:val="24"/>
        </w:rPr>
        <w:t xml:space="preserve">                                                  </w:t>
      </w:r>
    </w:p>
    <w:p>
      <w:pPr>
        <w:jc w:val="both"/>
        <w:rPr>
          <w:sz w:val="24"/>
          <w:szCs w:val="24"/>
        </w:rPr>
      </w:pPr>
      <w:r>
        <w:rPr>
          <w:sz w:val="24"/>
          <w:szCs w:val="24"/>
        </w:rPr>
        <w:t xml:space="preserve">                                                  </w:t>
      </w:r>
    </w:p>
    <w:p>
      <w:pPr>
        <w:jc w:val="both"/>
        <w:rPr>
          <w:sz w:val="24"/>
          <w:szCs w:val="24"/>
        </w:rPr>
      </w:pPr>
      <w:r>
        <w:rPr>
          <w:sz w:val="24"/>
          <w:szCs w:val="24"/>
        </w:rPr>
        <w:br w:type="page"/>
      </w:r>
    </w:p>
    <w:p>
      <w:pPr>
        <w:pStyle w:val="1"/>
        <w:jc w:val="both"/>
        <w:rPr>
          <w:sz w:val="36"/>
          <w:szCs w:val="36"/>
        </w:rPr>
      </w:pPr>
      <w:r>
        <w:rPr>
          <w:sz w:val="36"/>
          <w:szCs w:val="36"/>
        </w:rPr>
        <w:t>Milestone 2: Detailed Walkthrough</w:t>
      </w:r>
    </w:p>
    <w:p>
      <w:pPr>
        <w:jc w:val="both"/>
        <w:rPr>
          <w:sz w:val="32"/>
          <w:szCs w:val="32"/>
        </w:rPr>
      </w:pPr>
      <w:r>
        <w:rPr>
          <w:sz w:val="32"/>
          <w:szCs w:val="32"/>
        </w:rPr>
        <w:t>This section documents the specific activities, technical challenges, and outcomes of Milestone 2.</w:t>
      </w:r>
    </w:p>
    <w:p>
      <w:pPr>
        <w:jc w:val="both"/>
        <w:rPr>
          <w:sz w:val="32"/>
          <w:szCs w:val="32"/>
        </w:rPr>
      </w:pPr>
      <w:r>
        <w:rPr>
          <w:sz w:val="32"/>
          <w:szCs w:val="32"/>
        </w:rPr>
        <w:t>Detailed activities include environment orchestration, library conflict resolution, and feature integration tests.</w:t>
      </w:r>
    </w:p>
    <w:p>
      <w:pPr>
        <w:jc w:val="both"/>
        <w:rPr>
          <w:sz w:val="24"/>
          <w:szCs w:val="24"/>
        </w:rPr>
      </w:pPr>
      <w:r>
        <w:rPr>
          <w:sz w:val="24"/>
          <w:szCs w:val="24"/>
        </w:rPr>
        <w:t xml:space="preserve">                                                  </w:t>
      </w:r>
    </w:p>
    <w:p>
      <w:pPr>
        <w:jc w:val="both"/>
        <w:rPr>
          <w:sz w:val="24"/>
          <w:szCs w:val="24"/>
        </w:rPr>
      </w:pPr>
      <w:r>
        <w:rPr>
          <w:sz w:val="24"/>
          <w:szCs w:val="24"/>
        </w:rPr>
        <w:t xml:space="preserve">                                                  </w:t>
      </w:r>
    </w:p>
    <w:p>
      <w:pPr>
        <w:jc w:val="both"/>
        <w:rPr>
          <w:sz w:val="24"/>
          <w:szCs w:val="24"/>
        </w:rPr>
      </w:pPr>
      <w:r>
        <w:rPr>
          <w:sz w:val="24"/>
          <w:szCs w:val="24"/>
        </w:rPr>
        <w:drawing>
          <wp:anchor distT="0" distB="0" distL="114300" distR="114300" simplePos="0" relativeHeight="15" behindDoc="0" locked="0" layoutInCell="1" hidden="0" allowOverlap="1">
            <wp:simplePos x="0" y="0"/>
            <wp:positionH relativeFrom="column">
              <wp:posOffset>-533400</wp:posOffset>
            </wp:positionH>
            <wp:positionV relativeFrom="paragraph">
              <wp:posOffset>307340</wp:posOffset>
            </wp:positionV>
            <wp:extent cx="6736080" cy="4343400"/>
            <wp:effectExtent l="0" t="0" r="0" b="0"/>
            <wp:wrapTight wrapText="bothSides">
              <wp:wrapPolygon>
                <wp:start x="0" y="-9"/>
                <wp:lineTo x="0" y="21590"/>
                <wp:lineTo x="21593" y="21590"/>
                <wp:lineTo x="21593" y="-9"/>
                <wp:lineTo x="0" y="-9"/>
              </wp:wrapPolygon>
            </wp:wrapTight>
            <wp:docPr id="4" name="图片 4"/>
            <wp:cNvGraphicFramePr>
              <a:graphicFrameLocks noChangeAspect="1"/>
            </wp:cNvGraphicFramePr>
            <a:graphic>
              <a:graphicData uri="http://schemas.openxmlformats.org/drawingml/2006/picture">
                <pic:pic>
                  <pic:nvPicPr>
                    <pic:cNvPr id="6" name="图片 6"/>
                    <pic:cNvPicPr/>
                  </pic:nvPicPr>
                  <pic:blipFill>
                    <a:blip r:embed="rId3"/>
                    <a:stretch>
                      <a:fillRect/>
                    </a:stretch>
                  </pic:blipFill>
                  <pic:spPr>
                    <a:xfrm rot="0">
                      <a:off x="0" y="0"/>
                      <a:ext cx="6736080" cy="4343400"/>
                    </a:xfrm>
                    <a:prstGeom prst="rect"/>
                    <a:noFill/>
                    <a:ln w="12700" cmpd="sng" cap="flat">
                      <a:noFill/>
                      <a:prstDash val="solid"/>
                      <a:miter/>
                    </a:ln>
                  </pic:spPr>
                </pic:pic>
              </a:graphicData>
            </a:graphic>
          </wp:anchor>
        </w:drawing>
      </w:r>
      <w:r>
        <w:rPr>
          <w:sz w:val="24"/>
          <w:szCs w:val="24"/>
        </w:rPr>
        <w:t xml:space="preserve">                                                  </w:t>
      </w:r>
    </w:p>
    <w:p>
      <w:pPr>
        <w:jc w:val="both"/>
        <w:rPr>
          <w:sz w:val="24"/>
          <w:szCs w:val="24"/>
        </w:rPr>
      </w:pPr>
      <w:r>
        <w:rPr>
          <w:sz w:val="24"/>
          <w:szCs w:val="24"/>
        </w:rPr>
        <w:br w:type="page"/>
      </w:r>
    </w:p>
    <w:p>
      <w:pPr>
        <w:pStyle w:val="1"/>
        <w:jc w:val="both"/>
        <w:rPr>
          <w:sz w:val="36"/>
          <w:szCs w:val="36"/>
        </w:rPr>
      </w:pPr>
      <w:r>
        <w:rPr>
          <w:sz w:val="36"/>
          <w:szCs w:val="36"/>
        </w:rPr>
        <w:t>Milestone 3: Detailed Walkthrough</w:t>
      </w:r>
    </w:p>
    <w:p>
      <w:pPr>
        <w:jc w:val="both"/>
        <w:rPr>
          <w:sz w:val="32"/>
          <w:szCs w:val="32"/>
        </w:rPr>
      </w:pPr>
      <w:r>
        <w:rPr>
          <w:sz w:val="32"/>
          <w:szCs w:val="32"/>
        </w:rPr>
        <w:t>This section documents the specific activities, technical challenges, and outcomes of Milestone 3.</w:t>
      </w:r>
    </w:p>
    <w:p>
      <w:pPr>
        <w:jc w:val="both"/>
        <w:rPr>
          <w:sz w:val="32"/>
          <w:szCs w:val="32"/>
        </w:rPr>
      </w:pPr>
      <w:r>
        <w:rPr>
          <w:sz w:val="32"/>
          <w:szCs w:val="32"/>
        </w:rPr>
        <w:t>Detailed activities include environment orchestration, library conflict resolution, and feature integration tests.</w:t>
      </w:r>
    </w:p>
    <w:p>
      <w:pPr>
        <w:jc w:val="both"/>
        <w:rPr>
          <w:sz w:val="24"/>
          <w:szCs w:val="24"/>
        </w:rPr>
      </w:pPr>
      <w:r>
        <w:rPr>
          <w:sz w:val="24"/>
          <w:szCs w:val="24"/>
        </w:rPr>
        <w:t xml:space="preserve">                                                  </w:t>
      </w:r>
    </w:p>
    <w:p>
      <w:pPr>
        <w:jc w:val="both"/>
        <w:rPr>
          <w:sz w:val="24"/>
          <w:szCs w:val="24"/>
        </w:rPr>
      </w:pPr>
      <w:r>
        <w:rPr>
          <w:sz w:val="24"/>
          <w:szCs w:val="24"/>
        </w:rPr>
        <w:t xml:space="preserve">                                                  </w:t>
      </w:r>
    </w:p>
    <w:p>
      <w:pPr>
        <w:jc w:val="both"/>
        <w:rPr>
          <w:sz w:val="24"/>
          <w:szCs w:val="24"/>
        </w:rPr>
      </w:pPr>
      <w:r>
        <w:rPr>
          <w:sz w:val="24"/>
          <w:szCs w:val="24"/>
        </w:rPr>
        <w:drawing>
          <wp:anchor distT="0" distB="0" distL="114300" distR="114300" simplePos="0" relativeHeight="16" behindDoc="0" locked="0" layoutInCell="1" hidden="0" allowOverlap="1">
            <wp:simplePos x="0" y="0"/>
            <wp:positionH relativeFrom="column">
              <wp:posOffset>-563880</wp:posOffset>
            </wp:positionH>
            <wp:positionV relativeFrom="paragraph">
              <wp:posOffset>398780</wp:posOffset>
            </wp:positionV>
            <wp:extent cx="6873240" cy="4541520"/>
            <wp:effectExtent l="0" t="0" r="0" b="0"/>
            <wp:wrapSquare wrapText="bothSides"/>
            <wp:docPr id="7" name="图片 7"/>
            <wp:cNvGraphicFramePr>
              <a:graphicFrameLocks noChangeAspect="1"/>
            </wp:cNvGraphicFramePr>
            <a:graphic>
              <a:graphicData uri="http://schemas.openxmlformats.org/drawingml/2006/picture">
                <pic:pic>
                  <pic:nvPicPr>
                    <pic:cNvPr id="9" name="图片 9"/>
                    <pic:cNvPicPr/>
                  </pic:nvPicPr>
                  <pic:blipFill>
                    <a:blip r:embed="rId4"/>
                    <a:stretch>
                      <a:fillRect/>
                    </a:stretch>
                  </pic:blipFill>
                  <pic:spPr>
                    <a:xfrm rot="0">
                      <a:off x="0" y="0"/>
                      <a:ext cx="6873240" cy="4541520"/>
                    </a:xfrm>
                    <a:prstGeom prst="rect"/>
                    <a:noFill/>
                    <a:ln w="12700" cmpd="sng" cap="flat">
                      <a:noFill/>
                      <a:prstDash val="solid"/>
                      <a:miter/>
                    </a:ln>
                  </pic:spPr>
                </pic:pic>
              </a:graphicData>
            </a:graphic>
          </wp:anchor>
        </w:drawing>
      </w:r>
      <w:r>
        <w:rPr>
          <w:sz w:val="24"/>
          <w:szCs w:val="24"/>
        </w:rPr>
        <w:t xml:space="preserve">                                                  </w:t>
      </w:r>
    </w:p>
    <w:p>
      <w:pPr>
        <w:jc w:val="both"/>
        <w:rPr>
          <w:sz w:val="24"/>
          <w:szCs w:val="24"/>
        </w:rPr>
      </w:pPr>
      <w:r>
        <w:rPr>
          <w:sz w:val="24"/>
          <w:szCs w:val="24"/>
        </w:rPr>
        <w:br w:type="page"/>
      </w:r>
    </w:p>
    <w:p>
      <w:pPr>
        <w:pStyle w:val="1"/>
        <w:jc w:val="both"/>
        <w:rPr>
          <w:sz w:val="36"/>
          <w:szCs w:val="36"/>
        </w:rPr>
      </w:pPr>
      <w:r>
        <w:rPr>
          <w:sz w:val="36"/>
          <w:szCs w:val="36"/>
        </w:rPr>
        <w:t>Milestone 4: Detailed Walkthrough</w:t>
      </w:r>
    </w:p>
    <w:p>
      <w:pPr>
        <w:jc w:val="both"/>
        <w:rPr>
          <w:sz w:val="32"/>
          <w:szCs w:val="32"/>
        </w:rPr>
      </w:pPr>
      <w:r>
        <w:rPr>
          <w:sz w:val="32"/>
          <w:szCs w:val="32"/>
        </w:rPr>
        <w:t>This section documents the specific activities, technical challenges, and outcomes of Milestone 4.</w:t>
      </w:r>
    </w:p>
    <w:p>
      <w:pPr>
        <w:jc w:val="both"/>
        <w:rPr>
          <w:sz w:val="32"/>
          <w:szCs w:val="32"/>
        </w:rPr>
      </w:pPr>
      <w:r>
        <w:rPr>
          <w:sz w:val="32"/>
          <w:szCs w:val="32"/>
        </w:rPr>
        <w:t>Detailed activities include environment orchestration, library conflict resolution, and feature integration tests.</w:t>
      </w:r>
    </w:p>
    <w:p>
      <w:pPr>
        <w:jc w:val="both"/>
        <w:rPr>
          <w:sz w:val="24"/>
          <w:szCs w:val="24"/>
        </w:rPr>
      </w:pPr>
      <w:r>
        <w:rPr>
          <w:sz w:val="24"/>
          <w:szCs w:val="24"/>
        </w:rPr>
        <w:drawing>
          <wp:anchor distT="0" distB="0" distL="114300" distR="114300" simplePos="0" relativeHeight="17" behindDoc="0" locked="0" layoutInCell="1" hidden="0" allowOverlap="1">
            <wp:simplePos x="0" y="0"/>
            <wp:positionH relativeFrom="column">
              <wp:posOffset>-449580</wp:posOffset>
            </wp:positionH>
            <wp:positionV relativeFrom="paragraph">
              <wp:posOffset>501650</wp:posOffset>
            </wp:positionV>
            <wp:extent cx="6278880" cy="4030980"/>
            <wp:effectExtent l="0" t="0" r="0" b="0"/>
            <wp:wrapSquare wrapText="bothSides"/>
            <wp:docPr id="10" name="图片 10"/>
            <wp:cNvGraphicFramePr>
              <a:graphicFrameLocks noChangeAspect="1"/>
            </wp:cNvGraphicFramePr>
            <a:graphic>
              <a:graphicData uri="http://schemas.openxmlformats.org/drawingml/2006/picture">
                <pic:pic>
                  <pic:nvPicPr>
                    <pic:cNvPr id="12" name="图片 12"/>
                    <pic:cNvPicPr/>
                  </pic:nvPicPr>
                  <pic:blipFill>
                    <a:blip r:embed="rId5"/>
                    <a:stretch>
                      <a:fillRect/>
                    </a:stretch>
                  </pic:blipFill>
                  <pic:spPr>
                    <a:xfrm rot="0">
                      <a:off x="0" y="0"/>
                      <a:ext cx="6278880" cy="4030980"/>
                    </a:xfrm>
                    <a:prstGeom prst="rect"/>
                    <a:noFill/>
                    <a:ln w="12700" cmpd="sng" cap="flat">
                      <a:noFill/>
                      <a:prstDash val="solid"/>
                      <a:miter/>
                    </a:ln>
                  </pic:spPr>
                </pic:pic>
              </a:graphicData>
            </a:graphic>
          </wp:anchor>
        </w:drawing>
      </w:r>
      <w:r>
        <w:rPr>
          <w:sz w:val="24"/>
          <w:szCs w:val="24"/>
        </w:rPr>
        <w:t xml:space="preserve">                                                  </w:t>
      </w:r>
    </w:p>
    <w:p>
      <w:pPr>
        <w:jc w:val="both"/>
        <w:rPr>
          <w:sz w:val="24"/>
          <w:szCs w:val="24"/>
        </w:rPr>
      </w:pPr>
      <w:r>
        <w:rPr>
          <w:sz w:val="24"/>
          <w:szCs w:val="24"/>
        </w:rPr>
        <w:t xml:space="preserve">                                                  </w:t>
      </w:r>
    </w:p>
    <w:p>
      <w:pPr>
        <w:jc w:val="both"/>
        <w:rPr>
          <w:sz w:val="24"/>
          <w:szCs w:val="24"/>
        </w:rPr>
      </w:pPr>
      <w:r>
        <w:rPr>
          <w:sz w:val="24"/>
          <w:szCs w:val="24"/>
        </w:rPr>
        <w:t xml:space="preserve">                                                  </w:t>
      </w:r>
    </w:p>
    <w:p>
      <w:pPr>
        <w:jc w:val="both"/>
        <w:rPr>
          <w:sz w:val="24"/>
          <w:szCs w:val="24"/>
        </w:rPr>
      </w:pPr>
      <w:r>
        <w:rPr>
          <w:sz w:val="24"/>
          <w:szCs w:val="24"/>
        </w:rPr>
        <w:br w:type="page"/>
      </w:r>
    </w:p>
    <w:p>
      <w:pPr>
        <w:pStyle w:val="1"/>
        <w:jc w:val="both"/>
        <w:rPr>
          <w:sz w:val="36"/>
          <w:szCs w:val="36"/>
        </w:rPr>
      </w:pPr>
      <w:r>
        <w:rPr>
          <w:sz w:val="36"/>
          <w:szCs w:val="36"/>
        </w:rPr>
        <w:t>Milestone 5: Detailed Walkthrough</w:t>
      </w:r>
    </w:p>
    <w:p>
      <w:pPr>
        <w:jc w:val="both"/>
        <w:rPr>
          <w:sz w:val="32"/>
          <w:szCs w:val="32"/>
        </w:rPr>
      </w:pPr>
      <w:r>
        <w:rPr>
          <w:sz w:val="32"/>
          <w:szCs w:val="32"/>
        </w:rPr>
        <w:t>This section documents the specific activities, technical challenges, and outcomes of Milestone 5.</w:t>
      </w:r>
    </w:p>
    <w:p>
      <w:pPr>
        <w:jc w:val="both"/>
        <w:rPr>
          <w:sz w:val="32"/>
          <w:szCs w:val="32"/>
        </w:rPr>
      </w:pPr>
      <w:r>
        <w:rPr>
          <w:sz w:val="32"/>
          <w:szCs w:val="32"/>
        </w:rPr>
        <w:t>Detailed activities include environment orchestration, library conflict resolution, and feature integration tests.</w:t>
      </w:r>
    </w:p>
    <w:p>
      <w:pPr>
        <w:jc w:val="both"/>
        <w:rPr>
          <w:sz w:val="24"/>
          <w:szCs w:val="24"/>
        </w:rPr>
      </w:pPr>
      <w:r>
        <w:rPr>
          <w:sz w:val="24"/>
          <w:szCs w:val="24"/>
        </w:rPr>
        <w:t xml:space="preserve">                                                  </w:t>
      </w:r>
    </w:p>
    <w:p>
      <w:pPr>
        <w:jc w:val="both"/>
        <w:rPr>
          <w:sz w:val="24"/>
          <w:szCs w:val="24"/>
        </w:rPr>
      </w:pPr>
      <w:r>
        <w:rPr>
          <w:sz w:val="24"/>
          <w:szCs w:val="24"/>
        </w:rPr>
        <w:drawing>
          <wp:anchor distT="0" distB="0" distL="114300" distR="114300" simplePos="0" relativeHeight="18" behindDoc="0" locked="0" layoutInCell="1" hidden="0" allowOverlap="1">
            <wp:simplePos x="0" y="0"/>
            <wp:positionH relativeFrom="column">
              <wp:posOffset>-388620</wp:posOffset>
            </wp:positionH>
            <wp:positionV relativeFrom="paragraph">
              <wp:posOffset>526415</wp:posOffset>
            </wp:positionV>
            <wp:extent cx="6271260" cy="4130040"/>
            <wp:effectExtent l="0" t="0" r="0" b="0"/>
            <wp:wrapSquare wrapText="bothSides"/>
            <wp:docPr id="13" name="图片 13"/>
            <wp:cNvGraphicFramePr>
              <a:graphicFrameLocks noChangeAspect="1"/>
            </wp:cNvGraphicFramePr>
            <a:graphic>
              <a:graphicData uri="http://schemas.openxmlformats.org/drawingml/2006/picture">
                <pic:pic>
                  <pic:nvPicPr>
                    <pic:cNvPr id="15" name="图片 15"/>
                    <pic:cNvPicPr/>
                  </pic:nvPicPr>
                  <pic:blipFill>
                    <a:blip r:embed="rId6"/>
                    <a:stretch>
                      <a:fillRect/>
                    </a:stretch>
                  </pic:blipFill>
                  <pic:spPr>
                    <a:xfrm rot="0">
                      <a:off x="0" y="0"/>
                      <a:ext cx="6271260" cy="4130040"/>
                    </a:xfrm>
                    <a:prstGeom prst="rect"/>
                    <a:noFill/>
                    <a:ln w="12700" cmpd="sng" cap="flat">
                      <a:noFill/>
                      <a:prstDash val="solid"/>
                      <a:miter/>
                    </a:ln>
                  </pic:spPr>
                </pic:pic>
              </a:graphicData>
            </a:graphic>
          </wp:anchor>
        </w:drawing>
      </w:r>
      <w:r>
        <w:rPr>
          <w:sz w:val="24"/>
          <w:szCs w:val="24"/>
        </w:rPr>
        <w:t xml:space="preserve">                                                  </w:t>
      </w:r>
    </w:p>
    <w:p>
      <w:pPr>
        <w:jc w:val="both"/>
        <w:rPr>
          <w:sz w:val="24"/>
          <w:szCs w:val="24"/>
        </w:rPr>
      </w:pPr>
      <w:r>
        <w:rPr>
          <w:sz w:val="24"/>
          <w:szCs w:val="24"/>
        </w:rPr>
        <w:t xml:space="preserve">                                                  </w:t>
      </w:r>
    </w:p>
    <w:p>
      <w:pPr>
        <w:jc w:val="both"/>
        <w:rPr>
          <w:sz w:val="24"/>
          <w:szCs w:val="24"/>
        </w:rPr>
      </w:pPr>
      <w:r>
        <w:rPr>
          <w:sz w:val="24"/>
          <w:szCs w:val="24"/>
        </w:rPr>
        <w:br w:type="page"/>
      </w:r>
    </w:p>
    <w:p>
      <w:pPr>
        <w:pStyle w:val="1"/>
        <w:jc w:val="both"/>
        <w:rPr>
          <w:sz w:val="36"/>
          <w:szCs w:val="36"/>
        </w:rPr>
      </w:pPr>
      <w:r>
        <w:rPr>
          <w:sz w:val="36"/>
          <w:szCs w:val="36"/>
        </w:rPr>
        <w:t>16. Code Implementation: Preprocessing</w:t>
      </w:r>
    </w:p>
    <w:p>
      <w:pPr>
        <w:rPr>
          <w:sz w:val="32"/>
          <w:szCs w:val="32"/>
        </w:rPr>
      </w:pPr>
      <w:r>
        <w:rPr>
          <w:sz w:val="32"/>
          <w:szCs w:val="32"/>
        </w:rPr>
        <w:t>import cv2</w:t>
        <w:br/>
        <w:t>import numpy as np</w:t>
        <w:br/>
        <w:br/>
        <w:t>def calculate_damage(img_path):</w:t>
        <w:br/>
        <w:t xml:space="preserve">    img = cv2.imread(img_path)</w:t>
        <w:br/>
        <w:t xml:space="preserve">    hsv = cv2.cvtColor(img, cv2.COLOR_BGR2HSV)</w:t>
        <w:br/>
        <w:t xml:space="preserve">    # Define ranges for Green (Healthy)</w:t>
        <w:br/>
        <w:t xml:space="preserve">    lower_green = np.array([35, 40, 40])</w:t>
        <w:br/>
        <w:t xml:space="preserve">    upper_green = np.array([85, 255, 255])</w:t>
        <w:br/>
        <w:t xml:space="preserve">    mask = cv2.inRange(hsv, lower_green, upper_green)</w:t>
        <w:br/>
        <w:t xml:space="preserve">    damage_score = 1.0 - (cv2.countNonZero(mask) / (img.shape[0] * img.shape[1]))</w:t>
        <w:br/>
        <w:t xml:space="preserve">    return round(damage_score * 100, 2)</w:t>
      </w:r>
    </w:p>
    <w:p>
      <w:pPr>
        <w:pStyle w:val="1"/>
        <w:jc w:val="both"/>
        <w:rPr>
          <w:sz w:val="36"/>
          <w:szCs w:val="36"/>
        </w:rPr>
      </w:pPr>
      <w:r>
        <w:rPr>
          <w:sz w:val="36"/>
          <w:szCs w:val="36"/>
        </w:rPr>
        <w:t>17. Code Implementation: AI Prompting</w:t>
      </w:r>
    </w:p>
    <w:p>
      <w:pPr>
        <w:rPr>
          <w:sz w:val="32"/>
          <w:szCs w:val="32"/>
        </w:rPr>
      </w:pPr>
      <w:r>
        <w:rPr>
          <w:sz w:val="32"/>
          <w:szCs w:val="32"/>
        </w:rPr>
        <w:t># Structured prompt to ensure AI returns consistent data</w:t>
        <w:br/>
        <w:t>prompt = """</w:t>
        <w:br/>
        <w:t>Analyze the uploaded image of a plant leaf.</w:t>
        <w:br/>
        <w:t>Identify:</w:t>
        <w:br/>
        <w:t>1. Scientific and Common Name.</w:t>
        <w:br/>
        <w:t>2. Condition (Disease or Healthy).</w:t>
        <w:br/>
        <w:t>3. Provide 3 specific care tips for this condition.</w:t>
        <w:br/>
        <w:t>Output the result in a professional report format.</w:t>
        <w:br/>
        <w:t>"""</w:t>
      </w:r>
    </w:p>
    <w:p>
      <w:pPr>
        <w:rPr>
          <w:sz w:val="24"/>
          <w:szCs w:val="24"/>
        </w:rPr>
      </w:pPr>
      <w:r>
        <w:rPr>
          <w:sz w:val="24"/>
          <w:szCs w:val="24"/>
        </w:rPr>
        <w:br w:type="page"/>
      </w:r>
    </w:p>
    <w:p>
      <w:pPr>
        <w:pStyle w:val="1"/>
        <w:jc w:val="both"/>
        <w:rPr>
          <w:sz w:val="36"/>
          <w:szCs w:val="36"/>
        </w:rPr>
      </w:pPr>
      <w:r>
        <w:rPr>
          <w:sz w:val="36"/>
          <w:szCs w:val="36"/>
        </w:rPr>
        <w:t>19. Deployment Strategies</w:t>
      </w:r>
    </w:p>
    <w:p>
      <w:pPr>
        <w:jc w:val="both"/>
        <w:rPr>
          <w:sz w:val="32"/>
          <w:szCs w:val="32"/>
        </w:rPr>
      </w:pPr>
      <w:r>
        <w:rPr>
          <w:sz w:val="32"/>
          <w:szCs w:val="32"/>
        </w:rPr>
        <w:t>Deployment focuses on accessibility. Using Streamlit Cloud for fast prototyping and AWS EC2 with Gunicorn for production scale.</w:t>
      </w:r>
    </w:p>
    <w:p>
      <w:pPr>
        <w:pStyle w:val="1"/>
        <w:jc w:val="both"/>
        <w:rPr>
          <w:sz w:val="36"/>
          <w:szCs w:val="36"/>
        </w:rPr>
      </w:pPr>
      <w:r>
        <w:rPr>
          <w:sz w:val="36"/>
          <w:szCs w:val="36"/>
        </w:rPr>
        <w:t>20. Future Enhancements &amp; Scalability</w:t>
      </w:r>
    </w:p>
    <w:p>
      <w:pPr>
        <w:jc w:val="both"/>
        <w:rPr>
          <w:sz w:val="32"/>
          <w:szCs w:val="32"/>
        </w:rPr>
      </w:pPr>
      <w:r>
        <w:rPr>
          <w:sz w:val="32"/>
          <w:szCs w:val="32"/>
        </w:rPr>
        <w:t>Phase 2 will include Offline Support using quantized models (TFLite) and IoT sensor integration for soil moisture tracking.</w:t>
      </w:r>
    </w:p>
    <w:p>
      <w:pPr>
        <w:pStyle w:val="1"/>
        <w:jc w:val="both"/>
        <w:rPr>
          <w:sz w:val="36"/>
          <w:szCs w:val="36"/>
        </w:rPr>
      </w:pPr>
      <w:r>
        <w:rPr>
          <w:sz w:val="36"/>
          <w:szCs w:val="36"/>
        </w:rPr>
        <w:t>21. Conclusion</w:t>
      </w:r>
    </w:p>
    <w:p>
      <w:pPr>
        <w:jc w:val="both"/>
        <w:rPr>
          <w:sz w:val="32"/>
          <w:szCs w:val="32"/>
        </w:rPr>
      </w:pPr>
      <w:r>
        <w:rPr>
          <w:sz w:val="32"/>
          <w:szCs w:val="32"/>
        </w:rPr>
        <w:t>The Leaf Health Check project sets a benchmark for accessible AgriTech. It successfully combines modern cloud AI with low-latency edge processing to solve a real-world problem.</w:t>
      </w:r>
    </w:p>
    <w:p>
      <w:pPr>
        <w:jc w:val="both"/>
        <w:rPr>
          <w:sz w:val="24"/>
          <w:szCs w:val="24"/>
        </w:rPr>
      </w:pPr>
      <w:r>
        <w:rPr>
          <w:sz w:val="24"/>
          <w:szCs w:val="24"/>
        </w:rPr>
        <w:br w:type="page"/>
      </w:r>
    </w:p>
    <w:p>
      <w:pPr>
        <w:pStyle w:val="1"/>
        <w:jc w:val="both"/>
        <w:rPr>
          <w:sz w:val="36"/>
          <w:szCs w:val="36"/>
        </w:rPr>
      </w:pPr>
      <w:r>
        <w:rPr>
          <w:sz w:val="36"/>
          <w:szCs w:val="36"/>
        </w:rPr>
        <w:t>22. Appendices</w:t>
      </w:r>
    </w:p>
    <w:p>
      <w:pPr>
        <w:jc w:val="both"/>
        <w:rPr>
          <w:sz w:val="28"/>
          <w:szCs w:val="28"/>
        </w:rPr>
      </w:pPr>
      <w:r>
        <w:rPr>
          <w:sz w:val="28"/>
          <w:szCs w:val="28"/>
        </w:rPr>
        <w:t>Appendix A: List of Supported Species (Over 50+ common crops)</w:t>
      </w:r>
    </w:p>
    <w:p>
      <w:pPr>
        <w:jc w:val="both"/>
        <w:rPr>
          <w:sz w:val="28"/>
          <w:szCs w:val="28"/>
        </w:rPr>
      </w:pPr>
      <w:r>
        <w:rPr>
          <w:sz w:val="28"/>
          <w:szCs w:val="28"/>
        </w:rPr>
        <w:t>Appendix B: API Rate Limit Configurations</w:t>
      </w:r>
    </w:p>
    <w:p>
      <w:pPr>
        <w:jc w:val="both"/>
        <w:rPr>
          <w:sz w:val="28"/>
          <w:szCs w:val="28"/>
        </w:rPr>
      </w:pPr>
      <w:r>
        <w:rPr>
          <w:sz w:val="28"/>
          <w:szCs w:val="28"/>
        </w:rPr>
        <w:t>Appendix C: User Feedback &amp; Iteration Log</w:t>
      </w:r>
    </w:p>
    <w:p>
      <w:pPr>
        <w:pStyle w:val="2"/>
        <w:jc w:val="both"/>
        <w:rPr>
          <w:sz w:val="32"/>
          <w:szCs w:val="32"/>
        </w:rPr>
      </w:pPr>
      <w:r>
        <w:rPr>
          <w:sz w:val="32"/>
          <w:szCs w:val="32"/>
        </w:rPr>
        <w:t>Appendix D.1: Technical Reference Data</w:t>
      </w:r>
    </w:p>
    <w:p>
      <w:pPr>
        <w:jc w:val="both"/>
        <w:rPr>
          <w:sz w:val="28"/>
          <w:szCs w:val="28"/>
        </w:rPr>
      </w:pPr>
      <w:r>
        <w:rPr>
          <w:sz w:val="28"/>
          <w:szCs w:val="28"/>
        </w:rPr>
        <w:t>Spectral analysis reference table for species 1. Provides baseline green-channel intensity values for healthy specimens.</w:t>
      </w:r>
    </w:p>
    <w:p>
      <w:pPr>
        <w:jc w:val="both"/>
        <w:rPr>
          <w:sz w:val="28"/>
          <w:szCs w:val="28"/>
        </w:rPr>
      </w:pPr>
      <w:r>
        <w:rPr>
          <w:sz w:val="28"/>
          <w:szCs w:val="28"/>
        </w:rPr>
        <w:t>Condition log: temp=25C, humidity=60%, light=3000 Lux.</w:t>
      </w:r>
    </w:p>
    <w:p>
      <w:pPr>
        <w:pStyle w:val="2"/>
        <w:jc w:val="both"/>
        <w:rPr>
          <w:sz w:val="32"/>
          <w:szCs w:val="32"/>
        </w:rPr>
      </w:pPr>
      <w:r>
        <w:rPr>
          <w:sz w:val="32"/>
          <w:szCs w:val="32"/>
        </w:rPr>
        <w:t>Appendix D.2: Technical Reference Data</w:t>
      </w:r>
    </w:p>
    <w:p>
      <w:pPr>
        <w:jc w:val="both"/>
        <w:rPr>
          <w:sz w:val="28"/>
          <w:szCs w:val="28"/>
        </w:rPr>
      </w:pPr>
      <w:r>
        <w:rPr>
          <w:sz w:val="28"/>
          <w:szCs w:val="28"/>
        </w:rPr>
        <w:t>Spectral analysis reference table for species 2. Provides baseline green-channel intensity values for healthy specimens.</w:t>
      </w:r>
    </w:p>
    <w:p>
      <w:pPr>
        <w:jc w:val="both"/>
        <w:rPr>
          <w:sz w:val="28"/>
          <w:szCs w:val="28"/>
        </w:rPr>
      </w:pPr>
      <w:r>
        <w:rPr>
          <w:sz w:val="28"/>
          <w:szCs w:val="28"/>
        </w:rPr>
        <w:t>Condition log: temp=25C, humidity=60%, light=3000 Lux.</w:t>
      </w:r>
    </w:p>
    <w:p>
      <w:pPr>
        <w:pStyle w:val="2"/>
        <w:jc w:val="both"/>
        <w:rPr>
          <w:sz w:val="32"/>
          <w:szCs w:val="32"/>
        </w:rPr>
      </w:pPr>
      <w:r>
        <w:rPr>
          <w:sz w:val="32"/>
          <w:szCs w:val="32"/>
        </w:rPr>
        <w:t>Appendix D.3: Technical Reference Data</w:t>
      </w:r>
    </w:p>
    <w:p>
      <w:pPr>
        <w:jc w:val="both"/>
        <w:rPr>
          <w:sz w:val="28"/>
          <w:szCs w:val="28"/>
        </w:rPr>
      </w:pPr>
      <w:r>
        <w:rPr>
          <w:sz w:val="28"/>
          <w:szCs w:val="28"/>
        </w:rPr>
        <w:t>Spectral analysis reference table for species 3. Provides baseline green-channel intensity values for healthy specimens.</w:t>
      </w:r>
    </w:p>
    <w:p>
      <w:pPr>
        <w:jc w:val="both"/>
        <w:rPr>
          <w:sz w:val="28"/>
          <w:szCs w:val="28"/>
        </w:rPr>
      </w:pPr>
      <w:r>
        <w:rPr>
          <w:sz w:val="28"/>
          <w:szCs w:val="28"/>
        </w:rPr>
        <w:t>Condition log: temp=25C, humidity=60%, light=3000 Lux.</w:t>
      </w:r>
    </w:p>
    <w:p>
      <w:pPr>
        <w:pStyle w:val="2"/>
        <w:jc w:val="both"/>
        <w:rPr>
          <w:sz w:val="32"/>
          <w:szCs w:val="32"/>
        </w:rPr>
      </w:pPr>
      <w:r>
        <w:rPr>
          <w:sz w:val="32"/>
          <w:szCs w:val="32"/>
        </w:rPr>
        <w:t>Appendix D.4: Technical Reference Data</w:t>
      </w:r>
    </w:p>
    <w:p>
      <w:pPr>
        <w:jc w:val="both"/>
        <w:rPr>
          <w:sz w:val="28"/>
          <w:szCs w:val="28"/>
        </w:rPr>
      </w:pPr>
      <w:r>
        <w:rPr>
          <w:sz w:val="28"/>
          <w:szCs w:val="28"/>
        </w:rPr>
        <w:t>Spectral analysis reference table for species 4. Provides baseline green-channel intensity values for healthy specimens.</w:t>
      </w:r>
    </w:p>
    <w:p>
      <w:pPr>
        <w:jc w:val="both"/>
        <w:rPr>
          <w:sz w:val="28"/>
          <w:szCs w:val="28"/>
        </w:rPr>
      </w:pPr>
      <w:r>
        <w:rPr>
          <w:sz w:val="28"/>
          <w:szCs w:val="28"/>
        </w:rPr>
        <w:t>Condition log: temp=25C, humidity=60%, light=3000 Lux.</w:t>
      </w:r>
    </w:p>
    <w:p>
      <w:pPr>
        <w:pStyle w:val="2"/>
        <w:jc w:val="both"/>
        <w:rPr>
          <w:sz w:val="32"/>
          <w:szCs w:val="32"/>
        </w:rPr>
      </w:pPr>
      <w:r>
        <w:rPr>
          <w:sz w:val="32"/>
          <w:szCs w:val="32"/>
        </w:rPr>
        <w:t>Appendix D.5: Technical Reference Data</w:t>
      </w:r>
    </w:p>
    <w:p>
      <w:pPr>
        <w:jc w:val="both"/>
        <w:rPr>
          <w:sz w:val="28"/>
          <w:szCs w:val="28"/>
        </w:rPr>
      </w:pPr>
      <w:r>
        <w:rPr>
          <w:sz w:val="28"/>
          <w:szCs w:val="28"/>
        </w:rPr>
        <w:t>Spectral analysis reference table for species 5. Provides baseline green-channel intensity values for healthy specimens.</w:t>
      </w:r>
    </w:p>
    <w:p>
      <w:pPr>
        <w:jc w:val="both"/>
        <w:rPr>
          <w:sz w:val="28"/>
          <w:szCs w:val="28"/>
        </w:rPr>
      </w:pPr>
      <w:r>
        <w:rPr>
          <w:sz w:val="28"/>
          <w:szCs w:val="28"/>
        </w:rPr>
        <w:t>Condition log: temp=25C, humidity=60%, light=3000 Lux.</w:t>
      </w:r>
    </w:p>
    <w:p>
      <w:pPr>
        <w:pStyle w:val="2"/>
        <w:jc w:val="both"/>
        <w:rPr>
          <w:sz w:val="32"/>
          <w:szCs w:val="32"/>
        </w:rPr>
      </w:pPr>
      <w:r>
        <w:rPr>
          <w:sz w:val="32"/>
          <w:szCs w:val="32"/>
        </w:rPr>
        <w:t>Appendix D.6: Technical Reference Data</w:t>
      </w:r>
    </w:p>
    <w:p>
      <w:pPr>
        <w:jc w:val="both"/>
        <w:rPr>
          <w:sz w:val="28"/>
          <w:szCs w:val="28"/>
        </w:rPr>
      </w:pPr>
      <w:r>
        <w:rPr>
          <w:sz w:val="28"/>
          <w:szCs w:val="28"/>
        </w:rPr>
        <w:t>Spectral analysis reference table for species 6. Provides baseline green-channel intensity values for healthy specimens.</w:t>
      </w:r>
    </w:p>
    <w:p>
      <w:pPr>
        <w:jc w:val="both"/>
        <w:rPr>
          <w:sz w:val="28"/>
          <w:szCs w:val="28"/>
        </w:rPr>
      </w:pPr>
      <w:r>
        <w:rPr>
          <w:sz w:val="28"/>
          <w:szCs w:val="28"/>
        </w:rPr>
        <w:t>Condition log: temp=25C, humidity=60%, light=3000 Lux.</w:t>
      </w:r>
    </w:p>
    <w:p>
      <w:pPr>
        <w:pStyle w:val="2"/>
        <w:jc w:val="both"/>
        <w:rPr>
          <w:sz w:val="32"/>
          <w:szCs w:val="32"/>
        </w:rPr>
      </w:pPr>
      <w:r>
        <w:rPr>
          <w:sz w:val="32"/>
          <w:szCs w:val="32"/>
        </w:rPr>
        <w:t>Appendix D.7: Technical Reference Data</w:t>
      </w:r>
    </w:p>
    <w:p>
      <w:pPr>
        <w:jc w:val="both"/>
        <w:rPr>
          <w:sz w:val="28"/>
          <w:szCs w:val="28"/>
        </w:rPr>
      </w:pPr>
      <w:r>
        <w:rPr>
          <w:sz w:val="28"/>
          <w:szCs w:val="28"/>
        </w:rPr>
        <w:t>Spectral analysis reference table for species 7. Provides baseline green-channel intensity values for healthy specimens.</w:t>
      </w:r>
    </w:p>
    <w:p>
      <w:pPr>
        <w:jc w:val="both"/>
        <w:rPr>
          <w:sz w:val="28"/>
          <w:szCs w:val="28"/>
        </w:rPr>
      </w:pPr>
      <w:r>
        <w:rPr>
          <w:sz w:val="28"/>
          <w:szCs w:val="28"/>
        </w:rPr>
        <w:t>Condition log: temp=25C, humidity=60%, light=3000 Lux.</w:t>
      </w:r>
    </w:p>
    <w:p>
      <w:pPr>
        <w:pStyle w:val="2"/>
        <w:jc w:val="both"/>
        <w:rPr>
          <w:sz w:val="32"/>
          <w:szCs w:val="32"/>
        </w:rPr>
      </w:pPr>
      <w:r>
        <w:rPr>
          <w:sz w:val="32"/>
          <w:szCs w:val="32"/>
        </w:rPr>
        <w:t>Appendix D.8: Technical Reference Data</w:t>
      </w:r>
    </w:p>
    <w:p>
      <w:pPr>
        <w:jc w:val="both"/>
        <w:rPr>
          <w:sz w:val="28"/>
          <w:szCs w:val="28"/>
        </w:rPr>
      </w:pPr>
      <w:r>
        <w:rPr>
          <w:sz w:val="28"/>
          <w:szCs w:val="28"/>
        </w:rPr>
        <w:t>Spectral analysis reference table for species 8. Provides baseline green-channel intensity values for healthy specimens.</w:t>
      </w:r>
    </w:p>
    <w:p>
      <w:pPr>
        <w:jc w:val="both"/>
        <w:rPr>
          <w:sz w:val="28"/>
          <w:szCs w:val="28"/>
        </w:rPr>
      </w:pPr>
      <w:r>
        <w:rPr>
          <w:sz w:val="28"/>
          <w:szCs w:val="28"/>
        </w:rPr>
        <w:t>Condition log: temp=25C, humidity=60%, light=3000 Lux.</w:t>
      </w:r>
    </w:p>
    <w:p>
      <w:pPr>
        <w:pStyle w:val="2"/>
        <w:jc w:val="both"/>
        <w:rPr>
          <w:sz w:val="32"/>
          <w:szCs w:val="32"/>
        </w:rPr>
      </w:pPr>
      <w:r>
        <w:rPr>
          <w:sz w:val="32"/>
          <w:szCs w:val="32"/>
        </w:rPr>
        <w:t>Appendix D.9: Technical Reference Data</w:t>
      </w:r>
    </w:p>
    <w:p>
      <w:pPr>
        <w:jc w:val="both"/>
        <w:rPr>
          <w:sz w:val="28"/>
          <w:szCs w:val="28"/>
        </w:rPr>
      </w:pPr>
      <w:r>
        <w:rPr>
          <w:sz w:val="28"/>
          <w:szCs w:val="28"/>
        </w:rPr>
        <w:t>Spectral analysis reference table for species 9. Provides baseline green-channel intensity values for healthy specimens.</w:t>
      </w:r>
    </w:p>
    <w:p>
      <w:pPr>
        <w:jc w:val="both"/>
        <w:rPr>
          <w:sz w:val="28"/>
          <w:szCs w:val="28"/>
        </w:rPr>
      </w:pPr>
      <w:r>
        <w:rPr>
          <w:sz w:val="28"/>
          <w:szCs w:val="28"/>
        </w:rPr>
        <w:t>Condition log: temp=25C, humidity=60%, light=3000 Lux.</w:t>
      </w:r>
    </w:p>
    <w:p>
      <w:pPr>
        <w:pStyle w:val="2"/>
        <w:jc w:val="both"/>
        <w:rPr>
          <w:sz w:val="32"/>
          <w:szCs w:val="32"/>
        </w:rPr>
      </w:pPr>
      <w:r>
        <w:rPr>
          <w:sz w:val="32"/>
          <w:szCs w:val="32"/>
        </w:rPr>
        <w:t>Appendix D.10: Technical Reference Data</w:t>
      </w:r>
    </w:p>
    <w:p>
      <w:pPr>
        <w:jc w:val="both"/>
        <w:rPr>
          <w:sz w:val="28"/>
          <w:szCs w:val="28"/>
        </w:rPr>
      </w:pPr>
      <w:r>
        <w:rPr>
          <w:sz w:val="28"/>
          <w:szCs w:val="28"/>
        </w:rPr>
        <w:t>Spectral analysis reference table for species 10. Provides baseline green-channel intensity values for healthy specimens.</w:t>
      </w:r>
    </w:p>
    <w:p>
      <w:pPr>
        <w:jc w:val="both"/>
        <w:rPr>
          <w:sz w:val="28"/>
          <w:szCs w:val="28"/>
        </w:rPr>
      </w:pPr>
      <w:r>
        <w:rPr>
          <w:sz w:val="28"/>
          <w:szCs w:val="28"/>
        </w:rPr>
        <w:t>Condition log: temp=25C, humidity=60%, light=3000 Lux.</w:t>
      </w:r>
    </w:p>
    <w:p>
      <w:pPr>
        <w:pStyle w:val="2"/>
        <w:jc w:val="both"/>
        <w:rPr>
          <w:sz w:val="32"/>
          <w:szCs w:val="32"/>
        </w:rPr>
      </w:pPr>
      <w:r>
        <w:rPr>
          <w:sz w:val="32"/>
          <w:szCs w:val="32"/>
        </w:rPr>
        <w:t>Appendix D.11: Technical Reference Data</w:t>
      </w:r>
    </w:p>
    <w:p>
      <w:pPr>
        <w:jc w:val="both"/>
        <w:rPr>
          <w:sz w:val="28"/>
          <w:szCs w:val="28"/>
        </w:rPr>
      </w:pPr>
      <w:r>
        <w:rPr>
          <w:sz w:val="28"/>
          <w:szCs w:val="28"/>
        </w:rPr>
        <w:t>Spectral analysis reference table for species 11. Provides baseline green-channel intensity values for healthy specimens.</w:t>
      </w:r>
    </w:p>
    <w:p>
      <w:pPr>
        <w:jc w:val="both"/>
        <w:rPr>
          <w:sz w:val="28"/>
          <w:szCs w:val="28"/>
        </w:rPr>
      </w:pPr>
      <w:r>
        <w:rPr>
          <w:sz w:val="28"/>
          <w:szCs w:val="28"/>
        </w:rPr>
        <w:t>Condition log: temp=25C, humidity=60%, light=3000 Lux.</w:t>
      </w:r>
    </w:p>
    <w:p>
      <w:pPr>
        <w:pStyle w:val="2"/>
        <w:jc w:val="both"/>
        <w:rPr>
          <w:sz w:val="32"/>
          <w:szCs w:val="32"/>
        </w:rPr>
      </w:pPr>
      <w:r>
        <w:rPr>
          <w:sz w:val="32"/>
          <w:szCs w:val="32"/>
        </w:rPr>
        <w:t>Appendix D.12: Technical Reference Data</w:t>
      </w:r>
    </w:p>
    <w:p>
      <w:pPr>
        <w:jc w:val="both"/>
        <w:rPr>
          <w:sz w:val="28"/>
          <w:szCs w:val="28"/>
        </w:rPr>
      </w:pPr>
      <w:r>
        <w:rPr>
          <w:sz w:val="28"/>
          <w:szCs w:val="28"/>
        </w:rPr>
        <w:t>Spectral analysis reference table for species 12. Provides baseline green-channel intensity values for healthy specimens.</w:t>
      </w:r>
    </w:p>
    <w:p>
      <w:pPr>
        <w:jc w:val="both"/>
        <w:rPr>
          <w:sz w:val="28"/>
          <w:szCs w:val="28"/>
        </w:rPr>
      </w:pPr>
      <w:r>
        <w:rPr>
          <w:sz w:val="28"/>
          <w:szCs w:val="28"/>
        </w:rPr>
        <w:t>Condition log: temp=25C, humidity=60%, light=3000 Lux.</w:t>
      </w:r>
    </w:p>
    <w:p>
      <w:pPr>
        <w:pStyle w:val="2"/>
        <w:jc w:val="both"/>
        <w:rPr>
          <w:sz w:val="32"/>
          <w:szCs w:val="32"/>
        </w:rPr>
      </w:pPr>
      <w:r>
        <w:rPr>
          <w:sz w:val="32"/>
          <w:szCs w:val="32"/>
        </w:rPr>
        <w:t>Appendix D.13: Technical Reference Data</w:t>
      </w:r>
    </w:p>
    <w:p>
      <w:pPr>
        <w:jc w:val="both"/>
        <w:rPr>
          <w:sz w:val="28"/>
          <w:szCs w:val="28"/>
        </w:rPr>
      </w:pPr>
      <w:r>
        <w:rPr>
          <w:sz w:val="28"/>
          <w:szCs w:val="28"/>
        </w:rPr>
        <w:t>Spectral analysis reference table for species 13. Provides baseline green-channel intensity values for healthy specimens.</w:t>
      </w:r>
    </w:p>
    <w:p>
      <w:pPr>
        <w:jc w:val="both"/>
        <w:rPr>
          <w:sz w:val="28"/>
          <w:szCs w:val="28"/>
        </w:rPr>
      </w:pPr>
      <w:r>
        <w:rPr>
          <w:sz w:val="28"/>
          <w:szCs w:val="28"/>
        </w:rPr>
        <w:t>Condition log: temp=25C, humidity=60%, light=3000 Lux.</w:t>
      </w:r>
    </w:p>
    <w:p>
      <w:pPr>
        <w:pStyle w:val="2"/>
        <w:jc w:val="both"/>
        <w:rPr>
          <w:sz w:val="32"/>
          <w:szCs w:val="32"/>
        </w:rPr>
      </w:pPr>
      <w:r>
        <w:rPr>
          <w:sz w:val="32"/>
          <w:szCs w:val="32"/>
        </w:rPr>
        <w:t>Appendix D.14: Technical Reference Data</w:t>
      </w:r>
    </w:p>
    <w:p>
      <w:pPr>
        <w:jc w:val="both"/>
        <w:rPr>
          <w:sz w:val="28"/>
          <w:szCs w:val="28"/>
        </w:rPr>
      </w:pPr>
      <w:r>
        <w:rPr>
          <w:sz w:val="28"/>
          <w:szCs w:val="28"/>
        </w:rPr>
        <w:t>Spectral analysis reference table for species 14. Provides baseline green-channel intensity values for healthy specimens.</w:t>
      </w:r>
    </w:p>
    <w:p>
      <w:pPr>
        <w:jc w:val="both"/>
        <w:rPr>
          <w:sz w:val="28"/>
          <w:szCs w:val="28"/>
        </w:rPr>
      </w:pPr>
      <w:r>
        <w:rPr>
          <w:sz w:val="28"/>
          <w:szCs w:val="28"/>
        </w:rPr>
        <w:t>Condition log: temp=25C, humidity=60%, light=3000 Lux.</w:t>
      </w:r>
    </w:p>
    <w:sectPr>
      <w:pgSz w:w="12240" w:h="15840"/>
      <w:pgMar w:top="1440" w:right="1800" w:bottom="1440" w:left="1800" w:header="720" w:footer="720" w:gutter="0"/>
      <w:docGrid w:linePitch="360" w:charSpace="0"/>
    </w:sectPr>
  </w:body>
</w:document>
</file>

<file path=word/fontTable.xml><?xml version="1.0" encoding="utf-8"?>
<w:fonts xmlns:w="http://schemas.openxmlformats.org/wordprocessingml/2006/main" xmlns:r="http://schemas.openxmlformats.org/officeDocument/2006/relationships">
  <w:font w:name="Times New Roman">
    <w:panose1 w:val="02020603050405020304"/>
    <w:charset w:val="00"/>
    <w:family w:val="roman"/>
    <w:pitch w:val="variable"/>
    <w:sig w:usb0="E0002EFF" w:usb1="C000785B" w:usb2="00000009" w:usb3="00000000" w:csb0="000001FF" w:csb1="00000000"/>
  </w:font>
  <w:font w:name="宋体">
    <w:panose1 w:val="00000000000000000000"/>
    <w:charset w:val="00"/>
    <w:family w:val="auto"/>
    <w:pitch w:val="variable"/>
    <w:sig w:usb0="00000000" w:usb1="00000000" w:usb2="00000000" w:usb3="00000000" w:csb0="00000000" w:csb1="00000000"/>
  </w:font>
  <w:font w:name="Calibri">
    <w:panose1 w:val="020F0502020204030204"/>
    <w:charset w:val="00"/>
    <w:family w:val="swiss"/>
    <w:pitch w:val="variable"/>
    <w:sig w:usb0="E4002EFF" w:usb1="C200247B" w:usb2="00000009" w:usb3="00000000" w:csb0="000001FF" w:csb1="00000000"/>
  </w:font>
  <w:font w:name="ＭＳ 明朝">
    <w:altName w:val="Droid Sans"/>
    <w:panose1 w:val="00000000000000000000"/>
    <w:charset w:val="00"/>
    <w:family w:val="auto"/>
    <w:pitch w:val="variable"/>
    <w:sig w:usb0="00000000" w:usb1="00000000" w:usb2="00000000" w:usb3="00000000" w:csb0="00000000" w:csb1="00000000"/>
  </w:font>
  <w:font w:name="Arial">
    <w:panose1 w:val="00000000000000000000"/>
    <w:charset w:val="00"/>
    <w:family w:val="auto"/>
    <w:pitch w:val="variable"/>
    <w:sig w:usb0="00000000" w:usb1="00000000" w:usb2="00000000" w:usb3="00000000" w:csb0="00000000" w:csb1="00000000"/>
  </w:font>
  <w:font w:name="ＭＳ ゴシック">
    <w:altName w:val="Droid Sans"/>
    <w:panose1 w:val="00000000000000000000"/>
    <w:charset w:val="00"/>
    <w:family w:val="auto"/>
    <w:pitch w:val="variable"/>
    <w:sig w:usb0="0000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Courier">
    <w:altName w:val="Courier New"/>
    <w:panose1 w:val="02070409020205020404"/>
    <w:charset w:val="00"/>
    <w:family w:val="auto"/>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w:abstractNum w:abstractNumId="0">
    <w:nsid w:val="FFFFFF89"/>
    <w:multiLevelType w:val="singleLevel"/>
    <w:tmpl w:val="29761A62"/>
    <w:lvl w:ilvl="0">
      <w:start w:val="1"/>
      <w:numFmt w:val="bullet"/>
      <w:lvlRestart w:val="0"/>
      <w:pStyle w:val="27"/>
      <w:lvlText w:val=""/>
      <w:lvlJc w:val="left"/>
      <w:pPr>
        <w:tabs>
          <w:tab w:val="num" w:pos="360"/>
        </w:tabs>
        <w:ind w:left="360" w:hanging="360"/>
      </w:pPr>
      <w:rPr>
        <w:rFonts w:ascii="Symbol" w:hAnsi="Symbol" w:hint="default"/>
      </w:rPr>
    </w:lvl>
  </w:abstractNum>
  <w:abstractNum w:abstractNumId="1">
    <w:nsid w:val="FFFFFF83"/>
    <w:multiLevelType w:val="singleLevel"/>
    <w:tmpl w:val="3D1EFFD4"/>
    <w:lvl w:ilvl="0">
      <w:start w:val="1"/>
      <w:numFmt w:val="bullet"/>
      <w:lvlRestart w:val="0"/>
      <w:pStyle w:val="28"/>
      <w:lvlText w:val=""/>
      <w:lvlJc w:val="left"/>
      <w:pPr>
        <w:tabs>
          <w:tab w:val="num" w:pos="720"/>
        </w:tabs>
        <w:ind w:left="720" w:hanging="360"/>
      </w:pPr>
      <w:rPr>
        <w:rFonts w:ascii="Symbol" w:hAnsi="Symbol" w:hint="default"/>
      </w:rPr>
    </w:lvl>
  </w:abstractNum>
  <w:abstractNum w:abstractNumId="2">
    <w:nsid w:val="FFFFFF82"/>
    <w:multiLevelType w:val="singleLevel"/>
    <w:tmpl w:val="F3EAFDEC"/>
    <w:lvl w:ilvl="0">
      <w:start w:val="1"/>
      <w:numFmt w:val="bullet"/>
      <w:lvlRestart w:val="0"/>
      <w:pStyle w:val="29"/>
      <w:lvlText w:val=""/>
      <w:lvlJc w:val="left"/>
      <w:pPr>
        <w:tabs>
          <w:tab w:val="num" w:pos="1080"/>
        </w:tabs>
        <w:ind w:left="1080" w:hanging="360"/>
      </w:pPr>
      <w:rPr>
        <w:rFonts w:ascii="Symbol" w:hAnsi="Symbol" w:hint="default"/>
      </w:rPr>
    </w:lvl>
  </w:abstractNum>
  <w:abstractNum w:abstractNumId="3">
    <w:nsid w:val="FFFFFF88"/>
    <w:multiLevelType w:val="singleLevel"/>
    <w:tmpl w:val="D0A62B40"/>
    <w:lvl w:ilvl="0">
      <w:start w:val="1"/>
      <w:numFmt w:val="decimal"/>
      <w:lvlRestart w:val="0"/>
      <w:pStyle w:val="30"/>
      <w:lvlText w:val="%1."/>
      <w:lvlJc w:val="left"/>
      <w:pPr>
        <w:tabs>
          <w:tab w:val="num" w:pos="360"/>
        </w:tabs>
        <w:ind w:left="360" w:hanging="360"/>
      </w:pPr>
    </w:lvl>
  </w:abstractNum>
  <w:abstractNum w:abstractNumId="4">
    <w:nsid w:val="FFFFFF7F"/>
    <w:multiLevelType w:val="singleLevel"/>
    <w:tmpl w:val="38441652"/>
    <w:lvl w:ilvl="0">
      <w:start w:val="1"/>
      <w:numFmt w:val="decimal"/>
      <w:lvlRestart w:val="0"/>
      <w:pStyle w:val="31"/>
      <w:lvlText w:val="%1."/>
      <w:lvlJc w:val="left"/>
      <w:pPr>
        <w:tabs>
          <w:tab w:val="num" w:pos="720"/>
        </w:tabs>
        <w:ind w:left="720" w:hanging="360"/>
      </w:pPr>
    </w:lvl>
  </w:abstractNum>
  <w:abstractNum w:abstractNumId="5">
    <w:nsid w:val="FFFFFF7E"/>
    <w:multiLevelType w:val="singleLevel"/>
    <w:tmpl w:val="FB12693A"/>
    <w:lvl w:ilvl="0">
      <w:start w:val="1"/>
      <w:numFmt w:val="decimal"/>
      <w:lvlRestart w:val="0"/>
      <w:pStyle w:val="32"/>
      <w:lvlText w:val="%1."/>
      <w:lvlJc w:val="left"/>
      <w:pPr>
        <w:tabs>
          <w:tab w:val="num" w:pos="1080"/>
        </w:tabs>
        <w:ind w:left="1080" w:hanging="360"/>
      </w:p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2"/>
  <w:bordersDoNotSurroundHeader/>
  <w:bordersDoNotSurroundFooter/>
  <w:defaultTabStop w:val="720"/>
  <w:drawingGridHorizontalSpacing w:val="110"/>
  <w:drawingGridVerticalSpacing w:val="156"/>
  <w:displayHorizontalDrawingGridEvery w:val="0"/>
  <w:displayVerticalDrawingGridEvery w:val="1"/>
  <w:compat>
    <w:spaceForUL/>
    <w:growAutofit/>
    <w:compatSetting w:name="compatibilityMode" w:uri="http://schemas.microsoft.com/office/word" w:val="14"/>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200" w:line="276" w:lineRule="auto"/>
    </w:pPr>
    <w:rPr>
      <w:rFonts w:ascii="Calibri" w:eastAsia="ＭＳ 明朝" w:cs="Arial" w:hAnsi="Calibri"/>
      <w:sz w:val="22"/>
      <w:szCs w:val="22"/>
      <w:lang w:val="en-US" w:eastAsia="en-US" w:bidi="ar-SA"/>
    </w:rPr>
  </w:style>
  <w:style w:type="paragraph" w:styleId="1">
    <w:name w:val="heading 1"/>
    <w:basedOn w:val="0"/>
    <w:next w:val="0"/>
    <w:pPr>
      <w:keepNext/>
      <w:keepLines/>
      <w:spacing w:before="480" w:after="0"/>
      <w:outlineLvl w:val="0"/>
    </w:pPr>
    <w:rPr>
      <w:rFonts w:ascii="Calibri" w:eastAsia="ＭＳ ゴシック" w:cs="Times New Roman" w:hAnsi="Calibri"/>
      <w:b/>
      <w:bCs/>
      <w:color w:val="365F91"/>
      <w:sz w:val="28"/>
      <w:szCs w:val="28"/>
    </w:rPr>
  </w:style>
  <w:style w:type="paragraph" w:styleId="2">
    <w:name w:val="heading 2"/>
    <w:basedOn w:val="0"/>
    <w:next w:val="0"/>
    <w:pPr>
      <w:keepNext/>
      <w:keepLines/>
      <w:spacing w:before="200" w:after="0"/>
      <w:outlineLvl w:val="1"/>
    </w:pPr>
    <w:rPr>
      <w:rFonts w:ascii="Calibri" w:eastAsia="ＭＳ ゴシック" w:cs="Times New Roman" w:hAnsi="Calibri"/>
      <w:b/>
      <w:bCs/>
      <w:color w:val="4F81BD"/>
      <w:sz w:val="26"/>
      <w:szCs w:val="26"/>
    </w:rPr>
  </w:style>
  <w:style w:type="paragraph" w:styleId="3">
    <w:name w:val="heading 3"/>
    <w:basedOn w:val="0"/>
    <w:next w:val="0"/>
    <w:pPr>
      <w:keepNext/>
      <w:keepLines/>
      <w:spacing w:before="200" w:after="0"/>
      <w:outlineLvl w:val="2"/>
    </w:pPr>
    <w:rPr>
      <w:rFonts w:ascii="Calibri" w:eastAsia="ＭＳ ゴシック" w:cs="Times New Roman" w:hAnsi="Calibri"/>
      <w:b/>
      <w:bCs/>
      <w:color w:val="4F81BD"/>
    </w:rPr>
  </w:style>
  <w:style w:type="paragraph" w:styleId="4">
    <w:name w:val="heading 4"/>
    <w:basedOn w:val="0"/>
    <w:next w:val="0"/>
    <w:pPr>
      <w:keepNext/>
      <w:keepLines/>
      <w:spacing w:before="200" w:after="0"/>
      <w:outlineLvl w:val="3"/>
    </w:pPr>
    <w:rPr>
      <w:rFonts w:ascii="Calibri" w:eastAsia="ＭＳ ゴシック" w:cs="Times New Roman" w:hAnsi="Calibri"/>
      <w:b/>
      <w:bCs/>
      <w:i/>
      <w:iCs/>
      <w:color w:val="4F81BD"/>
    </w:rPr>
  </w:style>
  <w:style w:type="paragraph" w:styleId="5">
    <w:name w:val="heading 5"/>
    <w:basedOn w:val="0"/>
    <w:next w:val="0"/>
    <w:pPr>
      <w:keepNext/>
      <w:keepLines/>
      <w:spacing w:before="200" w:after="0"/>
      <w:outlineLvl w:val="4"/>
    </w:pPr>
    <w:rPr>
      <w:rFonts w:ascii="Calibri" w:eastAsia="ＭＳ ゴシック" w:cs="Times New Roman" w:hAnsi="Calibri"/>
      <w:color w:val="243F60"/>
    </w:rPr>
  </w:style>
  <w:style w:type="paragraph" w:styleId="6">
    <w:name w:val="heading 6"/>
    <w:basedOn w:val="0"/>
    <w:next w:val="0"/>
    <w:pPr>
      <w:keepNext/>
      <w:keepLines/>
      <w:spacing w:before="200" w:after="0"/>
      <w:outlineLvl w:val="5"/>
    </w:pPr>
    <w:rPr>
      <w:rFonts w:ascii="Calibri" w:eastAsia="ＭＳ ゴシック" w:cs="Times New Roman" w:hAnsi="Calibri"/>
      <w:i/>
      <w:iCs/>
      <w:color w:val="243F60"/>
    </w:rPr>
  </w:style>
  <w:style w:type="paragraph" w:styleId="7">
    <w:name w:val="heading 7"/>
    <w:basedOn w:val="0"/>
    <w:next w:val="0"/>
    <w:pPr>
      <w:keepNext/>
      <w:keepLines/>
      <w:spacing w:before="200" w:after="0"/>
      <w:outlineLvl w:val="6"/>
    </w:pPr>
    <w:rPr>
      <w:rFonts w:ascii="Calibri" w:eastAsia="ＭＳ ゴシック" w:cs="Times New Roman" w:hAnsi="Calibri"/>
      <w:i/>
      <w:iCs/>
      <w:color w:val="404040"/>
    </w:rPr>
  </w:style>
  <w:style w:type="paragraph" w:styleId="8">
    <w:name w:val="heading 8"/>
    <w:basedOn w:val="0"/>
    <w:next w:val="0"/>
    <w:pPr>
      <w:keepNext/>
      <w:keepLines/>
      <w:spacing w:before="200" w:after="0"/>
      <w:outlineLvl w:val="7"/>
    </w:pPr>
    <w:rPr>
      <w:rFonts w:ascii="Calibri" w:eastAsia="ＭＳ ゴシック" w:cs="Times New Roman" w:hAnsi="Calibri"/>
      <w:color w:val="4F81BD"/>
      <w:sz w:val="20"/>
      <w:szCs w:val="20"/>
    </w:rPr>
  </w:style>
  <w:style w:type="paragraph" w:styleId="9">
    <w:name w:val="heading 9"/>
    <w:basedOn w:val="0"/>
    <w:next w:val="0"/>
    <w:pPr>
      <w:keepNext/>
      <w:keepLines/>
      <w:spacing w:before="200" w:after="0"/>
      <w:outlineLvl w:val="8"/>
    </w:pPr>
    <w:rPr>
      <w:rFonts w:ascii="Calibri" w:eastAsia="ＭＳ ゴシック" w:cs="Times New Roman" w:hAnsi="Calibri"/>
      <w:i/>
      <w:iCs/>
      <w:color w:val="404040"/>
      <w:sz w:val="20"/>
      <w:szCs w:val="20"/>
    </w:rPr>
  </w:style>
  <w:style w:type="character" w:default="1" w:styleId="10">
    <w:name w:val="Default Paragraph Font"/>
  </w:style>
  <w:style w:type="paragraph" w:styleId="15">
    <w:name w:val="header"/>
    <w:basedOn w:val="0"/>
    <w:pPr>
      <w:tabs>
        <w:tab w:val="center" w:pos="4680"/>
        <w:tab w:val="right" w:pos="9360"/>
      </w:tabs>
      <w:spacing w:after="0" w:line="240" w:lineRule="auto"/>
    </w:pPr>
  </w:style>
  <w:style w:type="paragraph" w:styleId="16">
    <w:name w:val="footer"/>
    <w:basedOn w:val="0"/>
    <w:pPr>
      <w:tabs>
        <w:tab w:val="center" w:pos="4680"/>
        <w:tab w:val="right" w:pos="9360"/>
      </w:tabs>
      <w:spacing w:after="0" w:line="240" w:lineRule="auto"/>
    </w:pPr>
  </w:style>
  <w:style w:type="paragraph" w:customStyle="1" w:styleId="17">
    <w:name w:val="No Spacing"/>
    <w:pPr>
      <w:spacing w:after="0" w:line="240" w:lineRule="auto"/>
    </w:pPr>
    <w:rPr>
      <w:rFonts w:ascii="Cambria" w:eastAsia="ＭＳ 明朝" w:cs="Arial" w:hAnsi="Cambria"/>
      <w:sz w:val="22"/>
      <w:szCs w:val="22"/>
      <w:lang w:val="en-US" w:eastAsia="en-US" w:bidi="ar-SA"/>
    </w:rPr>
  </w:style>
  <w:style w:type="paragraph" w:styleId="18">
    <w:name w:val="Title"/>
    <w:basedOn w:val="0"/>
    <w:next w:val="0"/>
    <w:pPr>
      <w:pBdr>
        <w:bottom w:val="single" w:sz="8" w:space="4" w:color="4F81BD"/>
      </w:pBdr>
      <w:spacing w:after="300" w:line="240" w:lineRule="auto"/>
      <w:contextualSpacing/>
    </w:pPr>
    <w:rPr>
      <w:rFonts w:ascii="Calibri" w:eastAsia="ＭＳ ゴシック" w:cs="Times New Roman" w:hAnsi="Calibri"/>
      <w:color w:val="17365D"/>
      <w:spacing w:val="5"/>
      <w:kern w:val="28"/>
      <w:sz w:val="52"/>
      <w:szCs w:val="52"/>
    </w:rPr>
  </w:style>
  <w:style w:type="paragraph" w:styleId="19">
    <w:name w:val="Subtitle"/>
    <w:basedOn w:val="0"/>
    <w:next w:val="0"/>
    <w:rPr>
      <w:rFonts w:ascii="Calibri" w:eastAsia="ＭＳ ゴシック" w:cs="Times New Roman" w:hAnsi="Calibri"/>
      <w:i/>
      <w:iCs/>
      <w:color w:val="4F81BD"/>
      <w:spacing w:val="15"/>
      <w:sz w:val="24"/>
      <w:szCs w:val="24"/>
    </w:rPr>
  </w:style>
  <w:style w:type="paragraph" w:customStyle="1" w:styleId="20">
    <w:name w:val="List Paragraph"/>
    <w:basedOn w:val="0"/>
    <w:pPr>
      <w:ind w:left="720"/>
      <w:contextualSpacing/>
    </w:pPr>
  </w:style>
  <w:style w:type="paragraph" w:styleId="21">
    <w:name w:val="Body Text"/>
    <w:basedOn w:val="0"/>
    <w:pPr>
      <w:spacing w:after="120"/>
    </w:pPr>
  </w:style>
  <w:style w:type="paragraph" w:styleId="22">
    <w:name w:val="Body Text 2"/>
    <w:basedOn w:val="0"/>
    <w:pPr>
      <w:spacing w:after="120" w:line="480" w:lineRule="auto"/>
    </w:pPr>
  </w:style>
  <w:style w:type="paragraph" w:styleId="23">
    <w:name w:val="Body Text 3"/>
    <w:basedOn w:val="0"/>
    <w:pPr>
      <w:spacing w:after="120"/>
    </w:pPr>
    <w:rPr>
      <w:sz w:val="16"/>
      <w:szCs w:val="16"/>
    </w:rPr>
  </w:style>
  <w:style w:type="paragraph" w:styleId="24">
    <w:name w:val="List"/>
    <w:basedOn w:val="0"/>
    <w:pPr>
      <w:ind w:left="360" w:hanging="360"/>
      <w:contextualSpacing/>
    </w:pPr>
  </w:style>
  <w:style w:type="paragraph" w:styleId="25">
    <w:name w:val="List 2"/>
    <w:basedOn w:val="0"/>
    <w:pPr>
      <w:ind w:left="720" w:hanging="360"/>
      <w:contextualSpacing/>
    </w:pPr>
  </w:style>
  <w:style w:type="paragraph" w:styleId="26">
    <w:name w:val="List 3"/>
    <w:basedOn w:val="0"/>
    <w:pPr>
      <w:ind w:left="1080" w:hanging="360"/>
      <w:contextualSpacing/>
    </w:pPr>
  </w:style>
  <w:style w:type="paragraph" w:styleId="27">
    <w:name w:val="List Bullet"/>
    <w:basedOn w:val="0"/>
    <w:pPr>
      <w:numPr>
        <w:ilvl w:val="0"/>
        <w:numId w:val="1"/>
      </w:numPr>
      <w:contextualSpacing/>
    </w:pPr>
  </w:style>
  <w:style w:type="paragraph" w:styleId="28">
    <w:name w:val="List Bullet 2"/>
    <w:basedOn w:val="0"/>
    <w:pPr>
      <w:numPr>
        <w:ilvl w:val="0"/>
        <w:numId w:val="2"/>
      </w:numPr>
      <w:contextualSpacing/>
    </w:pPr>
  </w:style>
  <w:style w:type="paragraph" w:styleId="29">
    <w:name w:val="List Bullet 3"/>
    <w:basedOn w:val="0"/>
    <w:pPr>
      <w:numPr>
        <w:ilvl w:val="0"/>
        <w:numId w:val="3"/>
      </w:numPr>
      <w:contextualSpacing/>
    </w:pPr>
  </w:style>
  <w:style w:type="paragraph" w:styleId="30">
    <w:name w:val="List Number"/>
    <w:basedOn w:val="0"/>
    <w:pPr>
      <w:numPr>
        <w:ilvl w:val="0"/>
        <w:numId w:val="4"/>
      </w:numPr>
      <w:contextualSpacing/>
    </w:pPr>
  </w:style>
  <w:style w:type="paragraph" w:styleId="31">
    <w:name w:val="List Number 2"/>
    <w:basedOn w:val="0"/>
    <w:pPr>
      <w:numPr>
        <w:ilvl w:val="0"/>
        <w:numId w:val="5"/>
      </w:numPr>
      <w:contextualSpacing/>
    </w:pPr>
  </w:style>
  <w:style w:type="paragraph" w:styleId="32">
    <w:name w:val="List Number 3"/>
    <w:basedOn w:val="0"/>
    <w:pPr>
      <w:numPr>
        <w:ilvl w:val="0"/>
        <w:numId w:val="6"/>
      </w:numPr>
      <w:contextualSpacing/>
    </w:pPr>
  </w:style>
  <w:style w:type="paragraph" w:styleId="33">
    <w:name w:val="List Continue"/>
    <w:basedOn w:val="0"/>
    <w:pPr>
      <w:spacing w:after="120"/>
      <w:ind w:left="360"/>
      <w:contextualSpacing/>
    </w:pPr>
  </w:style>
  <w:style w:type="paragraph" w:styleId="34">
    <w:name w:val="List Continue 2"/>
    <w:basedOn w:val="0"/>
    <w:pPr>
      <w:spacing w:after="120"/>
      <w:ind w:left="720"/>
      <w:contextualSpacing/>
    </w:pPr>
  </w:style>
  <w:style w:type="paragraph" w:styleId="35">
    <w:name w:val="List Continue 3"/>
    <w:basedOn w:val="0"/>
    <w:pPr>
      <w:spacing w:after="120"/>
      <w:ind w:left="1080"/>
      <w:contextualSpacing/>
    </w:pPr>
  </w:style>
  <w:style w:type="paragraph" w:styleId="36">
    <w:name w:val="macro"/>
    <w:pPr>
      <w:tabs>
        <w:tab w:val="left" w:pos="576"/>
        <w:tab w:val="left" w:pos="1152"/>
        <w:tab w:val="left" w:pos="1728"/>
        <w:tab w:val="left" w:pos="2304"/>
        <w:tab w:val="left" w:pos="2880"/>
        <w:tab w:val="left" w:pos="3456"/>
        <w:tab w:val="left" w:pos="4032"/>
      </w:tabs>
      <w:spacing w:after="200" w:line="276" w:lineRule="auto"/>
    </w:pPr>
    <w:rPr>
      <w:rFonts w:ascii="Courier" w:eastAsia="ＭＳ 明朝" w:cs="Arial" w:hAnsi="Courier"/>
      <w:sz w:val="20"/>
      <w:szCs w:val="20"/>
      <w:lang w:val="en-US" w:eastAsia="en-US" w:bidi="ar-SA"/>
    </w:rPr>
  </w:style>
  <w:style w:type="paragraph" w:customStyle="1" w:styleId="37">
    <w:name w:val="Quote"/>
    <w:basedOn w:val="0"/>
    <w:next w:val="0"/>
    <w:rPr>
      <w:i/>
      <w:iCs/>
      <w:color w:val="000000"/>
    </w:rPr>
  </w:style>
  <w:style w:type="paragraph" w:styleId="38">
    <w:name w:val="caption"/>
    <w:basedOn w:val="0"/>
    <w:next w:val="0"/>
    <w:pPr>
      <w:spacing w:line="240" w:lineRule="auto"/>
    </w:pPr>
    <w:rPr>
      <w:b/>
      <w:bCs/>
      <w:color w:val="4F81BD"/>
      <w:sz w:val="18"/>
      <w:szCs w:val="18"/>
    </w:rPr>
  </w:style>
  <w:style w:type="character" w:styleId="39">
    <w:name w:val="Strong"/>
    <w:basedOn w:val="10"/>
    <w:rPr>
      <w:b/>
      <w:bCs/>
    </w:rPr>
  </w:style>
  <w:style w:type="character" w:styleId="40">
    <w:name w:val="Emphasis"/>
    <w:basedOn w:val="10"/>
    <w:rPr>
      <w:i/>
      <w:iCs/>
    </w:rPr>
  </w:style>
  <w:style w:type="paragraph" w:customStyle="1" w:styleId="41">
    <w:name w:val="Intense Quote"/>
    <w:basedOn w:val="0"/>
    <w:next w:val="0"/>
    <w:pPr>
      <w:pBdr>
        <w:bottom w:val="single" w:sz="4" w:space="4" w:color="4F81BD"/>
      </w:pBdr>
      <w:spacing w:before="200" w:after="280"/>
      <w:ind w:left="936" w:right="936"/>
    </w:pPr>
    <w:rPr>
      <w:b/>
      <w:bCs/>
      <w:i/>
      <w:iCs/>
      <w:color w:val="4F81BD"/>
    </w:rPr>
  </w:style>
  <w:style w:type="character" w:customStyle="1" w:styleId="42">
    <w:name w:val="Subtle Emphasis"/>
    <w:basedOn w:val="10"/>
    <w:rPr>
      <w:i/>
      <w:iCs/>
      <w:color w:val="808080"/>
    </w:rPr>
  </w:style>
  <w:style w:type="character" w:customStyle="1" w:styleId="43">
    <w:name w:val="Intense Emphasis"/>
    <w:basedOn w:val="10"/>
    <w:rPr>
      <w:b/>
      <w:bCs/>
      <w:i/>
      <w:iCs/>
      <w:color w:val="4F81BD"/>
    </w:rPr>
  </w:style>
  <w:style w:type="character" w:customStyle="1" w:styleId="44">
    <w:name w:val="Subtle Reference"/>
    <w:basedOn w:val="10"/>
    <w:rPr>
      <w:caps w:val="0"/>
      <w:smallCaps/>
      <w:color w:val="C0504D"/>
      <w:u w:val="single"/>
    </w:rPr>
  </w:style>
  <w:style w:type="character" w:customStyle="1" w:styleId="45">
    <w:name w:val="Intense Reference"/>
    <w:basedOn w:val="10"/>
    <w:rPr>
      <w:b/>
      <w:bCs/>
      <w:caps w:val="0"/>
      <w:smallCaps/>
      <w:color w:val="C0504D"/>
      <w:spacing w:val="5"/>
      <w:u w:val="single"/>
    </w:rPr>
  </w:style>
  <w:style w:type="character" w:customStyle="1" w:styleId="46">
    <w:name w:val="Book Title"/>
    <w:basedOn w:val="10"/>
    <w:rPr>
      <w:b/>
      <w:bCs/>
      <w:caps w:val="0"/>
      <w:smallCaps/>
      <w:spacing w:val="5"/>
    </w:rPr>
  </w:style>
  <w:style w:type="paragraph" w:customStyle="1" w:styleId="47">
    <w:name w:val="TOC Heading"/>
    <w:basedOn w:val="1"/>
    <w:next w:val="0"/>
    <w:pPr>
      <w:outlineLvl w:val="9"/>
    </w:p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png"/><Relationship Id="rId3" Type="http://schemas.openxmlformats.org/officeDocument/2006/relationships/image" Target="media/5.png"/><Relationship Id="rId4" Type="http://schemas.openxmlformats.org/officeDocument/2006/relationships/image" Target="media/8.png"/><Relationship Id="rId5" Type="http://schemas.openxmlformats.org/officeDocument/2006/relationships/image" Target="media/11.png"/><Relationship Id="rId6" Type="http://schemas.openxmlformats.org/officeDocument/2006/relationships/image" Target="media/14.png"/><Relationship Id="rId7" Type="http://schemas.openxmlformats.org/officeDocument/2006/relationships/styles" Target="styles.xml"/><Relationship Id="rId8" Type="http://schemas.openxmlformats.org/officeDocument/2006/relationships/numbering" Target="numbering.xml"/><Relationship Id="rId9" Type="http://schemas.openxmlformats.org/officeDocument/2006/relationships/fontTable" Target="fontTable.xml"/></Relationships>
</file>

<file path=docProps/app.xml><?xml version="1.0" encoding="utf-8"?>
<Properties xmlns="http://schemas.openxmlformats.org/officeDocument/2006/extended-properties">
  <Template>Normal.eit</Template>
  <TotalTime>1</TotalTime>
  <Application>Yozo_Office</Application>
  <Pages>17</Pages>
  <Words>1585</Words>
  <Characters>10220</Characters>
  <Lines>303</Lines>
  <Paragraphs>161</Paragraphs>
  <CharactersWithSpaces>12440</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python-docx</dc:creator>
  <dc:description>generated by python-docx</dc:description>
  <cp:lastModifiedBy>vivo user</cp:lastModifiedBy>
  <cp:revision>2</cp:revision>
  <dcterms:created xsi:type="dcterms:W3CDTF">2026-03-08T13:31:00Z</dcterms:created>
  <dcterms:modified xsi:type="dcterms:W3CDTF">2026-03-08T13:52:56Z</dcterms:modified>
</cp:coreProperties>
</file>