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You can think of this as one integrated “Farmer Operating System” with three intelligence engines (soil/inputs, climate, income) plus a few add‑on modules, all sitting on top of India’s emerging digital agriculture infrastructure (AgriStack, Krishi DSS, etc.).</w:t>
      </w:r>
    </w:p>
    <w:p>
      <w:r>
        <w:t>Below is a concrete design you could turn into a product roadmap.</w:t>
      </w:r>
    </w:p>
    <w:p>
      <w:r>
        <w:t>---</w:t>
      </w:r>
    </w:p>
    <w:p>
      <w:r>
        <w:t>Vision and design principles</w:t>
      </w:r>
    </w:p>
    <w:p>
      <w:r>
        <w:t>Vision: A single platform that builds a digital twin of each farm and farmer, continuously turning data about soil, weather, crops and markets into simple, timed decisions: what to plant, how to manage the crop, when/where/how to sell, and how to protect income.</w:t>
      </w:r>
    </w:p>
    <w:p>
      <w:r>
        <w:t>Design principles:</w:t>
        <w:br/>
        <w:t>- One farmer profile and one plot‑level “farm twin”, not three separate apps.</w:t>
        <w:br/>
        <w:t>- Advice must be actionable in 1–2 steps, in local language, via WhatsApp/IVR/app.</w:t>
        <w:br/>
        <w:t>- Leverage public digital infra (AgriStack, Krishi DSS, Soil Health Card, pest surveillance) instead of rebuilding it.</w:t>
        <w:br/>
        <w:t>- Always link guidance to economic outcomes (₹), not only agronomy or climate.</w:t>
      </w:r>
    </w:p>
    <w:p>
      <w:r>
        <w:t>Core user personas</w:t>
        <w:br/>
        <w:t>- Small/marginal farmers with 1–3 plots, limited capital, high price and climate risk.</w:t>
        <w:br/>
        <w:t>- FPOs as “power users”: aggregation, negotiation, storage and credit.</w:t>
        <w:br/>
        <w:t>- Ecosystem partners: agri‑NBFCs, insurers, input companies, state agriculture departments.</w:t>
      </w:r>
    </w:p>
    <w:p>
      <w:r>
        <w:t>Platform architecture (high level)</w:t>
        <w:br/>
        <w:t>1. Identity &amp; data layer</w:t>
        <w:br/>
        <w:t>2. Intelligence engines (Soil &amp; Input Optimizer, Farm Twin climate risk &amp; adaptation, Income Intelligence &amp; Hedging).</w:t>
        <w:br/>
        <w:t>3. Experience layer (farmer interfaces and FPO/partner dashboards).</w:t>
        <w:br/>
        <w:t>4. Integration layer (APIs to lenders, insurers, warehouses, input retailers, and government systems).</w:t>
      </w:r>
    </w:p>
    <w:p>
      <w:r>
        <w:t>Module 1: Soil Health &amp; Input Optimizer</w:t>
        <w:br/>
        <w:t>- Addresses soil degradation and nutrient imbalance, which drive higher costs and lower yields.</w:t>
        <w:br/>
        <w:t>- Uses Soil Health Card data, cropping history, and weather to recommend balanced fertiliser and organic inputs.</w:t>
        <w:br/>
        <w:t>- Provides a simple soil passport, seasonal input plan, and cost–benefit view for each plot.</w:t>
      </w:r>
    </w:p>
    <w:p>
      <w:r>
        <w:t>Module 2: Farm Twin – climate risk &amp; adaptation engine</w:t>
        <w:br/>
        <w:t>- Uses plot geolocation, soil profile, and climate data to score drought, flood, heat, and pest risk.</w:t>
        <w:br/>
        <w:t>- Converts NICRA and contingency plan knowledge into crop portfolio and practice recommendations.</w:t>
        <w:br/>
        <w:t>- Guides sowing windows, irrigation scheduling, and resilient practices like mulching and cover crops.</w:t>
      </w:r>
    </w:p>
    <w:p>
      <w:r>
        <w:t>Module 3: Farmer Income Intelligence &amp; Hedging</w:t>
        <w:br/>
        <w:t>- Ingests mandi prices, MSP, arrivals, and farmer constraints to forecast local prices.</w:t>
        <w:br/>
        <w:t>- Recommends sale timing, market choice, and storage use to maximise expected income.</w:t>
        <w:br/>
        <w:t>- Integrates partner-based price covers and warehouse receipt finance to protect against price crashes.</w:t>
      </w:r>
    </w:p>
    <w:p>
      <w:r>
        <w:t>Cross‑cutting features</w:t>
        <w:br/>
        <w:t>- Pest &amp; disease early warning using national pest surveillance and farmer images.</w:t>
        <w:br/>
        <w:t>- Seed authenticity and input traceability via QR codes and seed trace systems.</w:t>
        <w:br/>
        <w:t>- Scheme and entitlement navigator based on farmer ID.</w:t>
        <w:br/>
        <w:t>- Learning &amp; community layer with micro‑content and peer stories.</w:t>
        <w:br/>
        <w:t>- Future carbon / ecosystem services monetisation based on improved soil and practices.</w:t>
      </w:r>
    </w:p>
    <w:p>
      <w:r>
        <w:t>Avoiding super‑app overload</w:t>
        <w:br/>
        <w:t>- Contextual surfacing of only the decisions relevant to the current phase (pre‑season, mid‑season, harvest).</w:t>
        <w:br/>
        <w:t>- Primary interaction via simple WhatsApp/IVR prompts, with app as optional.</w:t>
      </w:r>
    </w:p>
    <w:p>
      <w:r>
        <w:t>Implementation and sequencing</w:t>
        <w:br/>
        <w:t>1. MVP: Soil + basic advisory + simple price outlook in one crop/region.</w:t>
        <w:br/>
        <w:t>2. Add full farm twin and climate adaptation.</w:t>
        <w:br/>
        <w:t>3. Add income optimisation and FPO dashboards.</w:t>
        <w:br/>
        <w:t>4. Add risk products and deeper integrations (insurance, SATHI, pest systems, schemes).</w:t>
      </w:r>
    </w:p>
    <w:p>
      <w:r>
        <w:t>At each step, track metrics like yield stability, realised prices, input cost changes, and loan performance to prove value to partners.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