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1.10.3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Employers with more than one company (e.g. a DSP plus a non-DSP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entity) return every company's employees once the user has "All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companies" access, so this column is what lets the team filter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employee to the right company before running the API.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Full current calendar year: 01/01 → 12/31, the year taken from the system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clock so the range rolls forward on its own each January. (The Historical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Data Bot pulls this same report for a wider window; that flow is separate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new Date().getFullYear();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'12/31/'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(full year):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Client prefix here too, so Payroll History files sit alongside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other reports' &lt;Client&gt;_… names instead of being the odd one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phClient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(phClient ? safeFileName(phClient) + '_' : '')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hyphenated phrase satisfies a bare company-code chip pattern, so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 text was liable to be read as the client: "Year-to-Date"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request-period dropdown) parses as code "Year" + name "to-Date"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would prefix files with to_Date_. The Historical bot hit exactly 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named files after its own "Prior-year extracts" panel subtitle.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defences, either of which alone fixes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never read the bot's own UI (panel + its dialogs)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require a digit in the code — ADP company codes have one (0MJ, 0PY79)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CHIP_RE = /^([A-Za-z0-9.]{2,6})\s*-\s*([A-Za-z].*)$/;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Also exclude the OTHER ADP bots' UI — the Historical bot and the Export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Documents fallback panel share these pages, and their panel/log text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carry digit-bearing chip-shaped strings (logged filenames like "…Q1-2026")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that survive the digit check above.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OWN_UI_SEL = '#adp-bot-panel, #adp-quarter-pick, #adp-downloadall-pick, #adp-export-bot, #hd-bot-panel, #hd-mode-pick, #hd-item-pick, #hd-year-pick';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parseCompanyChip(text)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'').match(CHIP_RE);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// "Year-to-Date", "Non-Exempt" — not a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ADP's masthead carries the employer on EVERY page — crucially including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Output, which is where this bot builds the file name (it looks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client AFTER Run as Excel has already navigated away from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page). The company-code chips the other strategies rely on do not exist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which is why Direct Deposit and friends downloaded with no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&lt;sfc-shell-app-bar …&gt;InnovDel Inc&lt;wfn-shell-app-bar-search&gt;…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name is a DIRECT TEXT NODE of the app bar (slotted into .branding-area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inside the component's shadow DOM), so read only the element's own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nodes: .textContent would drag in every icon label after it — Things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Do, Calendar, Learn, Bridge, Support, Marketplace, Chat.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clientFromAppBar()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bar of deepQueryAll('sfc-shell-app-bar'))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 = Array.from(bar.childNodes || [])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3) // text nodes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(n.textContent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.join('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(own.length &gt;= 2 &amp;&amp; own.length &lt;= 60) return own;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0) The app bar — present on every page, including Reports Output.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fromBar = clientFromAppBar();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(fromBar) return fromBar;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!(el.closest &amp;&amp; el.closest(OWN_UI_SEL)))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texts)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(/no company/i.test(t) || /^https?:/i.test(t))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parseCompanyChip(t);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