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0D5F5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0D5F54">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0D5F5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0D5F5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bl>
    <w:p w14:paraId="3B7A7AB1" w14:textId="77777777" w:rsidR="009421A7" w:rsidRPr="006A6424" w:rsidRDefault="009421A7" w:rsidP="004434DB"/>
    <w:p w14:paraId="64C1BD87" w14:textId="77777777" w:rsidR="006A6424" w:rsidRPr="006A6424" w:rsidRDefault="006A6424">
      <w:pPr>
        <w:spacing w:after="0"/>
        <w:rPr>
          <w:b/>
          <w:bCs/>
          <w:sz w:val="56"/>
          <w:szCs w:val="56"/>
        </w:rPr>
      </w:pPr>
      <w:bookmarkStart w:id="2" w:name="_Toc189460583"/>
      <w:r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t>Contents</w:t>
      </w:r>
      <w:bookmarkEnd w:id="2"/>
    </w:p>
    <w:p w14:paraId="0918DE86" w14:textId="5F0997C4" w:rsidR="00F11AA7"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3982877" w:history="1">
        <w:r w:rsidR="00F11AA7" w:rsidRPr="00700448">
          <w:rPr>
            <w:rStyle w:val="Hyperlink"/>
            <w:rFonts w:eastAsia="Times New Roman"/>
            <w:lang w:eastAsia="en-NZ"/>
          </w:rPr>
          <w:t>Executive Summary</w:t>
        </w:r>
        <w:r w:rsidR="00F11AA7">
          <w:rPr>
            <w:webHidden/>
          </w:rPr>
          <w:tab/>
        </w:r>
        <w:r w:rsidR="00F11AA7">
          <w:rPr>
            <w:webHidden/>
          </w:rPr>
          <w:fldChar w:fldCharType="begin"/>
        </w:r>
        <w:r w:rsidR="00F11AA7">
          <w:rPr>
            <w:webHidden/>
          </w:rPr>
          <w:instrText xml:space="preserve"> PAGEREF _Toc233982877 \h </w:instrText>
        </w:r>
        <w:r w:rsidR="00F11AA7">
          <w:rPr>
            <w:webHidden/>
          </w:rPr>
        </w:r>
        <w:r w:rsidR="00F11AA7">
          <w:rPr>
            <w:webHidden/>
          </w:rPr>
          <w:fldChar w:fldCharType="separate"/>
        </w:r>
        <w:r w:rsidR="00AC1261">
          <w:rPr>
            <w:webHidden/>
          </w:rPr>
          <w:t>4</w:t>
        </w:r>
        <w:r w:rsidR="00F11AA7">
          <w:rPr>
            <w:webHidden/>
          </w:rPr>
          <w:fldChar w:fldCharType="end"/>
        </w:r>
      </w:hyperlink>
    </w:p>
    <w:p w14:paraId="1A1D7534" w14:textId="1AAFC7A6"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78" w:history="1">
        <w:r w:rsidRPr="00700448">
          <w:rPr>
            <w:rStyle w:val="Hyperlink"/>
            <w:rFonts w:eastAsia="Times New Roman"/>
            <w:lang w:eastAsia="en-NZ"/>
          </w:rPr>
          <w:t>1. Purpose</w:t>
        </w:r>
        <w:r>
          <w:rPr>
            <w:webHidden/>
          </w:rPr>
          <w:tab/>
        </w:r>
        <w:r>
          <w:rPr>
            <w:webHidden/>
          </w:rPr>
          <w:fldChar w:fldCharType="begin"/>
        </w:r>
        <w:r>
          <w:rPr>
            <w:webHidden/>
          </w:rPr>
          <w:instrText xml:space="preserve"> PAGEREF _Toc233982878 \h </w:instrText>
        </w:r>
        <w:r>
          <w:rPr>
            <w:webHidden/>
          </w:rPr>
        </w:r>
        <w:r>
          <w:rPr>
            <w:webHidden/>
          </w:rPr>
          <w:fldChar w:fldCharType="separate"/>
        </w:r>
        <w:r w:rsidR="00AC1261">
          <w:rPr>
            <w:webHidden/>
          </w:rPr>
          <w:t>6</w:t>
        </w:r>
        <w:r>
          <w:rPr>
            <w:webHidden/>
          </w:rPr>
          <w:fldChar w:fldCharType="end"/>
        </w:r>
      </w:hyperlink>
    </w:p>
    <w:p w14:paraId="7725FA0B" w14:textId="3E2FB4BA"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79" w:history="1">
        <w:r w:rsidRPr="00700448">
          <w:rPr>
            <w:rStyle w:val="Hyperlink"/>
            <w:rFonts w:eastAsia="Times New Roman"/>
            <w:lang w:eastAsia="en-NZ"/>
          </w:rPr>
          <w:t>2. What We Expect from Cities (Evidence Base)</w:t>
        </w:r>
        <w:r>
          <w:rPr>
            <w:webHidden/>
          </w:rPr>
          <w:tab/>
        </w:r>
        <w:r>
          <w:rPr>
            <w:webHidden/>
          </w:rPr>
          <w:fldChar w:fldCharType="begin"/>
        </w:r>
        <w:r>
          <w:rPr>
            <w:webHidden/>
          </w:rPr>
          <w:instrText xml:space="preserve"> PAGEREF _Toc233982879 \h </w:instrText>
        </w:r>
        <w:r>
          <w:rPr>
            <w:webHidden/>
          </w:rPr>
        </w:r>
        <w:r>
          <w:rPr>
            <w:webHidden/>
          </w:rPr>
          <w:fldChar w:fldCharType="separate"/>
        </w:r>
        <w:r w:rsidR="00AC1261">
          <w:rPr>
            <w:webHidden/>
          </w:rPr>
          <w:t>7</w:t>
        </w:r>
        <w:r>
          <w:rPr>
            <w:webHidden/>
          </w:rPr>
          <w:fldChar w:fldCharType="end"/>
        </w:r>
      </w:hyperlink>
    </w:p>
    <w:p w14:paraId="06F67402" w14:textId="59A52E9C"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0" w:history="1">
        <w:r w:rsidRPr="00700448">
          <w:rPr>
            <w:rStyle w:val="Hyperlink"/>
          </w:rPr>
          <w:t>3. Core Diagnosis: Growth, Capital Pressure, and Productivity</w:t>
        </w:r>
        <w:r>
          <w:rPr>
            <w:webHidden/>
          </w:rPr>
          <w:tab/>
        </w:r>
        <w:r>
          <w:rPr>
            <w:webHidden/>
          </w:rPr>
          <w:fldChar w:fldCharType="begin"/>
        </w:r>
        <w:r>
          <w:rPr>
            <w:webHidden/>
          </w:rPr>
          <w:instrText xml:space="preserve"> PAGEREF _Toc233982880 \h </w:instrText>
        </w:r>
        <w:r>
          <w:rPr>
            <w:webHidden/>
          </w:rPr>
        </w:r>
        <w:r>
          <w:rPr>
            <w:webHidden/>
          </w:rPr>
          <w:fldChar w:fldCharType="separate"/>
        </w:r>
        <w:r w:rsidR="00AC1261">
          <w:rPr>
            <w:webHidden/>
          </w:rPr>
          <w:t>9</w:t>
        </w:r>
        <w:r>
          <w:rPr>
            <w:webHidden/>
          </w:rPr>
          <w:fldChar w:fldCharType="end"/>
        </w:r>
      </w:hyperlink>
    </w:p>
    <w:p w14:paraId="37CD1584" w14:textId="03E23159"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1" w:history="1">
        <w:r w:rsidRPr="00700448">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_Toc233982881 \h </w:instrText>
        </w:r>
        <w:r>
          <w:rPr>
            <w:webHidden/>
          </w:rPr>
        </w:r>
        <w:r>
          <w:rPr>
            <w:webHidden/>
          </w:rPr>
          <w:fldChar w:fldCharType="separate"/>
        </w:r>
        <w:r w:rsidR="00AC1261">
          <w:rPr>
            <w:webHidden/>
          </w:rPr>
          <w:t>13</w:t>
        </w:r>
        <w:r>
          <w:rPr>
            <w:webHidden/>
          </w:rPr>
          <w:fldChar w:fldCharType="end"/>
        </w:r>
      </w:hyperlink>
    </w:p>
    <w:p w14:paraId="51BF49E9" w14:textId="67FF346D"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2" w:history="1">
        <w:r w:rsidRPr="00700448">
          <w:rPr>
            <w:rStyle w:val="Hyperlink"/>
          </w:rPr>
          <w:t>5. The New Zealand Spatial System — Evidence and Mechanisms</w:t>
        </w:r>
        <w:r>
          <w:rPr>
            <w:webHidden/>
          </w:rPr>
          <w:tab/>
        </w:r>
        <w:r>
          <w:rPr>
            <w:webHidden/>
          </w:rPr>
          <w:fldChar w:fldCharType="begin"/>
        </w:r>
        <w:r>
          <w:rPr>
            <w:webHidden/>
          </w:rPr>
          <w:instrText xml:space="preserve"> PAGEREF _Toc233982882 \h </w:instrText>
        </w:r>
        <w:r>
          <w:rPr>
            <w:webHidden/>
          </w:rPr>
        </w:r>
        <w:r>
          <w:rPr>
            <w:webHidden/>
          </w:rPr>
          <w:fldChar w:fldCharType="separate"/>
        </w:r>
        <w:r w:rsidR="00AC1261">
          <w:rPr>
            <w:webHidden/>
          </w:rPr>
          <w:t>14</w:t>
        </w:r>
        <w:r>
          <w:rPr>
            <w:webHidden/>
          </w:rPr>
          <w:fldChar w:fldCharType="end"/>
        </w:r>
      </w:hyperlink>
    </w:p>
    <w:p w14:paraId="32834B22" w14:textId="279AB42B"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3" w:history="1">
        <w:r w:rsidRPr="00700448">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_Toc233982883 \h </w:instrText>
        </w:r>
        <w:r>
          <w:rPr>
            <w:webHidden/>
          </w:rPr>
        </w:r>
        <w:r>
          <w:rPr>
            <w:webHidden/>
          </w:rPr>
          <w:fldChar w:fldCharType="separate"/>
        </w:r>
        <w:r w:rsidR="00AC1261">
          <w:rPr>
            <w:webHidden/>
          </w:rPr>
          <w:t>22</w:t>
        </w:r>
        <w:r>
          <w:rPr>
            <w:webHidden/>
          </w:rPr>
          <w:fldChar w:fldCharType="end"/>
        </w:r>
      </w:hyperlink>
    </w:p>
    <w:p w14:paraId="71E628DF" w14:textId="69CC1178"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4" w:history="1">
        <w:r w:rsidRPr="00700448">
          <w:rPr>
            <w:rStyle w:val="Hyperlink"/>
          </w:rPr>
          <w:t>7. New Zealand's Final Frontier</w:t>
        </w:r>
        <w:r>
          <w:rPr>
            <w:webHidden/>
          </w:rPr>
          <w:tab/>
        </w:r>
        <w:r>
          <w:rPr>
            <w:webHidden/>
          </w:rPr>
          <w:fldChar w:fldCharType="begin"/>
        </w:r>
        <w:r>
          <w:rPr>
            <w:webHidden/>
          </w:rPr>
          <w:instrText xml:space="preserve"> PAGEREF _Toc233982884 \h </w:instrText>
        </w:r>
        <w:r>
          <w:rPr>
            <w:webHidden/>
          </w:rPr>
        </w:r>
        <w:r>
          <w:rPr>
            <w:webHidden/>
          </w:rPr>
          <w:fldChar w:fldCharType="separate"/>
        </w:r>
        <w:r w:rsidR="00AC1261">
          <w:rPr>
            <w:webHidden/>
          </w:rPr>
          <w:t>24</w:t>
        </w:r>
        <w:r>
          <w:rPr>
            <w:webHidden/>
          </w:rPr>
          <w:fldChar w:fldCharType="end"/>
        </w:r>
      </w:hyperlink>
    </w:p>
    <w:p w14:paraId="25BAE4D4" w14:textId="73479BE3"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5" w:history="1">
        <w:r w:rsidRPr="00700448">
          <w:rPr>
            <w:rStyle w:val="Hyperlink"/>
            <w:rFonts w:eastAsia="Times New Roman"/>
            <w:lang w:eastAsia="en-NZ"/>
          </w:rPr>
          <w:t>8. Implications for Policy</w:t>
        </w:r>
        <w:r>
          <w:rPr>
            <w:webHidden/>
          </w:rPr>
          <w:tab/>
        </w:r>
        <w:r>
          <w:rPr>
            <w:webHidden/>
          </w:rPr>
          <w:fldChar w:fldCharType="begin"/>
        </w:r>
        <w:r>
          <w:rPr>
            <w:webHidden/>
          </w:rPr>
          <w:instrText xml:space="preserve"> PAGEREF _Toc233982885 \h </w:instrText>
        </w:r>
        <w:r>
          <w:rPr>
            <w:webHidden/>
          </w:rPr>
        </w:r>
        <w:r>
          <w:rPr>
            <w:webHidden/>
          </w:rPr>
          <w:fldChar w:fldCharType="separate"/>
        </w:r>
        <w:r w:rsidR="00AC1261">
          <w:rPr>
            <w:webHidden/>
          </w:rPr>
          <w:t>26</w:t>
        </w:r>
        <w:r>
          <w:rPr>
            <w:webHidden/>
          </w:rPr>
          <w:fldChar w:fldCharType="end"/>
        </w:r>
      </w:hyperlink>
    </w:p>
    <w:p w14:paraId="0DE96F90" w14:textId="7B2FDC3A"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6" w:history="1">
        <w:r w:rsidRPr="00700448">
          <w:rPr>
            <w:rStyle w:val="Hyperlink"/>
            <w:rFonts w:eastAsia="Times New Roman"/>
            <w:lang w:eastAsia="en-NZ"/>
          </w:rPr>
          <w:t>9. What MBIE should do next</w:t>
        </w:r>
        <w:r>
          <w:rPr>
            <w:webHidden/>
          </w:rPr>
          <w:tab/>
        </w:r>
        <w:r>
          <w:rPr>
            <w:webHidden/>
          </w:rPr>
          <w:fldChar w:fldCharType="begin"/>
        </w:r>
        <w:r>
          <w:rPr>
            <w:webHidden/>
          </w:rPr>
          <w:instrText xml:space="preserve"> PAGEREF _Toc233982886 \h </w:instrText>
        </w:r>
        <w:r>
          <w:rPr>
            <w:webHidden/>
          </w:rPr>
        </w:r>
        <w:r>
          <w:rPr>
            <w:webHidden/>
          </w:rPr>
          <w:fldChar w:fldCharType="separate"/>
        </w:r>
        <w:r w:rsidR="00AC1261">
          <w:rPr>
            <w:webHidden/>
          </w:rPr>
          <w:t>27</w:t>
        </w:r>
        <w:r>
          <w:rPr>
            <w:webHidden/>
          </w:rPr>
          <w:fldChar w:fldCharType="end"/>
        </w:r>
      </w:hyperlink>
    </w:p>
    <w:p w14:paraId="4F6992EC" w14:textId="5C07BA8F"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7" w:history="1">
        <w:r w:rsidRPr="00700448">
          <w:rPr>
            <w:rStyle w:val="Hyperlink"/>
            <w:lang w:val="fr-FR" w:eastAsia="en-NZ"/>
          </w:rPr>
          <w:t>Bibliography</w:t>
        </w:r>
        <w:r>
          <w:rPr>
            <w:webHidden/>
          </w:rPr>
          <w:tab/>
        </w:r>
        <w:r>
          <w:rPr>
            <w:webHidden/>
          </w:rPr>
          <w:fldChar w:fldCharType="begin"/>
        </w:r>
        <w:r>
          <w:rPr>
            <w:webHidden/>
          </w:rPr>
          <w:instrText xml:space="preserve"> PAGEREF _Toc233982887 \h </w:instrText>
        </w:r>
        <w:r>
          <w:rPr>
            <w:webHidden/>
          </w:rPr>
        </w:r>
        <w:r>
          <w:rPr>
            <w:webHidden/>
          </w:rPr>
          <w:fldChar w:fldCharType="separate"/>
        </w:r>
        <w:r w:rsidR="00AC1261">
          <w:rPr>
            <w:webHidden/>
          </w:rPr>
          <w:t>29</w:t>
        </w:r>
        <w:r>
          <w:rPr>
            <w:webHidden/>
          </w:rPr>
          <w:fldChar w:fldCharType="end"/>
        </w:r>
      </w:hyperlink>
    </w:p>
    <w:p w14:paraId="203636A3" w14:textId="77777777"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3982877"/>
      <w:r>
        <w:rPr>
          <w:rFonts w:eastAsia="Times New Roman"/>
          <w:lang w:eastAsia="en-NZ"/>
        </w:rPr>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77777777"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2B9DFB64" w14:textId="77777777" w:rsidR="00F11AA7" w:rsidRDefault="00F11AA7">
      <w:pPr>
        <w:rPr>
          <w:kern w:val="2"/>
          <w:lang w:eastAsia="en-NZ"/>
          <w14:ligatures w14:val="standardContextual"/>
        </w:rPr>
      </w:pPr>
      <w:r>
        <w:t>MBIE does not need to run the spatial system, but it does need to stop pretending it sits outside it, and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p>
    <w:p w14:paraId="66C2040B" w14:textId="77777777" w:rsidR="006E34E0" w:rsidRDefault="006E34E0" w:rsidP="006E34E0">
      <w:pPr>
        <w:pStyle w:val="Heading2"/>
        <w:rPr>
          <w:rFonts w:eastAsia="Times New Roman"/>
          <w:lang w:eastAsia="en-NZ"/>
        </w:rPr>
      </w:pPr>
      <w:r>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3982878"/>
      <w:r w:rsidRPr="006A6424">
        <w:rPr>
          <w:rFonts w:eastAsia="Times New Roman"/>
          <w:lang w:eastAsia="en-NZ"/>
        </w:rPr>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77777777" w:rsidR="006A6424" w:rsidRPr="006A6424" w:rsidRDefault="006A6424" w:rsidP="006A6424">
      <w:pPr>
        <w:pStyle w:val="Heading2"/>
        <w:rPr>
          <w:rFonts w:eastAsia="Times New Roman"/>
          <w:lang w:eastAsia="en-NZ"/>
        </w:rPr>
      </w:pPr>
      <w:bookmarkStart w:id="5" w:name="_Toc233982879"/>
      <w:r w:rsidRPr="006A6424">
        <w:rPr>
          <w:rFonts w:eastAsia="Times New Roman"/>
          <w:lang w:eastAsia="en-NZ"/>
        </w:rPr>
        <w:t>2. What We Expect from Cities (Evidence Base)</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Knowledge spillovers – proximity enables the transfer of tacit knowledge through face-to-face interaction, labour mobility, and informal networks (Donovan, 2019; Ahrend et al., 2015; Audretsch &amp; Feldman, 2004). The decay is sharp at short distances; as far back as 1977, 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77777777" w:rsidR="006A6424" w:rsidRPr="005A2AAB" w:rsidRDefault="006A6424" w:rsidP="005A2AAB">
      <w:pPr>
        <w:pStyle w:val="ListParagraph"/>
        <w:numPr>
          <w:ilvl w:val="0"/>
          <w:numId w:val="27"/>
        </w:numPr>
        <w:rPr>
          <w:lang w:eastAsia="en-NZ"/>
        </w:rPr>
      </w:pPr>
      <w:r>
        <w:t>Firm competition and selection – denser markets increase competitive pressure. Careful testing, however, finds that 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2BCE32D7" w:rsidR="006A6424" w:rsidRPr="006A6424" w:rsidRDefault="006A6424" w:rsidP="006A6424">
      <w:pPr>
        <w:rPr>
          <w:lang w:eastAsia="en-NZ"/>
        </w:rPr>
      </w:pPr>
      <w:r w:rsidRPr="00AC1261">
        <w:rPr>
          <w:b/>
          <w:bCs/>
          <w:highlight w:val="yellow"/>
          <w:lang w:eastAsia="en-NZ"/>
        </w:rPr>
        <w:t>Third, connectivity matters at least as much as density.</w:t>
      </w:r>
      <w:r w:rsidRPr="00AC1261">
        <w:rPr>
          <w:highlight w:val="yellow"/>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r w:rsidR="00AC1261">
        <w:rPr>
          <w:lang w:eastAsia="en-NZ"/>
        </w:rPr>
        <w:t>re.</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3982880"/>
      <w:r w:rsidRPr="00FF2A7E">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22E8E469" w14:textId="77777777" w:rsidR="0080550B" w:rsidRDefault="006A6424" w:rsidP="00920D09">
      <w:pPr>
        <w:rPr>
          <w:b/>
          <w:bCs/>
          <w:color w:val="006171" w:themeColor="text2"/>
          <w:lang w:eastAsia="en-NZ"/>
        </w:rPr>
      </w:pPr>
      <w:r w:rsidRPr="006A6424">
        <w:rPr>
          <w:lang w:eastAsia="en-NZ"/>
        </w:rPr>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commentRangeStart w:id="7"/>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commentRangeEnd w:id="7"/>
      <w:r w:rsidR="00AE2844">
        <w:rPr>
          <w:rStyle w:val="CommentReference"/>
        </w:rPr>
        <w:commentReference w:id="7"/>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commentRangeStart w:id="8"/>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commentRangeEnd w:id="8"/>
      <w:r w:rsidR="00AE2844">
        <w:rPr>
          <w:rStyle w:val="CommentReference"/>
        </w:rPr>
        <w:commentReference w:id="8"/>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9" w:name="_Toc233982881"/>
      <w:r w:rsidRPr="006A6424">
        <w:rPr>
          <w:rFonts w:eastAsia="Times New Roman"/>
          <w:lang w:eastAsia="en-NZ"/>
        </w:rPr>
        <w:t>4. Spatial Policy as a System Lever</w:t>
      </w:r>
      <w:bookmarkEnd w:id="9"/>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commentRangeStart w:id="10"/>
      <w:r w:rsidRPr="005A2AAB">
        <w:rPr>
          <w:lang w:eastAsia="en-NZ"/>
        </w:rPr>
        <w:t>direct or specific support for industry clusters, innovation facilities, and industrial zones</w:t>
      </w:r>
      <w:commentRangeEnd w:id="10"/>
      <w:r w:rsidR="00AE2844">
        <w:rPr>
          <w:rStyle w:val="CommentReference"/>
        </w:rPr>
        <w:commentReference w:id="10"/>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11" w:name="_Toc233982882"/>
      <w:r>
        <w:t>5. The New Zealand Spatial System — Evidence and Mechanisms</w:t>
      </w:r>
      <w:bookmarkEnd w:id="11"/>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commentRangeStart w:id="12"/>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commentRangeEnd w:id="12"/>
      <w:r w:rsidR="008D2C75">
        <w:rPr>
          <w:rStyle w:val="CommentReference"/>
        </w:rPr>
        <w:commentReference w:id="12"/>
      </w:r>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w:t>
            </w:r>
            <w:commentRangeStart w:id="13"/>
            <w:commentRangeStart w:id="14"/>
            <w:r w:rsidRPr="006A6424">
              <w:rPr>
                <w:lang w:eastAsia="en-NZ"/>
              </w:rPr>
              <w:t xml:space="preserve">Dublin, Helsinki, </w:t>
            </w:r>
            <w:commentRangeEnd w:id="13"/>
            <w:r w:rsidR="00EA604A">
              <w:rPr>
                <w:rStyle w:val="CommentReference"/>
              </w:rPr>
              <w:commentReference w:id="13"/>
            </w:r>
            <w:commentRangeEnd w:id="14"/>
            <w:r w:rsidR="00327824">
              <w:rPr>
                <w:rStyle w:val="CommentReference"/>
              </w:rPr>
              <w:commentReference w:id="14"/>
            </w:r>
            <w:r w:rsidRPr="006A6424">
              <w:rPr>
                <w:lang w:eastAsia="en-NZ"/>
              </w:rPr>
              <w:t xml:space="preserve">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0BEDB309"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1AF3C6D"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A41A9B2"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37BBAB"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commentRangeStart w:id="15"/>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commentRangeEnd w:id="15"/>
      <w:r w:rsidR="005C4CDC">
        <w:rPr>
          <w:rStyle w:val="CommentReference"/>
        </w:rPr>
        <w:commentReference w:id="15"/>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23"/>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4"/>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Pr="006A6424" w:rsidRDefault="006A6424" w:rsidP="003F57E3">
      <w:pPr>
        <w:rPr>
          <w:lang w:eastAsia="en-NZ"/>
        </w:rPr>
      </w:pPr>
      <w:r w:rsidRPr="006A6424">
        <w:rPr>
          <w:lang w:eastAsia="en-NZ"/>
        </w:rP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w:t>
      </w:r>
      <w:proofErr w:type="gramStart"/>
      <w:r w:rsidRPr="006A6424">
        <w:rPr>
          <w:lang w:eastAsia="en-NZ"/>
        </w:rPr>
        <w:t>the vast majority of</w:t>
      </w:r>
      <w:proofErr w:type="gramEnd"/>
      <w:r w:rsidRPr="006A6424">
        <w:rPr>
          <w:lang w:eastAsia="en-NZ"/>
        </w:rPr>
        <w:t xml:space="preserve">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commentRangeStart w:id="16"/>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commentRangeEnd w:id="16"/>
      <w:r w:rsidR="003403DD">
        <w:rPr>
          <w:rStyle w:val="CommentReference"/>
        </w:rPr>
        <w:commentReference w:id="16"/>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937B565" w14:textId="77777777" w:rsidR="006A6424" w:rsidRPr="006A6424" w:rsidRDefault="00AF1867" w:rsidP="00AF1867">
      <w:pPr>
        <w:pStyle w:val="Heading4"/>
        <w:rPr>
          <w:rFonts w:eastAsia="Times New Roman"/>
          <w:lang w:eastAsia="en-NZ"/>
        </w:rPr>
      </w:pPr>
      <w:r>
        <w:rPr>
          <w:rFonts w:eastAsia="Times New Roman"/>
          <w:lang w:eastAsia="en-NZ"/>
        </w:rPr>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w:t>
      </w:r>
      <w:commentRangeStart w:id="17"/>
      <w:r w:rsidRPr="006A6424">
        <w:rPr>
          <w:lang w:eastAsia="en-NZ"/>
        </w:rPr>
        <w:t xml:space="preserve">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commentRangeEnd w:id="17"/>
      <w:r w:rsidR="007D0E8A">
        <w:rPr>
          <w:rStyle w:val="CommentReference"/>
        </w:rPr>
        <w:commentReference w:id="17"/>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18" w:name="_Toc233982883"/>
      <w:r w:rsidRPr="006A6424">
        <w:rPr>
          <w:rFonts w:eastAsia="Times New Roman"/>
          <w:lang w:eastAsia="en-NZ"/>
        </w:rPr>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18"/>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rsidRPr="0032168E">
        <w:rPr>
          <w:highlight w:val="yellow"/>
        </w:rPr>
        <w:t>These ideas and debates all reflect a common question; how should economic activity, political power and public investment be distributed across place</w:t>
      </w:r>
      <w:r>
        <w:t xml:space="preserve">? While the terms of the debate have changed over time, the underlying tension has remained remarkably consistent. </w:t>
      </w:r>
      <w:commentRangeStart w:id="19"/>
      <w:r>
        <w:t>New Zealand has been both an urban nation and a nation whose political identity was strongly shaped by rural settlement and regional aspiration</w:t>
      </w:r>
      <w:commentRangeEnd w:id="19"/>
      <w:r w:rsidR="0032168E">
        <w:rPr>
          <w:rStyle w:val="CommentReference"/>
        </w:rPr>
        <w:commentReference w:id="19"/>
      </w:r>
      <w:r>
        <w:t>. As a result, spatial policy has often oscillated between supporting the growth of major centres and seeking to sustain opportunity across the wider regions.</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 xml:space="preserve">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w:t>
      </w:r>
      <w:commentRangeStart w:id="20"/>
      <w:r>
        <w:t xml:space="preserve">name </w:t>
      </w:r>
      <w:commentRangeEnd w:id="20"/>
      <w:r w:rsidR="00E3182C">
        <w:rPr>
          <w:rStyle w:val="CommentReference"/>
        </w:rPr>
        <w:commentReference w:id="20"/>
      </w:r>
      <w:r>
        <w:t>‘</w:t>
      </w:r>
      <w:proofErr w:type="spellStart"/>
      <w:r>
        <w:t>tangata</w:t>
      </w:r>
      <w:proofErr w:type="spellEnd"/>
      <w:r>
        <w:t xml:space="preserve"> whenua’; the indivisibility of iwi and rohe is a central part of this national character.</w:t>
      </w:r>
    </w:p>
    <w:p w14:paraId="279E9B17" w14:textId="77777777" w:rsidR="00265A65" w:rsidRDefault="00505D4B">
      <w:r>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21" w:name="_Toc233982884"/>
      <w:r>
        <w:t>7. New Zealand's Final Frontier</w:t>
      </w:r>
      <w:bookmarkEnd w:id="21"/>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0D5F54">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commentRangeStart w:id="22"/>
      <w:r>
        <w:t xml:space="preserve">This hypothesis remains speculative and requires further testing. </w:t>
      </w:r>
      <w:commentRangeEnd w:id="22"/>
      <w:r w:rsidR="00BE0303">
        <w:rPr>
          <w:rStyle w:val="CommentReference"/>
        </w:rPr>
        <w:commentReference w:id="22"/>
      </w:r>
      <w:r>
        <w:t>The Productivity Commission does not make this argument directly. However, the logic is sufficiently compelling to warrant investigation.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23" w:name="_Toc233982885"/>
      <w:r>
        <w:rPr>
          <w:rFonts w:eastAsia="Times New Roman"/>
          <w:lang w:eastAsia="en-NZ"/>
        </w:rPr>
        <w:t>8</w:t>
      </w:r>
      <w:r w:rsidR="006A6424" w:rsidRPr="006A6424">
        <w:rPr>
          <w:rFonts w:eastAsia="Times New Roman"/>
          <w:lang w:eastAsia="en-NZ"/>
        </w:rPr>
        <w:t>. Implications for Policy</w:t>
      </w:r>
      <w:bookmarkEnd w:id="23"/>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45BFA78D" w14:textId="77777777" w:rsidR="001D3A83" w:rsidRDefault="001D3A83" w:rsidP="00425772">
      <w:pPr>
        <w:rPr>
          <w:kern w:val="2"/>
          <w:lang w:eastAsia="en-NZ"/>
          <w14:ligatures w14:val="standardContextual"/>
        </w:rPr>
      </w:pPr>
      <w:commentRangeStart w:id="24"/>
      <w:r>
        <w:t>This matters because growth does not automatically pay for itself at the local level.</w:t>
      </w:r>
      <w:commentRangeEnd w:id="24"/>
      <w:r w:rsidR="00BE0303">
        <w:rPr>
          <w:rStyle w:val="CommentReference"/>
        </w:rPr>
        <w:commentReference w:id="24"/>
      </w:r>
      <w:r>
        <w:t xml:space="preserve"> Population growth may increase national output and the national tax base, but the costs of accommodating that growth are highly localised: housing supply, transport capacity, water infrastructure, schools, health facilities, public space and local amenities must all be provided in particular places,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25" w:name="_Toc233982886"/>
      <w:r>
        <w:rPr>
          <w:rFonts w:eastAsia="Times New Roman"/>
          <w:lang w:eastAsia="en-NZ"/>
        </w:rPr>
        <w:t>9</w:t>
      </w:r>
      <w:r w:rsidR="006A6424" w:rsidRPr="006A6424">
        <w:rPr>
          <w:rFonts w:eastAsia="Times New Roman"/>
          <w:lang w:eastAsia="en-NZ"/>
        </w:rPr>
        <w:t xml:space="preserve">. </w:t>
      </w:r>
      <w:r w:rsidR="006E34E0">
        <w:rPr>
          <w:rFonts w:eastAsia="Times New Roman"/>
          <w:lang w:eastAsia="en-NZ"/>
        </w:rPr>
        <w:t>What MBIE should do next</w:t>
      </w:r>
      <w:bookmarkEnd w:id="25"/>
    </w:p>
    <w:p w14:paraId="3B6619E9" w14:textId="77777777" w:rsidR="008B4DDF" w:rsidRDefault="000D5F54">
      <w:r>
        <w:rPr>
          <w:b/>
        </w:rPr>
        <w:t>The Missing Institution</w:t>
      </w:r>
    </w:p>
    <w:p w14:paraId="56FCE4B9" w14:textId="77777777" w:rsidR="008B4DDF" w:rsidRDefault="000D5F54">
      <w:commentRangeStart w:id="26"/>
      <w:r>
        <w:t xml:space="preserve">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w:t>
      </w:r>
      <w:commentRangeEnd w:id="26"/>
      <w:r w:rsidR="00BE0303">
        <w:rPr>
          <w:rStyle w:val="CommentReference"/>
        </w:rPr>
        <w:commentReference w:id="26"/>
      </w:r>
      <w:r>
        <w:t>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0D5F54">
      <w:r>
        <w:t>This leaves a persistent institutional gap despite the creation of MCERT. Many agencies are responsible for delivering parts of the spatial system, but no agency is clearly responsible for ensuring that the system as a whole maximises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0D5F54">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0D5F54">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commentRangeStart w:id="27"/>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Geographically neutral policies can at this stage be considered actively harmful towards productivity; we are leaving potential premia on the table</w:t>
      </w:r>
      <w:commentRangeEnd w:id="27"/>
      <w:r w:rsidR="00FB3A32">
        <w:rPr>
          <w:rStyle w:val="CommentReference"/>
        </w:rPr>
        <w:commentReference w:id="27"/>
      </w:r>
      <w:r w:rsidR="00717D67">
        <w:t xml:space="preserv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commentRangeStart w:id="28"/>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commentRangeEnd w:id="28"/>
      <w:r w:rsidR="00FB3A32">
        <w:rPr>
          <w:rStyle w:val="CommentReference"/>
        </w:rPr>
        <w:commentReference w:id="28"/>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w:t>
      </w:r>
      <w:commentRangeStart w:id="29"/>
      <w:r>
        <w:t>For Auckland, that means asking whether policy deepens labour markets, improves access to productive locations, supports frontier-firm ecosystems and reduces the frictions that currently turn scale into cost.</w:t>
      </w:r>
      <w:commentRangeEnd w:id="29"/>
      <w:r w:rsidR="007E79B6">
        <w:rPr>
          <w:rStyle w:val="CommentReference"/>
        </w:rPr>
        <w:commentReference w:id="29"/>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commentRangeStart w:id="30"/>
      <w:r>
        <w:t>The fourth task is to show up</w:t>
      </w:r>
      <w:commentRangeEnd w:id="30"/>
      <w:r w:rsidR="009A0678">
        <w:rPr>
          <w:rStyle w:val="CommentReference"/>
        </w:rPr>
        <w:commentReference w:id="30"/>
      </w:r>
      <w:r>
        <w:t>.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31" w:name="_Toc233982887"/>
      <w:r w:rsidR="006A6424" w:rsidRPr="009B2F01">
        <w:rPr>
          <w:lang w:eastAsia="en-NZ"/>
        </w:rPr>
        <w:t>Bibliography</w:t>
      </w:r>
      <w:bookmarkEnd w:id="31"/>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060B1816"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r>
        <w:rPr>
          <w:i/>
        </w:rPr>
        <w:t>Econometrica</w:t>
      </w:r>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2021-024/VIII. Amsterdam: Tinbergen Institute.</w:t>
      </w:r>
    </w:p>
    <w:p w14:paraId="42A703F5" w14:textId="77777777" w:rsidR="006A6424" w:rsidRPr="006A6424" w:rsidRDefault="006A6424" w:rsidP="00425772">
      <w:pPr>
        <w:rPr>
          <w:lang w:eastAsia="en-NZ"/>
        </w:rPr>
      </w:pPr>
      <w:r w:rsidRPr="006A6424">
        <w:rPr>
          <w:lang w:eastAsia="en-NZ"/>
        </w:rPr>
        <w:t>Donovan, S., de Graaff, T., de Groot, H.L.F., Grimes, A. and Maré, D.C. (2022). Cities with forking paths? Agglomeration economies in New Zealand 1976–2018. </w:t>
      </w:r>
      <w:r w:rsidRPr="006A6424">
        <w:rPr>
          <w:i/>
          <w:iCs/>
          <w:lang w:eastAsia="en-NZ"/>
        </w:rPr>
        <w:t>Regional Science and Urban Economics</w:t>
      </w:r>
      <w:r w:rsidRPr="006A6424">
        <w:rPr>
          <w:lang w:eastAsia="en-NZ"/>
        </w:rPr>
        <w:t>, 95, Article 103779.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607F07AA" w14:textId="77777777" w:rsidR="006A6424" w:rsidRPr="006A6424" w:rsidRDefault="006A6424" w:rsidP="00425772">
      <w:pPr>
        <w:rPr>
          <w:lang w:eastAsia="en-NZ"/>
        </w:rPr>
      </w:pPr>
      <w:r w:rsidRPr="006A6424">
        <w:rPr>
          <w:lang w:eastAsia="en-NZ"/>
        </w:rPr>
        <w:t>Kānoa RD. (2026, February). </w:t>
      </w:r>
      <w:r w:rsidRPr="006A6424">
        <w:rPr>
          <w:i/>
          <w:iCs/>
          <w:lang w:eastAsia="en-NZ"/>
        </w:rPr>
        <w:t>Changes in population across Aotearoa/New Zealand</w:t>
      </w:r>
      <w:r w:rsidRPr="006A6424">
        <w:rPr>
          <w:lang w:eastAsia="en-NZ"/>
        </w:rPr>
        <w:t>. Kānoa — Regional Economic Development &amp; Investment Unit, Ministry of Business, Innovation &amp; Employment. Internal presentation.</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4E67381" w14:textId="77777777" w:rsidR="006A6424" w:rsidRPr="006A6424" w:rsidRDefault="006A6424" w:rsidP="00425772">
      <w:pPr>
        <w:rPr>
          <w:lang w:eastAsia="en-NZ"/>
        </w:rPr>
      </w:pPr>
      <w:r w:rsidRPr="006A6424">
        <w:rPr>
          <w:lang w:eastAsia="en-NZ"/>
        </w:rPr>
        <w:t>Ministry of Housing and Urban Development. (2024). </w:t>
      </w:r>
      <w:r w:rsidRPr="006A6424">
        <w:rPr>
          <w:i/>
          <w:iCs/>
          <w:lang w:eastAsia="en-NZ"/>
        </w:rPr>
        <w:t>Research on housing as an enabler of economic growth and productivity</w:t>
      </w:r>
      <w:r w:rsidRPr="006A6424">
        <w:rPr>
          <w:lang w:eastAsia="en-NZ"/>
        </w:rPr>
        <w:t> (Aide-memoire HUD2024-003621, 8 March 2024). Wellington: New Zealand Government.</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432786B4" w14:textId="77777777" w:rsidR="0017741E" w:rsidRPr="00B22259" w:rsidRDefault="0017741E" w:rsidP="006A6424">
      <w:pPr>
        <w:pStyle w:val="Heading1"/>
      </w:pPr>
    </w:p>
    <w:sectPr w:rsidR="0017741E" w:rsidRPr="00B22259" w:rsidSect="00D2741D">
      <w:headerReference w:type="default" r:id="rId25"/>
      <w:footerReference w:type="default" r:id="rId26"/>
      <w:footerReference w:type="first" r:id="rId27"/>
      <w:pgSz w:w="11900" w:h="16840"/>
      <w:pgMar w:top="1701" w:right="1134" w:bottom="1418" w:left="1134" w:header="567"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drew McCallum" w:date="2026-07-08T13:03:00Z" w:initials="AM">
    <w:p w14:paraId="216F6C10" w14:textId="77777777" w:rsidR="00AE2844" w:rsidRDefault="00AE2844" w:rsidP="00AE2844">
      <w:pPr>
        <w:pStyle w:val="CommentText"/>
      </w:pPr>
      <w:r>
        <w:rPr>
          <w:rStyle w:val="CommentReference"/>
        </w:rPr>
        <w:annotationRef/>
      </w:r>
      <w:r>
        <w:rPr>
          <w:lang w:val="en-US"/>
        </w:rPr>
        <w:t>nice</w:t>
      </w:r>
    </w:p>
  </w:comment>
  <w:comment w:id="8" w:author="Andrew McCallum" w:date="2026-07-08T13:05:00Z" w:initials="AM">
    <w:p w14:paraId="287B0A69" w14:textId="77777777" w:rsidR="00AE2844" w:rsidRDefault="00AE2844" w:rsidP="00AE2844">
      <w:pPr>
        <w:pStyle w:val="CommentText"/>
      </w:pPr>
      <w:r>
        <w:rPr>
          <w:rStyle w:val="CommentReference"/>
        </w:rPr>
        <w:annotationRef/>
      </w:r>
      <w:r>
        <w:rPr>
          <w:lang w:val="en-US"/>
        </w:rPr>
        <w:t>Another way of saying this is that 1. the system is perfectly designed to deliver the outcomes it does 2. NZ’s productivity performance is a feature, not a bug.</w:t>
      </w:r>
    </w:p>
  </w:comment>
  <w:comment w:id="10" w:author="Andrew McCallum" w:date="2026-07-08T13:06:00Z" w:initials="AM">
    <w:p w14:paraId="2FAFE500" w14:textId="77777777" w:rsidR="00AE2844" w:rsidRDefault="00AE2844" w:rsidP="00AE2844">
      <w:pPr>
        <w:pStyle w:val="CommentText"/>
      </w:pPr>
      <w:r>
        <w:rPr>
          <w:rStyle w:val="CommentReference"/>
        </w:rPr>
        <w:annotationRef/>
      </w:r>
      <w:r>
        <w:rPr>
          <w:lang w:val="en-US"/>
        </w:rPr>
        <w:t>Who is this author and what have they done with Richard Walley????</w:t>
      </w:r>
    </w:p>
  </w:comment>
  <w:comment w:id="12" w:author="Andrew McCallum" w:date="2026-07-08T13:13:00Z" w:initials="AM">
    <w:p w14:paraId="5DB6760A" w14:textId="77777777" w:rsidR="008D2C75" w:rsidRDefault="008D2C75" w:rsidP="008D2C75">
      <w:pPr>
        <w:pStyle w:val="CommentText"/>
      </w:pPr>
      <w:r>
        <w:rPr>
          <w:rStyle w:val="CommentReference"/>
        </w:rPr>
        <w:annotationRef/>
      </w:r>
      <w:r>
        <w:rPr>
          <w:lang w:val="en-US"/>
        </w:rPr>
        <w:t>This was a core theme in the LTIB. E.g. in principle 3: Knowledge-intensive industries thrive in clusters that enable talent pooling, rapid feedback and close collaboration, especially when these clusters are connected to global networks."</w:t>
      </w:r>
    </w:p>
    <w:p w14:paraId="3507B00D" w14:textId="77777777" w:rsidR="008D2C75" w:rsidRDefault="008D2C75" w:rsidP="008D2C75">
      <w:pPr>
        <w:pStyle w:val="CommentText"/>
      </w:pPr>
      <w:r>
        <w:rPr>
          <w:lang w:val="en-US"/>
        </w:rPr>
        <w:t>Be nice to cite MBIEs own work</w:t>
      </w:r>
    </w:p>
  </w:comment>
  <w:comment w:id="13" w:author="Andrew McCallum" w:date="2026-07-08T13:17:00Z" w:initials="AM">
    <w:p w14:paraId="2E355128" w14:textId="77777777" w:rsidR="00EA604A" w:rsidRDefault="00EA604A" w:rsidP="00EA604A">
      <w:pPr>
        <w:pStyle w:val="CommentText"/>
      </w:pPr>
      <w:r>
        <w:rPr>
          <w:rStyle w:val="CommentReference"/>
        </w:rPr>
        <w:annotationRef/>
      </w:r>
      <w:r>
        <w:rPr>
          <w:lang w:val="en-US"/>
        </w:rPr>
        <w:t>Interestingly, Auckland is bigger than Dublin and Helsinki.</w:t>
      </w:r>
    </w:p>
  </w:comment>
  <w:comment w:id="14" w:author="Andrew McCallum" w:date="2026-07-08T13:22:00Z" w:initials="AM">
    <w:p w14:paraId="025496BD" w14:textId="77777777" w:rsidR="00327824" w:rsidRDefault="00327824" w:rsidP="00327824">
      <w:pPr>
        <w:pStyle w:val="CommentText"/>
      </w:pPr>
      <w:r>
        <w:rPr>
          <w:rStyle w:val="CommentReference"/>
        </w:rPr>
        <w:annotationRef/>
      </w:r>
      <w:r>
        <w:t>Comparisons with Dublin, Helsinki and Tel Aviv should be interpreted with caution because those cities operate within more densely connected regional economic systems than Auckland. Nevertheless, the comparison remains useful because it highlights that Auckland's metropolitan productivity premium appears relatively weak even after decades of population concentration. The policy question is therefore not whether Auckland can fully replicate the performance of core-economy cities, but whether it is extracting the full productivity benefits available given its scale and role within the New Zealand economy. That's where the discussion on housing, infrastructure, congestion, capital allocation and urban capability becomes important.</w:t>
      </w:r>
    </w:p>
    <w:p w14:paraId="4F0CC79F" w14:textId="77777777" w:rsidR="00327824" w:rsidRDefault="00327824" w:rsidP="00327824">
      <w:pPr>
        <w:pStyle w:val="CommentText"/>
      </w:pPr>
    </w:p>
  </w:comment>
  <w:comment w:id="15" w:author="Andrew McCallum" w:date="2026-07-08T13:26:00Z" w:initials="AM">
    <w:p w14:paraId="4BBC96EE" w14:textId="77777777" w:rsidR="005C4CDC" w:rsidRDefault="005C4CDC" w:rsidP="005C4CDC">
      <w:pPr>
        <w:pStyle w:val="CommentText"/>
      </w:pPr>
      <w:r>
        <w:rPr>
          <w:rStyle w:val="CommentReference"/>
        </w:rPr>
        <w:annotationRef/>
      </w:r>
      <w:r>
        <w:t>This section is persuasive, but it appears to omit a significant strand of New Zealand literature on housing, land-use regulation and productivity. In particular, work associated with Benno Blaschke and the New Zealand Initiative has argued that housing affordability and planning constraints operate not merely as housing market issues but as productivity issues, by limiting labour mobility, reducing access to high-productivity locations and weakening agglomeration effects. While the current section cites relevant government and academic sources, acknowledging this body of work would broaden the evidential base and demonstrate that concerns about housing-driven spatial misallocation have been raised from multiple analytical perspectives for some time.</w:t>
      </w:r>
    </w:p>
  </w:comment>
  <w:comment w:id="16" w:author="Andrew McCallum" w:date="2026-07-08T13:43:00Z" w:initials="AM">
    <w:p w14:paraId="09D25A08" w14:textId="77777777" w:rsidR="003403DD" w:rsidRDefault="003403DD" w:rsidP="003403DD">
      <w:pPr>
        <w:pStyle w:val="CommentText"/>
      </w:pPr>
      <w:r>
        <w:rPr>
          <w:rStyle w:val="CommentReference"/>
        </w:rPr>
        <w:annotationRef/>
      </w:r>
      <w:r>
        <w:t>The paper convincingly argues that geography matters. If geography matters, then governance might matter too. The question is whether a highly centralised state can optimally manage the development of a metropolitan economy that now contains around one-third of the country's people and output. That possibility deserves at least some discussion. Internationally, many high-performing metropolitan regions exercise greater influence over transport, infrastructure, economic development and spatial planning decisions than Auckland currently does. If Auckland's performance is increasingly important to national productivity outcomes, there may be merit in considering whether more decisions should be made closer to the metropolitan system they affect.</w:t>
      </w:r>
    </w:p>
    <w:p w14:paraId="6B56B60F" w14:textId="77777777" w:rsidR="003403DD" w:rsidRDefault="003403DD" w:rsidP="003403DD">
      <w:pPr>
        <w:pStyle w:val="CommentText"/>
      </w:pPr>
      <w:r>
        <w:t>I would argue for Wgtn to get out of the way of Auckland</w:t>
      </w:r>
    </w:p>
  </w:comment>
  <w:comment w:id="17" w:author="Andrew McCallum" w:date="2026-07-08T14:12:00Z" w:initials="AM">
    <w:p w14:paraId="77F1E71C" w14:textId="77777777" w:rsidR="007D0E8A" w:rsidRDefault="007D0E8A" w:rsidP="007D0E8A">
      <w:pPr>
        <w:pStyle w:val="CommentText"/>
      </w:pPr>
      <w:r>
        <w:rPr>
          <w:rStyle w:val="CommentReference"/>
        </w:rPr>
        <w:annotationRef/>
      </w:r>
      <w:r>
        <w:rPr>
          <w:lang w:val="en-US"/>
        </w:rPr>
        <w:t xml:space="preserve">Just noting that manufacturing in the regions hollowed out post 1980s. </w:t>
      </w:r>
    </w:p>
  </w:comment>
  <w:comment w:id="19" w:author="Andrew McCallum" w:date="2026-07-08T14:23:00Z" w:initials="AM">
    <w:p w14:paraId="4C3F63E4" w14:textId="77777777" w:rsidR="0032168E" w:rsidRDefault="0032168E" w:rsidP="0032168E">
      <w:pPr>
        <w:pStyle w:val="CommentText"/>
      </w:pPr>
      <w:r>
        <w:rPr>
          <w:rStyle w:val="CommentReference"/>
        </w:rPr>
        <w:annotationRef/>
      </w:r>
      <w:r>
        <w:rPr>
          <w:lang w:val="en-US"/>
        </w:rPr>
        <w:t>And a young settler economy</w:t>
      </w:r>
    </w:p>
  </w:comment>
  <w:comment w:id="20" w:author="Andrew McCallum" w:date="2026-07-08T14:25:00Z" w:initials="AM">
    <w:p w14:paraId="0A440039" w14:textId="77777777" w:rsidR="00E3182C" w:rsidRDefault="00E3182C" w:rsidP="00E3182C">
      <w:pPr>
        <w:pStyle w:val="CommentText"/>
      </w:pPr>
      <w:r>
        <w:rPr>
          <w:rStyle w:val="CommentReference"/>
        </w:rPr>
        <w:annotationRef/>
      </w:r>
      <w:r>
        <w:rPr>
          <w:lang w:val="en-US"/>
        </w:rPr>
        <w:t>phrase</w:t>
      </w:r>
    </w:p>
  </w:comment>
  <w:comment w:id="22" w:author="Andrew McCallum" w:date="2026-07-08T14:50:00Z" w:initials="AM">
    <w:p w14:paraId="1B9EB1E3" w14:textId="77777777" w:rsidR="00BE0303" w:rsidRDefault="00BE0303" w:rsidP="00BE0303">
      <w:pPr>
        <w:pStyle w:val="CommentText"/>
      </w:pPr>
      <w:r>
        <w:rPr>
          <w:rStyle w:val="CommentReference"/>
        </w:rPr>
        <w:annotationRef/>
      </w:r>
      <w:r>
        <w:rPr>
          <w:lang w:val="en-US"/>
        </w:rPr>
        <w:t>It’s blindingly obvious</w:t>
      </w:r>
    </w:p>
  </w:comment>
  <w:comment w:id="24" w:author="Andrew McCallum" w:date="2026-07-08T14:51:00Z" w:initials="AM">
    <w:p w14:paraId="6BF41887" w14:textId="77777777" w:rsidR="00BE0303" w:rsidRDefault="00BE0303" w:rsidP="00BE0303">
      <w:pPr>
        <w:pStyle w:val="CommentText"/>
      </w:pPr>
      <w:r>
        <w:rPr>
          <w:rStyle w:val="CommentReference"/>
        </w:rPr>
        <w:annotationRef/>
      </w:r>
      <w:r>
        <w:rPr>
          <w:lang w:val="en-US"/>
        </w:rPr>
        <w:t>Excellent point</w:t>
      </w:r>
    </w:p>
  </w:comment>
  <w:comment w:id="26" w:author="Andrew McCallum" w:date="2026-07-08T14:54:00Z" w:initials="AM">
    <w:p w14:paraId="0FDE67DD" w14:textId="77777777" w:rsidR="00BE0303" w:rsidRDefault="00BE0303" w:rsidP="00BE0303">
      <w:pPr>
        <w:pStyle w:val="CommentText"/>
      </w:pPr>
      <w:r>
        <w:rPr>
          <w:rStyle w:val="CommentReference"/>
        </w:rPr>
        <w:annotationRef/>
      </w:r>
      <w:r>
        <w:rPr>
          <w:lang w:val="en-US"/>
        </w:rPr>
        <w:t xml:space="preserve">MCERT will mean the loss of domain knowledge and expertise as happened with the formation of MBIE. </w:t>
      </w:r>
    </w:p>
  </w:comment>
  <w:comment w:id="27" w:author="Andrew McCallum" w:date="2026-07-08T14:55:00Z" w:initials="AM">
    <w:p w14:paraId="4A4ADFF5" w14:textId="77777777" w:rsidR="00FB3A32" w:rsidRDefault="00FB3A32" w:rsidP="00FB3A32">
      <w:pPr>
        <w:pStyle w:val="CommentText"/>
      </w:pPr>
      <w:r>
        <w:rPr>
          <w:rStyle w:val="CommentReference"/>
        </w:rPr>
        <w:annotationRef/>
      </w:r>
      <w:r>
        <w:rPr>
          <w:lang w:val="en-US"/>
        </w:rPr>
        <w:t>agree</w:t>
      </w:r>
    </w:p>
  </w:comment>
  <w:comment w:id="28" w:author="Andrew McCallum" w:date="2026-07-08T14:59:00Z" w:initials="AM">
    <w:p w14:paraId="08A6D7E6" w14:textId="77777777" w:rsidR="00FB3A32" w:rsidRDefault="00FB3A32" w:rsidP="00FB3A32">
      <w:pPr>
        <w:pStyle w:val="CommentText"/>
      </w:pPr>
      <w:r>
        <w:rPr>
          <w:rStyle w:val="CommentReference"/>
        </w:rPr>
        <w:annotationRef/>
      </w:r>
      <w:r>
        <w:rPr>
          <w:lang w:val="en-US"/>
        </w:rPr>
        <w:t>MED/MBIE sued to have a cities and regions team, a regional development team, a sector team, a medium term strategy group with economists with mana, and people with deep domain expertise. Mostly gone</w:t>
      </w:r>
    </w:p>
  </w:comment>
  <w:comment w:id="29" w:author="Andrew McCallum" w:date="2026-07-08T15:01:00Z" w:initials="AM">
    <w:p w14:paraId="10F85CBE" w14:textId="77777777" w:rsidR="007E79B6" w:rsidRDefault="007E79B6" w:rsidP="007E79B6">
      <w:pPr>
        <w:pStyle w:val="CommentText"/>
      </w:pPr>
      <w:r>
        <w:rPr>
          <w:rStyle w:val="CommentReference"/>
        </w:rPr>
        <w:annotationRef/>
      </w:r>
      <w:r>
        <w:rPr>
          <w:lang w:val="en-US"/>
        </w:rPr>
        <w:t xml:space="preserve">Devolve most of the decision making to Auckland. Too much wgtn, </w:t>
      </w:r>
    </w:p>
  </w:comment>
  <w:comment w:id="30" w:author="Andrew McCallum" w:date="2026-07-08T15:07:00Z" w:initials="AM">
    <w:p w14:paraId="635BC69E" w14:textId="77777777" w:rsidR="009A0678" w:rsidRDefault="009A0678" w:rsidP="009A0678">
      <w:pPr>
        <w:pStyle w:val="CommentText"/>
      </w:pPr>
      <w:r>
        <w:rPr>
          <w:rStyle w:val="CommentReference"/>
        </w:rPr>
        <w:annotationRef/>
      </w:r>
      <w:r>
        <w:rPr>
          <w:lang w:val="en-US"/>
        </w:rPr>
        <w:t xml:space="preserve">Or get out of the way ☺️ A first task is to develop our operating frame, how we think about this, and what capabilities we need to do the job. The key point as </w:t>
      </w:r>
      <w:r>
        <w:rPr>
          <w:color w:val="474747"/>
          <w:highlight w:val="white"/>
          <w:lang w:val="en-US"/>
        </w:rPr>
        <w:t>Shamubeel Eaqub</w:t>
      </w:r>
      <w:r>
        <w:rPr>
          <w:lang w:val="en-US"/>
        </w:rPr>
        <w:t xml:space="preserve"> points out and I agree is that the how is more important than the what. The what emerges from the how.  We need to be system stewards, not know-it-alls. Much to discuss in this section so no more comments from me at the moment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6F6C10" w15:done="0"/>
  <w15:commentEx w15:paraId="287B0A69" w15:done="0"/>
  <w15:commentEx w15:paraId="2FAFE500" w15:done="0"/>
  <w15:commentEx w15:paraId="3507B00D" w15:done="0"/>
  <w15:commentEx w15:paraId="2E355128" w15:done="0"/>
  <w15:commentEx w15:paraId="4F0CC79F" w15:paraIdParent="2E355128" w15:done="0"/>
  <w15:commentEx w15:paraId="4BBC96EE" w15:done="0"/>
  <w15:commentEx w15:paraId="6B56B60F" w15:done="0"/>
  <w15:commentEx w15:paraId="77F1E71C" w15:done="0"/>
  <w15:commentEx w15:paraId="4C3F63E4" w15:done="0"/>
  <w15:commentEx w15:paraId="0A440039" w15:done="0"/>
  <w15:commentEx w15:paraId="1B9EB1E3" w15:done="0"/>
  <w15:commentEx w15:paraId="6BF41887" w15:done="0"/>
  <w15:commentEx w15:paraId="0FDE67DD" w15:done="0"/>
  <w15:commentEx w15:paraId="4A4ADFF5" w15:done="0"/>
  <w15:commentEx w15:paraId="08A6D7E6" w15:done="0"/>
  <w15:commentEx w15:paraId="10F85CBE" w15:done="0"/>
  <w15:commentEx w15:paraId="635BC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572380" w16cex:dateUtc="2026-07-08T01:03:00Z"/>
  <w16cex:commentExtensible w16cex:durableId="5CA24BF3" w16cex:dateUtc="2026-07-08T01:05:00Z"/>
  <w16cex:commentExtensible w16cex:durableId="456277F9" w16cex:dateUtc="2026-07-08T01:06:00Z"/>
  <w16cex:commentExtensible w16cex:durableId="24F013BC" w16cex:dateUtc="2026-07-08T01:13:00Z"/>
  <w16cex:commentExtensible w16cex:durableId="56124FDB" w16cex:dateUtc="2026-07-08T01:17:00Z"/>
  <w16cex:commentExtensible w16cex:durableId="0CEFDD39" w16cex:dateUtc="2026-07-08T01:22:00Z"/>
  <w16cex:commentExtensible w16cex:durableId="56A80317" w16cex:dateUtc="2026-07-08T01:26:00Z"/>
  <w16cex:commentExtensible w16cex:durableId="7BB950B4" w16cex:dateUtc="2026-07-08T01:43:00Z"/>
  <w16cex:commentExtensible w16cex:durableId="4F902061" w16cex:dateUtc="2026-07-08T02:12:00Z"/>
  <w16cex:commentExtensible w16cex:durableId="0BE21D29" w16cex:dateUtc="2026-07-08T02:23:00Z"/>
  <w16cex:commentExtensible w16cex:durableId="1A67A4D0" w16cex:dateUtc="2026-07-08T02:25:00Z"/>
  <w16cex:commentExtensible w16cex:durableId="144F265C" w16cex:dateUtc="2026-07-08T02:50:00Z"/>
  <w16cex:commentExtensible w16cex:durableId="4808380B" w16cex:dateUtc="2026-07-08T02:51:00Z"/>
  <w16cex:commentExtensible w16cex:durableId="4EECBEA0" w16cex:dateUtc="2026-07-08T02:54:00Z"/>
  <w16cex:commentExtensible w16cex:durableId="3EF030A8" w16cex:dateUtc="2026-07-08T02:55:00Z"/>
  <w16cex:commentExtensible w16cex:durableId="5CB5FF7E" w16cex:dateUtc="2026-07-08T02:59:00Z"/>
  <w16cex:commentExtensible w16cex:durableId="4DC205C6" w16cex:dateUtc="2026-07-08T03:01:00Z"/>
  <w16cex:commentExtensible w16cex:durableId="56004CA6" w16cex:dateUtc="2026-07-08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F6C10" w16cid:durableId="40572380"/>
  <w16cid:commentId w16cid:paraId="287B0A69" w16cid:durableId="5CA24BF3"/>
  <w16cid:commentId w16cid:paraId="2FAFE500" w16cid:durableId="456277F9"/>
  <w16cid:commentId w16cid:paraId="3507B00D" w16cid:durableId="24F013BC"/>
  <w16cid:commentId w16cid:paraId="2E355128" w16cid:durableId="56124FDB"/>
  <w16cid:commentId w16cid:paraId="4F0CC79F" w16cid:durableId="0CEFDD39"/>
  <w16cid:commentId w16cid:paraId="4BBC96EE" w16cid:durableId="56A80317"/>
  <w16cid:commentId w16cid:paraId="6B56B60F" w16cid:durableId="7BB950B4"/>
  <w16cid:commentId w16cid:paraId="77F1E71C" w16cid:durableId="4F902061"/>
  <w16cid:commentId w16cid:paraId="4C3F63E4" w16cid:durableId="0BE21D29"/>
  <w16cid:commentId w16cid:paraId="0A440039" w16cid:durableId="1A67A4D0"/>
  <w16cid:commentId w16cid:paraId="1B9EB1E3" w16cid:durableId="144F265C"/>
  <w16cid:commentId w16cid:paraId="6BF41887" w16cid:durableId="4808380B"/>
  <w16cid:commentId w16cid:paraId="0FDE67DD" w16cid:durableId="4EECBEA0"/>
  <w16cid:commentId w16cid:paraId="4A4ADFF5" w16cid:durableId="3EF030A8"/>
  <w16cid:commentId w16cid:paraId="08A6D7E6" w16cid:durableId="5CB5FF7E"/>
  <w16cid:commentId w16cid:paraId="10F85CBE" w16cid:durableId="4DC205C6"/>
  <w16cid:commentId w16cid:paraId="635BC69E" w16cid:durableId="56004C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6546E" w14:textId="77777777" w:rsidR="008D78BB" w:rsidRPr="006A6424" w:rsidRDefault="008D78BB" w:rsidP="004434DB">
      <w:r w:rsidRPr="006A6424">
        <w:separator/>
      </w:r>
    </w:p>
  </w:endnote>
  <w:endnote w:type="continuationSeparator" w:id="0">
    <w:p w14:paraId="1860ED0F" w14:textId="77777777" w:rsidR="008D78BB" w:rsidRPr="006A6424" w:rsidRDefault="008D78BB"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7D2809D5" w:rsidR="00556981" w:rsidRPr="006A6424" w:rsidRDefault="006A6424" w:rsidP="004434DB">
          <w:pPr>
            <w:pStyle w:val="Footer"/>
          </w:pPr>
          <w:r>
            <w:fldChar w:fldCharType="begin"/>
          </w:r>
          <w:r>
            <w:instrText xml:space="preserve"> FILENAME  \* FirstCap  \* MERGEFORMAT </w:instrText>
          </w:r>
          <w:r>
            <w:fldChar w:fldCharType="separate"/>
          </w:r>
          <w:r w:rsidR="00AC1261">
            <w:rPr>
              <w:noProof/>
            </w:rPr>
            <w:t>Cities and Spatial Policy v1</w:t>
          </w:r>
          <w:r>
            <w:fldChar w:fldCharType="end"/>
          </w:r>
          <w:r w:rsidR="00556981" w:rsidRPr="006A6424">
            <w:t xml:space="preserve"> – edit on one page should update all pages</w:t>
          </w: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306D4A3D" w:rsidR="003C54FF" w:rsidRPr="006A6424" w:rsidRDefault="005A2AAB" w:rsidP="003C54FF">
          <w:pPr>
            <w:pStyle w:val="Footer"/>
          </w:pPr>
          <w:r>
            <w:t xml:space="preserve">Cities and Spatial </w:t>
          </w:r>
          <w:proofErr w:type="spellStart"/>
          <w:r>
            <w:t>Policy</w:t>
          </w:r>
          <w:r w:rsidR="003C54FF">
            <w:fldChar w:fldCharType="begin"/>
          </w:r>
          <w:r w:rsidR="003C54FF">
            <w:instrText xml:space="preserve"> FILENAME  \* FirstCap  \* MERGEFORMAT </w:instrText>
          </w:r>
          <w:r w:rsidR="003C54FF">
            <w:fldChar w:fldCharType="separate"/>
          </w:r>
          <w:r w:rsidR="00AC1261">
            <w:rPr>
              <w:noProof/>
            </w:rPr>
            <w:t>Cities</w:t>
          </w:r>
          <w:proofErr w:type="spellEnd"/>
          <w:r w:rsidR="00AC1261">
            <w:rPr>
              <w:noProof/>
            </w:rPr>
            <w:t xml:space="preserve"> and Spatial Policy v1</w:t>
          </w:r>
          <w:r w:rsidR="003C54FF">
            <w:fldChar w:fldCharType="end"/>
          </w:r>
          <w:r w:rsidR="003C54FF" w:rsidRPr="006A6424">
            <w:t xml:space="preserve"> – edit on one page should update all pages</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77777777" w:rsidR="006002A4" w:rsidRPr="006A6424" w:rsidRDefault="005A2AAB" w:rsidP="004434DB">
          <w:pPr>
            <w:pStyle w:val="Footer"/>
          </w:pPr>
          <w:r>
            <w:t>Cities and Spatial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1E5232A7" w:rsidR="00066273" w:rsidRPr="006A6424" w:rsidRDefault="006A6424" w:rsidP="004434DB">
          <w:pPr>
            <w:pStyle w:val="Footer"/>
          </w:pPr>
          <w:fldSimple w:instr=" FILENAME  \* FirstCap  \* MERGEFORMAT ">
            <w:r w:rsidR="00AC1261">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438E6" w14:textId="77777777" w:rsidR="008D78BB" w:rsidRPr="006A6424" w:rsidRDefault="008D78BB" w:rsidP="004434DB">
      <w:bookmarkStart w:id="0" w:name="_Hlk104460753"/>
      <w:bookmarkEnd w:id="0"/>
      <w:r w:rsidRPr="006A6424">
        <w:separator/>
      </w:r>
    </w:p>
  </w:footnote>
  <w:footnote w:type="continuationSeparator" w:id="0">
    <w:p w14:paraId="4B13B5BE" w14:textId="77777777" w:rsidR="008D78BB" w:rsidRPr="006A6424" w:rsidRDefault="008D78BB"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cCallum">
    <w15:presenceInfo w15:providerId="AD" w15:userId="S::Andrew.McCallum@mbie.govt.nz::999a20d2-5eb2-40b7-8aab-81efdf3fe9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35AE"/>
    <w:rsid w:val="000C766A"/>
    <w:rsid w:val="000D5F54"/>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268F7"/>
    <w:rsid w:val="00265A65"/>
    <w:rsid w:val="002721AD"/>
    <w:rsid w:val="002755DA"/>
    <w:rsid w:val="002848BC"/>
    <w:rsid w:val="002A1986"/>
    <w:rsid w:val="002A2B6A"/>
    <w:rsid w:val="002C0894"/>
    <w:rsid w:val="002C3C6F"/>
    <w:rsid w:val="002D14FC"/>
    <w:rsid w:val="002F41A5"/>
    <w:rsid w:val="0032168E"/>
    <w:rsid w:val="00327824"/>
    <w:rsid w:val="00336F64"/>
    <w:rsid w:val="003403DD"/>
    <w:rsid w:val="00342DDB"/>
    <w:rsid w:val="00345E30"/>
    <w:rsid w:val="003501B4"/>
    <w:rsid w:val="00350578"/>
    <w:rsid w:val="00357F97"/>
    <w:rsid w:val="00370EF9"/>
    <w:rsid w:val="0037276F"/>
    <w:rsid w:val="0039171F"/>
    <w:rsid w:val="003B184F"/>
    <w:rsid w:val="003C54FF"/>
    <w:rsid w:val="003D695F"/>
    <w:rsid w:val="003E67A7"/>
    <w:rsid w:val="003F57E3"/>
    <w:rsid w:val="004069EE"/>
    <w:rsid w:val="0041099D"/>
    <w:rsid w:val="00415A50"/>
    <w:rsid w:val="00421EA3"/>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57A5"/>
    <w:rsid w:val="00546B8F"/>
    <w:rsid w:val="00556981"/>
    <w:rsid w:val="00585A8E"/>
    <w:rsid w:val="00587391"/>
    <w:rsid w:val="00587E81"/>
    <w:rsid w:val="00592D3D"/>
    <w:rsid w:val="0059550F"/>
    <w:rsid w:val="005A2082"/>
    <w:rsid w:val="005A2AAB"/>
    <w:rsid w:val="005C021F"/>
    <w:rsid w:val="005C4CDC"/>
    <w:rsid w:val="005D4A0E"/>
    <w:rsid w:val="005E4A30"/>
    <w:rsid w:val="005E7A89"/>
    <w:rsid w:val="006002A4"/>
    <w:rsid w:val="00641B21"/>
    <w:rsid w:val="0065533B"/>
    <w:rsid w:val="006606F0"/>
    <w:rsid w:val="00661336"/>
    <w:rsid w:val="0066185C"/>
    <w:rsid w:val="00694235"/>
    <w:rsid w:val="006A53F6"/>
    <w:rsid w:val="006A6424"/>
    <w:rsid w:val="006C5C32"/>
    <w:rsid w:val="006D3167"/>
    <w:rsid w:val="006E34E0"/>
    <w:rsid w:val="006E526C"/>
    <w:rsid w:val="00703900"/>
    <w:rsid w:val="00705DFD"/>
    <w:rsid w:val="00717D67"/>
    <w:rsid w:val="007204F5"/>
    <w:rsid w:val="007443CE"/>
    <w:rsid w:val="00746971"/>
    <w:rsid w:val="00750063"/>
    <w:rsid w:val="007505B2"/>
    <w:rsid w:val="00751BC0"/>
    <w:rsid w:val="00763C7C"/>
    <w:rsid w:val="00771ED4"/>
    <w:rsid w:val="007805B0"/>
    <w:rsid w:val="007A1E22"/>
    <w:rsid w:val="007C1AE0"/>
    <w:rsid w:val="007C3E3C"/>
    <w:rsid w:val="007D0E8A"/>
    <w:rsid w:val="007D3E29"/>
    <w:rsid w:val="007E79B6"/>
    <w:rsid w:val="007F53FB"/>
    <w:rsid w:val="0080142D"/>
    <w:rsid w:val="0080550B"/>
    <w:rsid w:val="00811C14"/>
    <w:rsid w:val="00817008"/>
    <w:rsid w:val="00820C81"/>
    <w:rsid w:val="00830B3A"/>
    <w:rsid w:val="00841C29"/>
    <w:rsid w:val="008467D7"/>
    <w:rsid w:val="008522B6"/>
    <w:rsid w:val="0085384F"/>
    <w:rsid w:val="008666F9"/>
    <w:rsid w:val="00891B2B"/>
    <w:rsid w:val="008A3C9F"/>
    <w:rsid w:val="008B3D67"/>
    <w:rsid w:val="008B4DDF"/>
    <w:rsid w:val="008D2C75"/>
    <w:rsid w:val="008D78BB"/>
    <w:rsid w:val="008E6DE5"/>
    <w:rsid w:val="00903CE9"/>
    <w:rsid w:val="00920D09"/>
    <w:rsid w:val="009238E1"/>
    <w:rsid w:val="009346E9"/>
    <w:rsid w:val="00940330"/>
    <w:rsid w:val="009421A7"/>
    <w:rsid w:val="00970ECB"/>
    <w:rsid w:val="00991D37"/>
    <w:rsid w:val="0099269E"/>
    <w:rsid w:val="009A0678"/>
    <w:rsid w:val="009A444D"/>
    <w:rsid w:val="009B2F01"/>
    <w:rsid w:val="009C05CE"/>
    <w:rsid w:val="009C61D5"/>
    <w:rsid w:val="009E2A10"/>
    <w:rsid w:val="00A11B95"/>
    <w:rsid w:val="00A14AE3"/>
    <w:rsid w:val="00A17B8B"/>
    <w:rsid w:val="00A204B0"/>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1261"/>
    <w:rsid w:val="00AC6638"/>
    <w:rsid w:val="00AE2801"/>
    <w:rsid w:val="00AE2844"/>
    <w:rsid w:val="00AE685D"/>
    <w:rsid w:val="00AF0C1E"/>
    <w:rsid w:val="00AF1867"/>
    <w:rsid w:val="00B10A4A"/>
    <w:rsid w:val="00B22259"/>
    <w:rsid w:val="00B22EDD"/>
    <w:rsid w:val="00B30720"/>
    <w:rsid w:val="00B33621"/>
    <w:rsid w:val="00B40818"/>
    <w:rsid w:val="00B528CE"/>
    <w:rsid w:val="00B53D49"/>
    <w:rsid w:val="00B55032"/>
    <w:rsid w:val="00B75C65"/>
    <w:rsid w:val="00B76404"/>
    <w:rsid w:val="00B91E53"/>
    <w:rsid w:val="00BE030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741D"/>
    <w:rsid w:val="00D4476D"/>
    <w:rsid w:val="00D6114E"/>
    <w:rsid w:val="00D70801"/>
    <w:rsid w:val="00D7320A"/>
    <w:rsid w:val="00DA262E"/>
    <w:rsid w:val="00DA303C"/>
    <w:rsid w:val="00DA734D"/>
    <w:rsid w:val="00DB154A"/>
    <w:rsid w:val="00DC273F"/>
    <w:rsid w:val="00DF6210"/>
    <w:rsid w:val="00E26440"/>
    <w:rsid w:val="00E3182C"/>
    <w:rsid w:val="00E41A61"/>
    <w:rsid w:val="00E42D3A"/>
    <w:rsid w:val="00E60C59"/>
    <w:rsid w:val="00E732DF"/>
    <w:rsid w:val="00E75EBB"/>
    <w:rsid w:val="00EA604A"/>
    <w:rsid w:val="00EA669D"/>
    <w:rsid w:val="00EB68C4"/>
    <w:rsid w:val="00ED5A80"/>
    <w:rsid w:val="00F10D62"/>
    <w:rsid w:val="00F11AA7"/>
    <w:rsid w:val="00F228A1"/>
    <w:rsid w:val="00F45E78"/>
    <w:rsid w:val="00F50E83"/>
    <w:rsid w:val="00F5642A"/>
    <w:rsid w:val="00F57B20"/>
    <w:rsid w:val="00F605E6"/>
    <w:rsid w:val="00F71685"/>
    <w:rsid w:val="00F75D50"/>
    <w:rsid w:val="00F77967"/>
    <w:rsid w:val="00F94108"/>
    <w:rsid w:val="00FB05AF"/>
    <w:rsid w:val="00FB2CA4"/>
    <w:rsid w:val="00FB3A32"/>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 w:type="character" w:styleId="CommentReference">
    <w:name w:val="annotation reference"/>
    <w:basedOn w:val="DefaultParagraphFont"/>
    <w:uiPriority w:val="99"/>
    <w:semiHidden/>
    <w:unhideWhenUsed/>
    <w:rsid w:val="00AE2844"/>
    <w:rPr>
      <w:sz w:val="16"/>
      <w:szCs w:val="16"/>
    </w:rPr>
  </w:style>
  <w:style w:type="paragraph" w:styleId="CommentText">
    <w:name w:val="annotation text"/>
    <w:basedOn w:val="Normal"/>
    <w:link w:val="CommentTextChar"/>
    <w:uiPriority w:val="99"/>
    <w:unhideWhenUsed/>
    <w:rsid w:val="00AE2844"/>
    <w:rPr>
      <w:sz w:val="20"/>
      <w:szCs w:val="20"/>
    </w:rPr>
  </w:style>
  <w:style w:type="character" w:customStyle="1" w:styleId="CommentTextChar">
    <w:name w:val="Comment Text Char"/>
    <w:basedOn w:val="DefaultParagraphFont"/>
    <w:link w:val="CommentText"/>
    <w:uiPriority w:val="99"/>
    <w:rsid w:val="00AE2844"/>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AE2844"/>
    <w:rPr>
      <w:b/>
      <w:bCs/>
    </w:rPr>
  </w:style>
  <w:style w:type="character" w:customStyle="1" w:styleId="CommentSubjectChar">
    <w:name w:val="Comment Subject Char"/>
    <w:basedOn w:val="CommentTextChar"/>
    <w:link w:val="CommentSubject"/>
    <w:uiPriority w:val="99"/>
    <w:semiHidden/>
    <w:rsid w:val="00AE2844"/>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omments" Target="comments.xml"/><Relationship Id="rId26" Type="http://schemas.openxmlformats.org/officeDocument/2006/relationships/footer" Target="footer3.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chart" Target="charts/chart3.xml"/><Relationship Id="rId20" Type="http://schemas.microsoft.com/office/2016/09/relationships/commentsIds" Target="commentsId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2.pn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chart" Target="charts/chart4.xml"/><Relationship Id="rId27" Type="http://schemas.openxmlformats.org/officeDocument/2006/relationships/footer" Target="footer4.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3FB215D0-17A5-431B-A702-ED69C728FC32}"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62E79897-8C50-4666-B033-938F3588FCFC}"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C2EF4498-7CAB-4A56-8D66-63D663BD3537}"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168A6E31-EADE-4F2B-A632-37498CAC6B38}"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5C75290D-7598-46B6-AFF0-0ADD018088C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59F8FE62-9B05-4684-BF1F-2E2DE3BB905C}"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E9DE113A-1152-4B4C-A042-52143159FD97}"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83B1E189-3B5A-4788-BC8D-BE7A804AF644}"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68DE1150-81E6-4F3C-85D2-844711BD7FF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DAFA5867-99B7-47CB-B3EB-4FBDCE416A18}"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D16DFFAD-64D3-45BE-BDE0-22F77E16518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F23D06D-6669-4E98-A0C8-CFCD825D2BDB}"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B3EE311-4AE5-4289-9B64-96C40183A33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CA416898-DF83-45F3-B232-876F06CDCC42}"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F5029CA9-74D8-4713-ACC4-8B322D756F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39360FE2-AE4C-47D5-A74F-121F98AFFFAB}"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FBD936E9-D29E-4AEE-BE88-638076584D3A}"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E4CB34F4-25CA-4EB8-BAEF-C2C0D727CB6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50A85D18-B623-4F3E-A511-CE770FF49457}"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E21DD2B6-ACCB-4CB1-8AD7-C91CEE342F4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8</TotalTime>
  <Pages>1</Pages>
  <Words>9605</Words>
  <Characters>64264</Characters>
  <Application>Microsoft Office Word</Application>
  <DocSecurity>0</DocSecurity>
  <Lines>1004</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Andrew McCallum</cp:lastModifiedBy>
  <cp:revision>2</cp:revision>
  <cp:lastPrinted>2026-07-07T23:09:00Z</cp:lastPrinted>
  <dcterms:created xsi:type="dcterms:W3CDTF">2026-07-08T03:08:00Z</dcterms:created>
  <dcterms:modified xsi:type="dcterms:W3CDTF">2026-07-08T03:08:00Z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a2ea8f-33a2-4d89-bc10-4ca73b1a3f73_Enabled">
    <vt:lpwstr>true</vt:lpwstr>
  </property>
  <property fmtid="{D5CDD505-2E9C-101B-9397-08002B2CF9AE}" pid="3" name="MSIP_Label_ffa2ea8f-33a2-4d89-bc10-4ca73b1a3f73_SetDate">
    <vt:lpwstr>2026-07-03T02:15:23Z</vt:lpwstr>
  </property>
  <property fmtid="{D5CDD505-2E9C-101B-9397-08002B2CF9AE}" pid="4" name="MSIP_Label_ffa2ea8f-33a2-4d89-bc10-4ca73b1a3f73_Method">
    <vt:lpwstr>Standard</vt:lpwstr>
  </property>
  <property fmtid="{D5CDD505-2E9C-101B-9397-08002B2CF9AE}" pid="5" name="MSIP_Label_ffa2ea8f-33a2-4d89-bc10-4ca73b1a3f73_Name">
    <vt:lpwstr>IN-CONFIDENCE</vt:lpwstr>
  </property>
  <property fmtid="{D5CDD505-2E9C-101B-9397-08002B2CF9AE}" pid="6" name="MSIP_Label_ffa2ea8f-33a2-4d89-bc10-4ca73b1a3f73_SiteId">
    <vt:lpwstr>78b2bd11-e42b-47ea-b011-2e04c3af5ec1</vt:lpwstr>
  </property>
  <property fmtid="{D5CDD505-2E9C-101B-9397-08002B2CF9AE}" pid="7" name="MSIP_Label_ffa2ea8f-33a2-4d89-bc10-4ca73b1a3f73_ActionId">
    <vt:lpwstr>ce0726dd-7207-4f1e-aace-107b2604774c</vt:lpwstr>
  </property>
  <property fmtid="{D5CDD505-2E9C-101B-9397-08002B2CF9AE}" pid="8" name="MSIP_Label_ffa2ea8f-33a2-4d89-bc10-4ca73b1a3f73_ContentBits">
    <vt:lpwstr>0</vt:lpwstr>
  </property>
  <property fmtid="{D5CDD505-2E9C-101B-9397-08002B2CF9AE}" pid="9" name="MSIP_Label_ffa2ea8f-33a2-4d89-bc10-4ca73b1a3f73_Tag">
    <vt:lpwstr>10, 1, 2, 1</vt:lpwstr>
  </property>
</Properties>
</file>