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2A92C"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593AD9C1" w14:textId="787224E0"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41C0B806" w14:textId="6FA218B8"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593AD9C1" w14:textId="787224E0"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41C0B806" w14:textId="6FA218B8"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7C8102BA"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3206"/>
        <w:gridCol w:w="3206"/>
        <w:gridCol w:w="3210"/>
      </w:tblGrid>
      <w:tr w:rsidR="00D12DA8" w:rsidRPr="006A6424" w14:paraId="071882FC" w14:textId="77777777" w:rsidTr="006A6424">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666" w:type="pct"/>
            <w:tcBorders>
              <w:bottom w:val="nil"/>
            </w:tcBorders>
            <w:shd w:val="clear" w:color="auto" w:fill="006171" w:themeFill="text2"/>
            <w:vAlign w:val="center"/>
            <w:hideMark/>
          </w:tcPr>
          <w:p w14:paraId="0935436B" w14:textId="77777777" w:rsidR="00D12DA8" w:rsidRPr="006A6424" w:rsidRDefault="00D12DA8" w:rsidP="004434DB">
            <w:pPr>
              <w:rPr>
                <w:b w:val="0"/>
                <w:bCs w:val="0"/>
              </w:rPr>
            </w:pPr>
            <w:r w:rsidRPr="006A6424">
              <w:rPr>
                <w:color w:val="FFFFFF" w:themeColor="background1"/>
              </w:rPr>
              <w:t>Document history</w:t>
            </w:r>
          </w:p>
        </w:tc>
        <w:tc>
          <w:tcPr>
            <w:tcW w:w="1666" w:type="pct"/>
            <w:tcBorders>
              <w:bottom w:val="nil"/>
            </w:tcBorders>
            <w:shd w:val="clear" w:color="auto" w:fill="006171" w:themeFill="text2"/>
            <w:vAlign w:val="center"/>
          </w:tcPr>
          <w:p w14:paraId="5B682661"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rPr>
                <w:b w:val="0"/>
                <w:bCs w:val="0"/>
              </w:rPr>
            </w:pPr>
          </w:p>
        </w:tc>
        <w:tc>
          <w:tcPr>
            <w:tcW w:w="1668" w:type="pct"/>
            <w:tcBorders>
              <w:bottom w:val="nil"/>
            </w:tcBorders>
            <w:shd w:val="clear" w:color="auto" w:fill="006171" w:themeFill="text2"/>
            <w:vAlign w:val="center"/>
          </w:tcPr>
          <w:p w14:paraId="45952E28"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pPr>
          </w:p>
        </w:tc>
      </w:tr>
      <w:tr w:rsidR="009421A7" w:rsidRPr="006A6424" w14:paraId="4088E32B"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tcBorders>
              <w:top w:val="nil"/>
            </w:tcBorders>
            <w:shd w:val="clear" w:color="auto" w:fill="F2F2F2" w:themeFill="background1" w:themeFillShade="F2"/>
          </w:tcPr>
          <w:p w14:paraId="5265B7D7" w14:textId="77777777" w:rsidR="009421A7" w:rsidRPr="006A6424" w:rsidRDefault="009421A7" w:rsidP="004434DB">
            <w:r w:rsidRPr="006A6424">
              <w:t>Status</w:t>
            </w:r>
          </w:p>
        </w:tc>
        <w:tc>
          <w:tcPr>
            <w:tcW w:w="1666" w:type="pct"/>
            <w:tcBorders>
              <w:top w:val="nil"/>
            </w:tcBorders>
          </w:tcPr>
          <w:p w14:paraId="234A9916"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Commencement date</w:t>
            </w:r>
          </w:p>
        </w:tc>
        <w:tc>
          <w:tcPr>
            <w:tcW w:w="1668" w:type="pct"/>
            <w:tcBorders>
              <w:top w:val="nil"/>
            </w:tcBorders>
          </w:tcPr>
          <w:p w14:paraId="7FDF9CA2"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Alterations</w:t>
            </w:r>
          </w:p>
        </w:tc>
      </w:tr>
      <w:tr w:rsidR="009421A7" w:rsidRPr="006A6424" w14:paraId="28C7551B"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5E7FCD40" w14:textId="48A875E5" w:rsidR="009421A7" w:rsidRPr="006A6424" w:rsidRDefault="009421A7" w:rsidP="004434DB">
            <w:r w:rsidRPr="006A6424">
              <w:t xml:space="preserve">Version </w:t>
            </w:r>
            <w:r w:rsidR="006A6424">
              <w:t>0.</w:t>
            </w:r>
            <w:r w:rsidR="004C2E47">
              <w:t>6</w:t>
            </w:r>
          </w:p>
        </w:tc>
        <w:tc>
          <w:tcPr>
            <w:tcW w:w="1666" w:type="pct"/>
          </w:tcPr>
          <w:p w14:paraId="67F1E7EA" w14:textId="5D84583D" w:rsidR="009421A7" w:rsidRPr="006A6424" w:rsidRDefault="006A6424" w:rsidP="004434D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465AE9C7"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w:t>
            </w:r>
          </w:p>
        </w:tc>
      </w:tr>
    </w:tbl>
    <w:p w14:paraId="0218B02C" w14:textId="77777777" w:rsidR="009421A7" w:rsidRPr="006A6424" w:rsidRDefault="009421A7" w:rsidP="004434DB"/>
    <w:p w14:paraId="14AB6B02" w14:textId="77777777" w:rsidR="006A6424" w:rsidRPr="006A6424" w:rsidRDefault="006A6424">
      <w:pPr>
        <w:spacing w:after="0"/>
        <w:rPr>
          <w:b/>
          <w:bCs/>
          <w:sz w:val="56"/>
          <w:szCs w:val="56"/>
        </w:rPr>
      </w:pPr>
      <w:bookmarkStart w:id="2" w:name="_Toc189460583"/>
      <w:r w:rsidRPr="006A6424">
        <w:rPr>
          <w:b/>
          <w:bCs/>
          <w:sz w:val="56"/>
          <w:szCs w:val="56"/>
        </w:rPr>
        <w:br w:type="page"/>
      </w:r>
    </w:p>
    <w:p w14:paraId="7F46FC02" w14:textId="247AC384" w:rsidR="009421A7" w:rsidRPr="006A6424" w:rsidRDefault="009421A7" w:rsidP="004434DB">
      <w:pPr>
        <w:rPr>
          <w:b/>
          <w:bCs/>
          <w:sz w:val="56"/>
          <w:szCs w:val="56"/>
        </w:rPr>
      </w:pPr>
      <w:r w:rsidRPr="006A6424">
        <w:rPr>
          <w:b/>
          <w:bCs/>
          <w:sz w:val="56"/>
          <w:szCs w:val="56"/>
        </w:rPr>
        <w:lastRenderedPageBreak/>
        <w:t>Contents</w:t>
      </w:r>
      <w:bookmarkEnd w:id="2"/>
    </w:p>
    <w:p w14:paraId="613EE701" w14:textId="77777777" w:rsidR="0059550F" w:rsidRPr="006A6424" w:rsidRDefault="009421A7">
      <w:pPr>
        <w:pStyle w:val="TOC1"/>
        <w:rPr>
          <w:rFonts w:eastAsiaTheme="minorEastAsia" w:cstheme="minorBidi"/>
          <w:b w:val="0"/>
          <w:bCs w:val="0"/>
          <w:noProof w:val="0"/>
          <w:kern w:val="2"/>
          <w:sz w:val="24"/>
          <w:szCs w:val="24"/>
          <w:lang w:eastAsia="en-GB"/>
          <w14:ligatures w14:val="standardContextual"/>
        </w:rPr>
      </w:pPr>
      <w:r w:rsidRPr="006A6424">
        <w:rPr>
          <w:iCs/>
          <w:noProof w:val="0"/>
        </w:rPr>
        <w:fldChar w:fldCharType="begin"/>
      </w:r>
      <w:r w:rsidRPr="006A6424">
        <w:rPr>
          <w:noProof w:val="0"/>
        </w:rPr>
        <w:instrText xml:space="preserve"> TOC \o "1-3" \h \z \u </w:instrText>
      </w:r>
      <w:r w:rsidRPr="006A6424">
        <w:rPr>
          <w:iCs/>
          <w:noProof w:val="0"/>
        </w:rPr>
        <w:fldChar w:fldCharType="separate"/>
      </w:r>
      <w:hyperlink w:anchor="_Toc190767547" w:history="1">
        <w:r w:rsidR="0059550F" w:rsidRPr="006A6424">
          <w:rPr>
            <w:rStyle w:val="Hyperlink"/>
            <w:noProof w:val="0"/>
          </w:rPr>
          <w:t>Heading 1</w:t>
        </w:r>
        <w:r w:rsidR="0059550F" w:rsidRPr="006A6424">
          <w:rPr>
            <w:noProof w:val="0"/>
            <w:webHidden/>
          </w:rPr>
          <w:tab/>
        </w:r>
        <w:r w:rsidR="0059550F" w:rsidRPr="006A6424">
          <w:rPr>
            <w:noProof w:val="0"/>
            <w:webHidden/>
          </w:rPr>
          <w:fldChar w:fldCharType="begin"/>
        </w:r>
        <w:r w:rsidR="0059550F" w:rsidRPr="006A6424">
          <w:rPr>
            <w:noProof w:val="0"/>
            <w:webHidden/>
          </w:rPr>
          <w:instrText xml:space="preserve"> PAGEREF _Toc190767547 \h </w:instrText>
        </w:r>
        <w:r w:rsidR="0059550F" w:rsidRPr="006A6424">
          <w:rPr>
            <w:noProof w:val="0"/>
            <w:webHidden/>
          </w:rPr>
        </w:r>
        <w:r w:rsidR="0059550F" w:rsidRPr="006A6424">
          <w:rPr>
            <w:noProof w:val="0"/>
            <w:webHidden/>
          </w:rPr>
          <w:fldChar w:fldCharType="separate"/>
        </w:r>
        <w:r w:rsidR="00EA669D" w:rsidRPr="006A6424">
          <w:rPr>
            <w:noProof w:val="0"/>
            <w:webHidden/>
          </w:rPr>
          <w:t>4</w:t>
        </w:r>
        <w:r w:rsidR="0059550F" w:rsidRPr="006A6424">
          <w:rPr>
            <w:noProof w:val="0"/>
            <w:webHidden/>
          </w:rPr>
          <w:fldChar w:fldCharType="end"/>
        </w:r>
      </w:hyperlink>
    </w:p>
    <w:p w14:paraId="4530FFE2" w14:textId="77777777" w:rsidR="0059550F" w:rsidRPr="006A6424" w:rsidRDefault="0059550F">
      <w:pPr>
        <w:pStyle w:val="TOC2"/>
        <w:rPr>
          <w:rFonts w:eastAsiaTheme="minorEastAsia" w:cstheme="minorBidi"/>
          <w:iCs w:val="0"/>
          <w:noProof w:val="0"/>
          <w:kern w:val="2"/>
          <w:sz w:val="24"/>
          <w:szCs w:val="24"/>
          <w:lang w:eastAsia="en-GB"/>
          <w14:ligatures w14:val="standardContextual"/>
        </w:rPr>
      </w:pPr>
      <w:hyperlink w:anchor="_Toc190767548" w:history="1">
        <w:r w:rsidRPr="006A6424">
          <w:rPr>
            <w:rStyle w:val="Hyperlink"/>
            <w:noProof w:val="0"/>
          </w:rPr>
          <w:t>Heading 2</w:t>
        </w:r>
        <w:r w:rsidRPr="006A6424">
          <w:rPr>
            <w:noProof w:val="0"/>
            <w:webHidden/>
          </w:rPr>
          <w:tab/>
        </w:r>
        <w:r w:rsidRPr="006A6424">
          <w:rPr>
            <w:noProof w:val="0"/>
            <w:webHidden/>
          </w:rPr>
          <w:fldChar w:fldCharType="begin"/>
        </w:r>
        <w:r w:rsidRPr="006A6424">
          <w:rPr>
            <w:noProof w:val="0"/>
            <w:webHidden/>
          </w:rPr>
          <w:instrText xml:space="preserve"> PAGEREF _Toc190767548 \h </w:instrText>
        </w:r>
        <w:r w:rsidRPr="006A6424">
          <w:rPr>
            <w:noProof w:val="0"/>
            <w:webHidden/>
          </w:rPr>
        </w:r>
        <w:r w:rsidRPr="006A6424">
          <w:rPr>
            <w:noProof w:val="0"/>
            <w:webHidden/>
          </w:rPr>
          <w:fldChar w:fldCharType="separate"/>
        </w:r>
        <w:r w:rsidR="00EA669D" w:rsidRPr="006A6424">
          <w:rPr>
            <w:noProof w:val="0"/>
            <w:webHidden/>
          </w:rPr>
          <w:t>4</w:t>
        </w:r>
        <w:r w:rsidRPr="006A6424">
          <w:rPr>
            <w:noProof w:val="0"/>
            <w:webHidden/>
          </w:rPr>
          <w:fldChar w:fldCharType="end"/>
        </w:r>
      </w:hyperlink>
    </w:p>
    <w:p w14:paraId="03D557DF" w14:textId="77777777" w:rsidR="0059550F" w:rsidRPr="006A6424" w:rsidRDefault="0059550F">
      <w:pPr>
        <w:pStyle w:val="TOC3"/>
        <w:rPr>
          <w:rFonts w:eastAsiaTheme="minorEastAsia" w:cstheme="minorBidi"/>
          <w:noProof w:val="0"/>
          <w:kern w:val="2"/>
          <w:sz w:val="24"/>
          <w:szCs w:val="24"/>
          <w:lang w:eastAsia="en-GB"/>
          <w14:ligatures w14:val="standardContextual"/>
        </w:rPr>
      </w:pPr>
      <w:hyperlink w:anchor="_Toc190767549" w:history="1">
        <w:r w:rsidRPr="006A6424">
          <w:rPr>
            <w:rStyle w:val="Hyperlink"/>
            <w:noProof w:val="0"/>
          </w:rPr>
          <w:t>Heading 3</w:t>
        </w:r>
        <w:r w:rsidRPr="006A6424">
          <w:rPr>
            <w:noProof w:val="0"/>
            <w:webHidden/>
          </w:rPr>
          <w:tab/>
        </w:r>
        <w:r w:rsidRPr="006A6424">
          <w:rPr>
            <w:noProof w:val="0"/>
            <w:webHidden/>
          </w:rPr>
          <w:fldChar w:fldCharType="begin"/>
        </w:r>
        <w:r w:rsidRPr="006A6424">
          <w:rPr>
            <w:noProof w:val="0"/>
            <w:webHidden/>
          </w:rPr>
          <w:instrText xml:space="preserve"> PAGEREF _Toc190767549 \h </w:instrText>
        </w:r>
        <w:r w:rsidRPr="006A6424">
          <w:rPr>
            <w:noProof w:val="0"/>
            <w:webHidden/>
          </w:rPr>
        </w:r>
        <w:r w:rsidRPr="006A6424">
          <w:rPr>
            <w:noProof w:val="0"/>
            <w:webHidden/>
          </w:rPr>
          <w:fldChar w:fldCharType="separate"/>
        </w:r>
        <w:r w:rsidR="00EA669D" w:rsidRPr="006A6424">
          <w:rPr>
            <w:noProof w:val="0"/>
            <w:webHidden/>
          </w:rPr>
          <w:t>4</w:t>
        </w:r>
        <w:r w:rsidRPr="006A6424">
          <w:rPr>
            <w:noProof w:val="0"/>
            <w:webHidden/>
          </w:rPr>
          <w:fldChar w:fldCharType="end"/>
        </w:r>
      </w:hyperlink>
    </w:p>
    <w:p w14:paraId="2A98C687" w14:textId="77777777" w:rsidR="0059550F" w:rsidRPr="006A6424" w:rsidRDefault="0059550F">
      <w:pPr>
        <w:pStyle w:val="TOC3"/>
        <w:rPr>
          <w:rFonts w:eastAsiaTheme="minorEastAsia" w:cstheme="minorBidi"/>
          <w:noProof w:val="0"/>
          <w:kern w:val="2"/>
          <w:sz w:val="24"/>
          <w:szCs w:val="24"/>
          <w:lang w:eastAsia="en-GB"/>
          <w14:ligatures w14:val="standardContextual"/>
        </w:rPr>
      </w:pPr>
      <w:hyperlink w:anchor="_Toc190767550" w:history="1">
        <w:r w:rsidRPr="006A6424">
          <w:rPr>
            <w:rStyle w:val="Hyperlink"/>
            <w:noProof w:val="0"/>
          </w:rPr>
          <w:t>Table styles</w:t>
        </w:r>
        <w:r w:rsidRPr="006A6424">
          <w:rPr>
            <w:noProof w:val="0"/>
            <w:webHidden/>
          </w:rPr>
          <w:tab/>
        </w:r>
        <w:r w:rsidRPr="006A6424">
          <w:rPr>
            <w:noProof w:val="0"/>
            <w:webHidden/>
          </w:rPr>
          <w:fldChar w:fldCharType="begin"/>
        </w:r>
        <w:r w:rsidRPr="006A6424">
          <w:rPr>
            <w:noProof w:val="0"/>
            <w:webHidden/>
          </w:rPr>
          <w:instrText xml:space="preserve"> PAGEREF _Toc190767550 \h </w:instrText>
        </w:r>
        <w:r w:rsidRPr="006A6424">
          <w:rPr>
            <w:noProof w:val="0"/>
            <w:webHidden/>
          </w:rPr>
        </w:r>
        <w:r w:rsidRPr="006A6424">
          <w:rPr>
            <w:noProof w:val="0"/>
            <w:webHidden/>
          </w:rPr>
          <w:fldChar w:fldCharType="separate"/>
        </w:r>
        <w:r w:rsidR="00EA669D" w:rsidRPr="006A6424">
          <w:rPr>
            <w:noProof w:val="0"/>
            <w:webHidden/>
          </w:rPr>
          <w:t>5</w:t>
        </w:r>
        <w:r w:rsidRPr="006A6424">
          <w:rPr>
            <w:noProof w:val="0"/>
            <w:webHidden/>
          </w:rPr>
          <w:fldChar w:fldCharType="end"/>
        </w:r>
      </w:hyperlink>
    </w:p>
    <w:p w14:paraId="4204EB94" w14:textId="77777777" w:rsidR="0059550F" w:rsidRPr="006A6424" w:rsidRDefault="0059550F">
      <w:pPr>
        <w:pStyle w:val="TOC3"/>
        <w:rPr>
          <w:rFonts w:eastAsiaTheme="minorEastAsia" w:cstheme="minorBidi"/>
          <w:noProof w:val="0"/>
          <w:kern w:val="2"/>
          <w:sz w:val="24"/>
          <w:szCs w:val="24"/>
          <w:lang w:eastAsia="en-GB"/>
          <w14:ligatures w14:val="standardContextual"/>
        </w:rPr>
      </w:pPr>
      <w:hyperlink w:anchor="_Toc190767551" w:history="1">
        <w:r w:rsidRPr="006A6424">
          <w:rPr>
            <w:rStyle w:val="Hyperlink"/>
            <w:noProof w:val="0"/>
          </w:rPr>
          <w:t>A landscape page</w:t>
        </w:r>
        <w:r w:rsidRPr="006A6424">
          <w:rPr>
            <w:noProof w:val="0"/>
            <w:webHidden/>
          </w:rPr>
          <w:tab/>
        </w:r>
        <w:r w:rsidRPr="006A6424">
          <w:rPr>
            <w:noProof w:val="0"/>
            <w:webHidden/>
          </w:rPr>
          <w:fldChar w:fldCharType="begin"/>
        </w:r>
        <w:r w:rsidRPr="006A6424">
          <w:rPr>
            <w:noProof w:val="0"/>
            <w:webHidden/>
          </w:rPr>
          <w:instrText xml:space="preserve"> PAGEREF _Toc190767551 \h </w:instrText>
        </w:r>
        <w:r w:rsidRPr="006A6424">
          <w:rPr>
            <w:noProof w:val="0"/>
            <w:webHidden/>
          </w:rPr>
        </w:r>
        <w:r w:rsidRPr="006A6424">
          <w:rPr>
            <w:noProof w:val="0"/>
            <w:webHidden/>
          </w:rPr>
          <w:fldChar w:fldCharType="separate"/>
        </w:r>
        <w:r w:rsidR="00EA669D" w:rsidRPr="006A6424">
          <w:rPr>
            <w:noProof w:val="0"/>
            <w:webHidden/>
          </w:rPr>
          <w:t>5</w:t>
        </w:r>
        <w:r w:rsidRPr="006A6424">
          <w:rPr>
            <w:noProof w:val="0"/>
            <w:webHidden/>
          </w:rPr>
          <w:fldChar w:fldCharType="end"/>
        </w:r>
      </w:hyperlink>
    </w:p>
    <w:p w14:paraId="51CE71FE" w14:textId="77777777" w:rsidR="0059550F" w:rsidRPr="006A6424" w:rsidRDefault="0059550F">
      <w:pPr>
        <w:pStyle w:val="TOC3"/>
        <w:rPr>
          <w:rFonts w:eastAsiaTheme="minorEastAsia" w:cstheme="minorBidi"/>
          <w:noProof w:val="0"/>
          <w:kern w:val="2"/>
          <w:sz w:val="24"/>
          <w:szCs w:val="24"/>
          <w:lang w:eastAsia="en-GB"/>
          <w14:ligatures w14:val="standardContextual"/>
        </w:rPr>
      </w:pPr>
      <w:hyperlink w:anchor="_Toc190767552" w:history="1">
        <w:r w:rsidRPr="006A6424">
          <w:rPr>
            <w:rStyle w:val="Hyperlink"/>
            <w:noProof w:val="0"/>
          </w:rPr>
          <w:t>To insert landscape/portrait pages</w:t>
        </w:r>
        <w:r w:rsidRPr="006A6424">
          <w:rPr>
            <w:noProof w:val="0"/>
            <w:webHidden/>
          </w:rPr>
          <w:tab/>
        </w:r>
        <w:r w:rsidRPr="006A6424">
          <w:rPr>
            <w:noProof w:val="0"/>
            <w:webHidden/>
          </w:rPr>
          <w:fldChar w:fldCharType="begin"/>
        </w:r>
        <w:r w:rsidRPr="006A6424">
          <w:rPr>
            <w:noProof w:val="0"/>
            <w:webHidden/>
          </w:rPr>
          <w:instrText xml:space="preserve"> PAGEREF _Toc190767552 \h </w:instrText>
        </w:r>
        <w:r w:rsidRPr="006A6424">
          <w:rPr>
            <w:noProof w:val="0"/>
            <w:webHidden/>
          </w:rPr>
        </w:r>
        <w:r w:rsidRPr="006A6424">
          <w:rPr>
            <w:noProof w:val="0"/>
            <w:webHidden/>
          </w:rPr>
          <w:fldChar w:fldCharType="separate"/>
        </w:r>
        <w:r w:rsidR="00EA669D" w:rsidRPr="006A6424">
          <w:rPr>
            <w:noProof w:val="0"/>
            <w:webHidden/>
          </w:rPr>
          <w:t>5</w:t>
        </w:r>
        <w:r w:rsidRPr="006A6424">
          <w:rPr>
            <w:noProof w:val="0"/>
            <w:webHidden/>
          </w:rPr>
          <w:fldChar w:fldCharType="end"/>
        </w:r>
      </w:hyperlink>
    </w:p>
    <w:p w14:paraId="77F80652" w14:textId="77777777" w:rsidR="0059550F" w:rsidRPr="006A6424" w:rsidRDefault="0059550F">
      <w:pPr>
        <w:pStyle w:val="TOC3"/>
        <w:rPr>
          <w:rFonts w:eastAsiaTheme="minorEastAsia" w:cstheme="minorBidi"/>
          <w:noProof w:val="0"/>
          <w:kern w:val="2"/>
          <w:sz w:val="24"/>
          <w:szCs w:val="24"/>
          <w:lang w:eastAsia="en-GB"/>
          <w14:ligatures w14:val="standardContextual"/>
        </w:rPr>
      </w:pPr>
      <w:hyperlink w:anchor="_Toc190767553" w:history="1">
        <w:r w:rsidRPr="006A6424">
          <w:rPr>
            <w:rStyle w:val="Hyperlink"/>
            <w:noProof w:val="0"/>
          </w:rPr>
          <w:t>Header and Footer</w:t>
        </w:r>
        <w:r w:rsidRPr="006A6424">
          <w:rPr>
            <w:noProof w:val="0"/>
            <w:webHidden/>
          </w:rPr>
          <w:tab/>
        </w:r>
        <w:r w:rsidRPr="006A6424">
          <w:rPr>
            <w:noProof w:val="0"/>
            <w:webHidden/>
          </w:rPr>
          <w:fldChar w:fldCharType="begin"/>
        </w:r>
        <w:r w:rsidRPr="006A6424">
          <w:rPr>
            <w:noProof w:val="0"/>
            <w:webHidden/>
          </w:rPr>
          <w:instrText xml:space="preserve"> PAGEREF _Toc190767553 \h </w:instrText>
        </w:r>
        <w:r w:rsidRPr="006A6424">
          <w:rPr>
            <w:noProof w:val="0"/>
            <w:webHidden/>
          </w:rPr>
        </w:r>
        <w:r w:rsidRPr="006A6424">
          <w:rPr>
            <w:noProof w:val="0"/>
            <w:webHidden/>
          </w:rPr>
          <w:fldChar w:fldCharType="separate"/>
        </w:r>
        <w:r w:rsidR="00EA669D" w:rsidRPr="006A6424">
          <w:rPr>
            <w:noProof w:val="0"/>
            <w:webHidden/>
          </w:rPr>
          <w:t>6</w:t>
        </w:r>
        <w:r w:rsidRPr="006A6424">
          <w:rPr>
            <w:noProof w:val="0"/>
            <w:webHidden/>
          </w:rPr>
          <w:fldChar w:fldCharType="end"/>
        </w:r>
      </w:hyperlink>
    </w:p>
    <w:p w14:paraId="01176AF5" w14:textId="77777777" w:rsidR="0059550F" w:rsidRPr="006A6424" w:rsidRDefault="0059550F">
      <w:pPr>
        <w:pStyle w:val="TOC1"/>
        <w:rPr>
          <w:rFonts w:eastAsiaTheme="minorEastAsia" w:cstheme="minorBidi"/>
          <w:b w:val="0"/>
          <w:bCs w:val="0"/>
          <w:noProof w:val="0"/>
          <w:kern w:val="2"/>
          <w:sz w:val="24"/>
          <w:szCs w:val="24"/>
          <w:lang w:eastAsia="en-GB"/>
          <w14:ligatures w14:val="standardContextual"/>
        </w:rPr>
      </w:pPr>
      <w:hyperlink w:anchor="_Toc190767554" w:history="1">
        <w:r w:rsidRPr="006A6424">
          <w:rPr>
            <w:rStyle w:val="Hyperlink"/>
            <w:noProof w:val="0"/>
          </w:rPr>
          <w:t>Appendices</w:t>
        </w:r>
        <w:r w:rsidRPr="006A6424">
          <w:rPr>
            <w:noProof w:val="0"/>
            <w:webHidden/>
          </w:rPr>
          <w:tab/>
        </w:r>
        <w:r w:rsidRPr="006A6424">
          <w:rPr>
            <w:noProof w:val="0"/>
            <w:webHidden/>
          </w:rPr>
          <w:fldChar w:fldCharType="begin"/>
        </w:r>
        <w:r w:rsidRPr="006A6424">
          <w:rPr>
            <w:noProof w:val="0"/>
            <w:webHidden/>
          </w:rPr>
          <w:instrText xml:space="preserve"> PAGEREF _Toc190767554 \h </w:instrText>
        </w:r>
        <w:r w:rsidRPr="006A6424">
          <w:rPr>
            <w:noProof w:val="0"/>
            <w:webHidden/>
          </w:rPr>
        </w:r>
        <w:r w:rsidRPr="006A6424">
          <w:rPr>
            <w:noProof w:val="0"/>
            <w:webHidden/>
          </w:rPr>
          <w:fldChar w:fldCharType="separate"/>
        </w:r>
        <w:r w:rsidR="00EA669D" w:rsidRPr="006A6424">
          <w:rPr>
            <w:noProof w:val="0"/>
            <w:webHidden/>
          </w:rPr>
          <w:t>8</w:t>
        </w:r>
        <w:r w:rsidRPr="006A6424">
          <w:rPr>
            <w:noProof w:val="0"/>
            <w:webHidden/>
          </w:rPr>
          <w:fldChar w:fldCharType="end"/>
        </w:r>
      </w:hyperlink>
    </w:p>
    <w:p w14:paraId="7A6EF385" w14:textId="77777777" w:rsidR="0059550F" w:rsidRPr="006A6424" w:rsidRDefault="0059550F">
      <w:pPr>
        <w:pStyle w:val="TOC2"/>
        <w:rPr>
          <w:rFonts w:eastAsiaTheme="minorEastAsia" w:cstheme="minorBidi"/>
          <w:iCs w:val="0"/>
          <w:noProof w:val="0"/>
          <w:kern w:val="2"/>
          <w:sz w:val="24"/>
          <w:szCs w:val="24"/>
          <w:lang w:eastAsia="en-GB"/>
          <w14:ligatures w14:val="standardContextual"/>
        </w:rPr>
      </w:pPr>
      <w:hyperlink w:anchor="_Toc190767555" w:history="1">
        <w:r w:rsidRPr="006A6424">
          <w:rPr>
            <w:rStyle w:val="Hyperlink"/>
            <w:noProof w:val="0"/>
          </w:rPr>
          <w:t>Appendices should contain:</w:t>
        </w:r>
        <w:r w:rsidRPr="006A6424">
          <w:rPr>
            <w:noProof w:val="0"/>
            <w:webHidden/>
          </w:rPr>
          <w:tab/>
        </w:r>
        <w:r w:rsidRPr="006A6424">
          <w:rPr>
            <w:noProof w:val="0"/>
            <w:webHidden/>
          </w:rPr>
          <w:fldChar w:fldCharType="begin"/>
        </w:r>
        <w:r w:rsidRPr="006A6424">
          <w:rPr>
            <w:noProof w:val="0"/>
            <w:webHidden/>
          </w:rPr>
          <w:instrText xml:space="preserve"> PAGEREF _Toc190767555 \h </w:instrText>
        </w:r>
        <w:r w:rsidRPr="006A6424">
          <w:rPr>
            <w:noProof w:val="0"/>
            <w:webHidden/>
          </w:rPr>
        </w:r>
        <w:r w:rsidRPr="006A6424">
          <w:rPr>
            <w:noProof w:val="0"/>
            <w:webHidden/>
          </w:rPr>
          <w:fldChar w:fldCharType="separate"/>
        </w:r>
        <w:r w:rsidR="00EA669D" w:rsidRPr="006A6424">
          <w:rPr>
            <w:noProof w:val="0"/>
            <w:webHidden/>
          </w:rPr>
          <w:t>8</w:t>
        </w:r>
        <w:r w:rsidRPr="006A6424">
          <w:rPr>
            <w:noProof w:val="0"/>
            <w:webHidden/>
          </w:rPr>
          <w:fldChar w:fldCharType="end"/>
        </w:r>
      </w:hyperlink>
    </w:p>
    <w:p w14:paraId="515E079B" w14:textId="1502ACD1"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2087F486" w14:textId="20D81C00" w:rsidR="006A6424" w:rsidRPr="006A6424" w:rsidRDefault="006A6424" w:rsidP="006A6424">
      <w:pPr>
        <w:pStyle w:val="Heading2"/>
        <w:rPr>
          <w:rFonts w:eastAsia="Times New Roman"/>
          <w:lang w:eastAsia="en-NZ"/>
        </w:rPr>
      </w:pPr>
      <w:r w:rsidRPr="006A6424">
        <w:rPr>
          <w:rFonts w:eastAsia="Times New Roman"/>
          <w:lang w:eastAsia="en-NZ"/>
        </w:rPr>
        <w:lastRenderedPageBreak/>
        <w:t>1. Purpose</w:t>
      </w:r>
    </w:p>
    <w:p w14:paraId="1ABC6F01" w14:textId="77777777" w:rsidR="006A6424" w:rsidRPr="006A6424" w:rsidRDefault="006A6424" w:rsidP="006A6424">
      <w:pPr>
        <w:rPr>
          <w:lang w:eastAsia="en-NZ"/>
        </w:rPr>
      </w:pPr>
      <w:r w:rsidRPr="006A6424">
        <w:rPr>
          <w:lang w:eastAsia="en-NZ"/>
        </w:rPr>
        <w:t>This paper sets out an internal MBIE position on spatial policy, with a primary focus on cities and metropolitan systems.</w:t>
      </w:r>
    </w:p>
    <w:p w14:paraId="402B9A8E"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49FB474A" w14:textId="0677E227" w:rsidR="006A6424" w:rsidRPr="006A6424" w:rsidRDefault="006A6424" w:rsidP="006A6424">
      <w:pPr>
        <w:pStyle w:val="Heading2"/>
        <w:rPr>
          <w:rFonts w:eastAsia="Times New Roman"/>
          <w:lang w:eastAsia="en-NZ"/>
        </w:rPr>
      </w:pPr>
      <w:r w:rsidRPr="006A6424">
        <w:rPr>
          <w:rFonts w:eastAsia="Times New Roman"/>
          <w:lang w:eastAsia="en-NZ"/>
        </w:rPr>
        <w:lastRenderedPageBreak/>
        <w:t>2. What We Expect from Cities (Evidence Base)</w:t>
      </w:r>
    </w:p>
    <w:p w14:paraId="47EAB820"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12A68017"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 urban and spatial development. These key points then act as a benchmark from which we can judge the results we currently have.</w:t>
      </w:r>
    </w:p>
    <w:p w14:paraId="188CAB61"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6797647B"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35F69E06"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51190FC4" w14:textId="5F0122B4"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497EA5E6" w14:textId="77777777" w:rsidR="006A6424" w:rsidRP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1AAF3E46"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2EA918ED" w14:textId="77777777" w:rsidR="005A2AAB" w:rsidRPr="006A6424" w:rsidRDefault="005A2AAB" w:rsidP="005A2AAB">
      <w:pPr>
        <w:pStyle w:val="ListParagraph"/>
        <w:numPr>
          <w:ilvl w:val="0"/>
          <w:numId w:val="0"/>
        </w:numPr>
        <w:ind w:left="720"/>
        <w:rPr>
          <w:lang w:eastAsia="en-NZ"/>
        </w:rPr>
      </w:pPr>
    </w:p>
    <w:p w14:paraId="4FF4D57A" w14:textId="75E31176"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Thomas Allen found that communication frequency between engineers drops exponentially </w:t>
      </w:r>
      <w:r w:rsidRPr="006A6424">
        <w:rPr>
          <w:lang w:eastAsia="en-NZ"/>
        </w:rPr>
        <w:lastRenderedPageBreak/>
        <w:t>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62A02BE8" w14:textId="77777777" w:rsidR="005A2AAB" w:rsidRPr="006A6424" w:rsidRDefault="005A2AAB" w:rsidP="005A2AAB">
      <w:pPr>
        <w:pStyle w:val="ListParagraph"/>
        <w:numPr>
          <w:ilvl w:val="0"/>
          <w:numId w:val="0"/>
        </w:numPr>
        <w:ind w:left="283"/>
        <w:rPr>
          <w:lang w:eastAsia="en-NZ"/>
        </w:rPr>
      </w:pPr>
    </w:p>
    <w:p w14:paraId="7EAE7F2F"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40BC7B5E" w14:textId="77777777" w:rsidR="005A2AAB" w:rsidRPr="006A6424" w:rsidRDefault="005A2AAB" w:rsidP="005A2AAB">
      <w:pPr>
        <w:pStyle w:val="ListParagraph"/>
        <w:numPr>
          <w:ilvl w:val="0"/>
          <w:numId w:val="0"/>
        </w:numPr>
        <w:ind w:left="283"/>
        <w:rPr>
          <w:lang w:eastAsia="en-NZ"/>
        </w:rPr>
      </w:pPr>
    </w:p>
    <w:p w14:paraId="0752346D" w14:textId="77777777" w:rsidR="006A6424" w:rsidRPr="005A2AAB" w:rsidRDefault="006A6424" w:rsidP="005A2AAB">
      <w:pPr>
        <w:pStyle w:val="ListParagraph"/>
        <w:numPr>
          <w:ilvl w:val="0"/>
          <w:numId w:val="27"/>
        </w:numPr>
        <w:rPr>
          <w:lang w:eastAsia="en-NZ"/>
        </w:rPr>
      </w:pPr>
      <w:r w:rsidRPr="006A6424">
        <w:rPr>
          <w:lang w:eastAsia="en-NZ"/>
        </w:rPr>
        <w:t>Firm competition and selection – denser markets increase competitive pressure, improving average firm quality. </w:t>
      </w:r>
      <w:r w:rsidRPr="005A2AAB">
        <w:rPr>
          <w:i/>
          <w:iCs/>
          <w:lang w:eastAsia="en-NZ"/>
        </w:rPr>
        <w:t>(</w:t>
      </w:r>
      <w:r w:rsidRPr="005A2AAB">
        <w:rPr>
          <w:i/>
          <w:iCs/>
          <w:highlight w:val="yellow"/>
          <w:lang w:eastAsia="en-NZ"/>
        </w:rPr>
        <w:t>citation needed</w:t>
      </w:r>
      <w:r w:rsidRPr="005A2AAB">
        <w:rPr>
          <w:i/>
          <w:iCs/>
          <w:lang w:eastAsia="en-NZ"/>
        </w:rPr>
        <w:t>)</w:t>
      </w:r>
    </w:p>
    <w:p w14:paraId="5437797F" w14:textId="77777777" w:rsidR="005A2AAB" w:rsidRPr="006A6424" w:rsidRDefault="005A2AAB" w:rsidP="005A2AAB">
      <w:pPr>
        <w:pStyle w:val="ListParagraph"/>
        <w:numPr>
          <w:ilvl w:val="0"/>
          <w:numId w:val="0"/>
        </w:numPr>
        <w:ind w:left="283"/>
        <w:rPr>
          <w:lang w:eastAsia="en-NZ"/>
        </w:rPr>
      </w:pPr>
    </w:p>
    <w:p w14:paraId="77B1E0EF" w14:textId="076E43CB"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7E0F1886"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242CB582"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42A67233"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23BF432" w14:textId="4DA4B451" w:rsidR="006A6424" w:rsidRPr="006A6424" w:rsidRDefault="006A6424" w:rsidP="006A6424">
      <w:pPr>
        <w:pStyle w:val="Heading2"/>
        <w:rPr>
          <w:rFonts w:eastAsia="Times New Roman"/>
          <w:lang w:eastAsia="en-NZ"/>
        </w:rPr>
      </w:pPr>
      <w:r w:rsidRPr="006A6424">
        <w:rPr>
          <w:rFonts w:eastAsia="Times New Roman"/>
          <w:lang w:eastAsia="en-NZ"/>
        </w:rPr>
        <w:lastRenderedPageBreak/>
        <w:t>3. Core Diagnosis: Growth, Capital Pressure, and Productivity</w:t>
      </w:r>
    </w:p>
    <w:p w14:paraId="3114164E" w14:textId="77777777" w:rsidR="006A6424" w:rsidRPr="006A6424" w:rsidRDefault="006A6424" w:rsidP="006A6424">
      <w:pPr>
        <w:rPr>
          <w:lang w:eastAsia="en-NZ"/>
        </w:rPr>
      </w:pPr>
      <w:r w:rsidRPr="006A6424">
        <w:rPr>
          <w:lang w:eastAsia="en-NZ"/>
        </w:rPr>
        <w:t>New Zealand's productivity problem is, in part, a spatial allocation problem.</w:t>
      </w:r>
    </w:p>
    <w:p w14:paraId="6AA876A4"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5BDC5648" w14:textId="77777777" w:rsidR="006A6424" w:rsidRPr="006A6424" w:rsidRDefault="006A6424" w:rsidP="006A6424">
      <w:pPr>
        <w:rPr>
          <w:lang w:eastAsia="en-NZ"/>
        </w:rPr>
      </w:pPr>
      <w:r w:rsidRPr="006A6424">
        <w:rPr>
          <w:lang w:eastAsia="en-NZ"/>
        </w:rPr>
        <w:t>This can be understood as a sequence of empirically observable developments.</w:t>
      </w:r>
    </w:p>
    <w:p w14:paraId="2EE6E6CB" w14:textId="77777777" w:rsidR="006A6424" w:rsidRPr="006A6424" w:rsidRDefault="006A6424" w:rsidP="006A6424">
      <w:pPr>
        <w:pStyle w:val="Heading3"/>
        <w:rPr>
          <w:rFonts w:eastAsia="Times New Roman"/>
          <w:lang w:eastAsia="en-NZ"/>
        </w:rPr>
      </w:pPr>
      <w:r w:rsidRPr="006A6424">
        <w:rPr>
          <w:rFonts w:eastAsia="Times New Roman"/>
          <w:lang w:eastAsia="en-NZ"/>
        </w:rPr>
        <w:t>A. Population growth has been strong by advanced economy standards</w:t>
      </w:r>
    </w:p>
    <w:p w14:paraId="6B30BD08" w14:textId="77777777" w:rsidR="006A6424" w:rsidRPr="006A6424" w:rsidRDefault="006A6424" w:rsidP="006A6424">
      <w:pPr>
        <w:rPr>
          <w:lang w:eastAsia="en-NZ"/>
        </w:rPr>
      </w:pPr>
      <w:r w:rsidRPr="006A6424">
        <w:rPr>
          <w:lang w:eastAsia="en-NZ"/>
        </w:rPr>
        <w:t>New Zealand has experienced sustained population growth — 27.3% between 2006 and 2025, an increase of approximately 1.14 million people (Kānoa RD, 2026) — with a particularly strong contribution from migration since the early 1990s. </w:t>
      </w:r>
      <w:r w:rsidRPr="006A6424">
        <w:rPr>
          <w:i/>
          <w:iCs/>
          <w:lang w:eastAsia="en-NZ"/>
        </w:rPr>
        <w:t>(citation needed)</w:t>
      </w:r>
    </w:p>
    <w:p w14:paraId="4FCBD2EC" w14:textId="77777777" w:rsidR="0080550B" w:rsidRDefault="0080550B" w:rsidP="006A6424">
      <w:pPr>
        <w:rPr>
          <w:i/>
          <w:iCs/>
          <w:lang w:eastAsia="en-NZ"/>
        </w:rPr>
      </w:pPr>
    </w:p>
    <w:p w14:paraId="47D0BA17" w14:textId="355317FB" w:rsidR="006A6424" w:rsidRPr="006A6424" w:rsidRDefault="006A6424" w:rsidP="0080550B">
      <w:pPr>
        <w:pStyle w:val="Caption"/>
      </w:pPr>
      <w:r w:rsidRPr="006A6424">
        <w:t xml:space="preserve">Figure 1: New Zealand population growth relative to </w:t>
      </w:r>
      <w:r w:rsidR="0080550B">
        <w:t>‘more developed regions’ (World Bank Data)</w:t>
      </w:r>
    </w:p>
    <w:p w14:paraId="72B1D845" w14:textId="18CB65F6" w:rsidR="0080550B" w:rsidRDefault="0080550B" w:rsidP="006A6424">
      <w:pPr>
        <w:rPr>
          <w:lang w:eastAsia="en-NZ"/>
        </w:rPr>
      </w:pPr>
      <w:r w:rsidRPr="0080550B">
        <w:rPr>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r:id="rId14"/>
              </a:graphicData>
            </a:graphic>
          </wp:inline>
        </w:drawing>
      </w:r>
    </w:p>
    <w:p w14:paraId="2D7FEAA2" w14:textId="2BC2C827" w:rsidR="006A6424" w:rsidRPr="006A6424" w:rsidRDefault="006A6424" w:rsidP="006A6424">
      <w:pPr>
        <w:rPr>
          <w:lang w:eastAsia="en-NZ"/>
        </w:rPr>
      </w:pPr>
      <w:r w:rsidRPr="006A6424">
        <w:rPr>
          <w:lang w:eastAsia="en-NZ"/>
        </w:rPr>
        <w:t>This sustained growth rate differentiates New Zealand from many OECD peers, where population growth has slowed more markedly and is increasingly driven by ageing dynamics rather than migration.</w:t>
      </w:r>
    </w:p>
    <w:p w14:paraId="1F59205F" w14:textId="77777777" w:rsidR="006A6424" w:rsidRPr="006A6424" w:rsidRDefault="006A6424" w:rsidP="0080550B">
      <w:pPr>
        <w:pStyle w:val="Heading3"/>
        <w:rPr>
          <w:rFonts w:eastAsia="Times New Roman"/>
          <w:lang w:eastAsia="en-NZ"/>
        </w:rPr>
      </w:pPr>
      <w:r w:rsidRPr="006A6424">
        <w:rPr>
          <w:rFonts w:eastAsia="Times New Roman"/>
          <w:lang w:eastAsia="en-NZ"/>
        </w:rPr>
        <w:t>B. The drivers of growth shifted from fertility to migration in the early 1990s</w:t>
      </w:r>
    </w:p>
    <w:p w14:paraId="393B95FC" w14:textId="77777777" w:rsidR="006A6424" w:rsidRPr="006A6424" w:rsidRDefault="006A6424" w:rsidP="0080550B">
      <w:pPr>
        <w:rPr>
          <w:lang w:eastAsia="en-NZ"/>
        </w:rPr>
      </w:pPr>
      <w:r w:rsidRPr="006A6424">
        <w:rPr>
          <w:lang w:eastAsia="en-NZ"/>
        </w:rPr>
        <w:t xml:space="preserve">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w:t>
      </w:r>
      <w:r w:rsidRPr="006A6424">
        <w:rPr>
          <w:lang w:eastAsia="en-NZ"/>
        </w:rPr>
        <w:lastRenderedPageBreak/>
        <w:t>Zealand was negative, and over 2006–2025 only Auckland, Hamilton, and Tauranga — the "golden triangle" — grew faster than the 27.3% national rate, with Auckland adding approximately 443,000 people (Kānoa RD, 2026).</w:t>
      </w:r>
    </w:p>
    <w:p w14:paraId="6996DAF3" w14:textId="111CCEAF" w:rsidR="0080550B" w:rsidRDefault="006A6424" w:rsidP="00920D09">
      <w:pPr>
        <w:rPr>
          <w:b/>
          <w:bCs/>
          <w:color w:val="006171" w:themeColor="text2"/>
          <w:lang w:eastAsia="en-NZ"/>
        </w:rPr>
      </w:pPr>
      <w:r w:rsidRPr="006A6424">
        <w:rPr>
          <w:lang w:eastAsia="en-NZ"/>
        </w:rPr>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13AA7AC6" w14:textId="616B39D7" w:rsidR="006A6424" w:rsidRDefault="006A6424" w:rsidP="0080550B">
      <w:pPr>
        <w:pStyle w:val="Caption"/>
      </w:pPr>
      <w:r w:rsidRPr="006A6424">
        <w:t>Figure 2: Components of population growth (migration vs natural increase, 1990–present)</w:t>
      </w:r>
    </w:p>
    <w:p w14:paraId="314BEADA" w14:textId="22E4D823" w:rsidR="0080550B" w:rsidRPr="006A6424" w:rsidRDefault="0080550B" w:rsidP="0080550B">
      <w:pPr>
        <w:jc w:val="center"/>
        <w:rPr>
          <w:sz w:val="24"/>
          <w:szCs w:val="24"/>
          <w:lang w:eastAsia="en-NZ"/>
        </w:rPr>
      </w:pPr>
      <w:r w:rsidRPr="0080550B">
        <w:rPr>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r:id="rId15"/>
              </a:graphicData>
            </a:graphic>
          </wp:inline>
        </w:drawing>
      </w:r>
    </w:p>
    <w:p w14:paraId="0E34C3C4" w14:textId="77777777" w:rsidR="006A6424" w:rsidRPr="006A6424" w:rsidRDefault="006A6424" w:rsidP="0080550B">
      <w:pPr>
        <w:pStyle w:val="Heading3"/>
        <w:rPr>
          <w:rFonts w:eastAsia="Times New Roman"/>
          <w:lang w:eastAsia="en-NZ"/>
        </w:rPr>
      </w:pPr>
      <w:r w:rsidRPr="006A6424">
        <w:rPr>
          <w:rFonts w:eastAsia="Times New Roman"/>
          <w:lang w:eastAsia="en-NZ"/>
        </w:rPr>
        <w:t>C. New Zealand became "metropolitanised" fast and late</w:t>
      </w:r>
    </w:p>
    <w:p w14:paraId="1946F4C5" w14:textId="01D6AD15" w:rsidR="006A6424" w:rsidRPr="006A6424" w:rsidRDefault="006A6424" w:rsidP="0080550B">
      <w:pPr>
        <w:rPr>
          <w:lang w:eastAsia="en-NZ"/>
        </w:rPr>
      </w:pPr>
      <w:r w:rsidRPr="006A6424">
        <w:rPr>
          <w:lang w:eastAsia="en-NZ"/>
        </w:rPr>
        <w:t xml:space="preserve">The shift to migration-led growth resulted in a relatively rapid metropolitanisation of population growth. New Zealand urbanised, i.e. moved to towns rather than the countryside, around the same time as most comparator advanced economies but Auckland remained relatively small, with a </w:t>
      </w:r>
      <w:r w:rsidRPr="00AF0C1E">
        <w:rPr>
          <w:highlight w:val="yellow"/>
          <w:lang w:eastAsia="en-NZ"/>
        </w:rPr>
        <w:t xml:space="preserve">population of X, or </w:t>
      </w:r>
      <w:r w:rsidR="00AF0C1E">
        <w:rPr>
          <w:highlight w:val="yellow"/>
          <w:lang w:eastAsia="en-NZ"/>
        </w:rPr>
        <w:t>Y</w:t>
      </w:r>
      <w:r w:rsidRPr="00AF0C1E">
        <w:rPr>
          <w:highlight w:val="yellow"/>
          <w:lang w:eastAsia="en-NZ"/>
        </w:rPr>
        <w:t>% of the national population, in 1990</w:t>
      </w:r>
      <w:r w:rsidRPr="006A6424">
        <w:rPr>
          <w:lang w:eastAsia="en-NZ"/>
        </w:rPr>
        <w:t xml:space="preserve"> [</w:t>
      </w:r>
      <w:r w:rsidR="00AF0C1E" w:rsidRPr="00AF0C1E">
        <w:rPr>
          <w:highlight w:val="yellow"/>
          <w:lang w:eastAsia="en-NZ"/>
        </w:rPr>
        <w:t>reference needed</w:t>
      </w:r>
      <w:r w:rsidRPr="006A6424">
        <w:rPr>
          <w:lang w:eastAsia="en-NZ"/>
        </w:rPr>
        <w:t>]. However, once migration became the primary driver, growth became highly concentrated in metropolitan areas.</w:t>
      </w:r>
    </w:p>
    <w:p w14:paraId="5228F6BE" w14:textId="6CDC4E3C" w:rsidR="006A6424" w:rsidRDefault="006A6424" w:rsidP="0080550B">
      <w:pPr>
        <w:pStyle w:val="Caption"/>
      </w:pPr>
      <w:r w:rsidRPr="006A6424">
        <w:t xml:space="preserve">Figure 3: </w:t>
      </w:r>
      <w:r w:rsidR="0080550B">
        <w:t>% of New Zealanders living in cities</w:t>
      </w:r>
      <w:r w:rsidR="00AF0C1E">
        <w:t xml:space="preserve"> (World Bank)</w:t>
      </w:r>
    </w:p>
    <w:p w14:paraId="041C5560" w14:textId="0E1F0A13" w:rsidR="0080550B" w:rsidRPr="006A6424" w:rsidRDefault="0080550B" w:rsidP="0080550B">
      <w:pPr>
        <w:jc w:val="center"/>
        <w:rPr>
          <w:sz w:val="24"/>
          <w:szCs w:val="24"/>
          <w:lang w:eastAsia="en-NZ"/>
        </w:rPr>
      </w:pPr>
      <w:r w:rsidRPr="0080550B">
        <w:rPr>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r:id="rId16"/>
              </a:graphicData>
            </a:graphic>
          </wp:inline>
        </w:drawing>
      </w:r>
    </w:p>
    <w:p w14:paraId="088EB450" w14:textId="77777777" w:rsidR="006A6424" w:rsidRPr="006A6424" w:rsidRDefault="006A6424" w:rsidP="00AF0C1E">
      <w:pPr>
        <w:pStyle w:val="Heading3"/>
        <w:rPr>
          <w:rFonts w:eastAsia="Times New Roman"/>
          <w:lang w:eastAsia="en-NZ"/>
        </w:rPr>
      </w:pPr>
      <w:r w:rsidRPr="006A6424">
        <w:rPr>
          <w:rFonts w:eastAsia="Times New Roman"/>
          <w:lang w:eastAsia="en-NZ"/>
        </w:rPr>
        <w:lastRenderedPageBreak/>
        <w:t>D. Growth is not spatially neutral—it lands disproportionately in metros</w:t>
      </w:r>
    </w:p>
    <w:p w14:paraId="65A81A02" w14:textId="77777777" w:rsidR="006A6424" w:rsidRPr="006A6424" w:rsidRDefault="006A6424" w:rsidP="00AF0C1E">
      <w:pPr>
        <w:rPr>
          <w:lang w:eastAsia="en-NZ"/>
        </w:rPr>
      </w:pPr>
      <w:r w:rsidRPr="006A6424">
        <w:rPr>
          <w:lang w:eastAsia="en-NZ"/>
        </w:rPr>
        <w:t>Population growth in New Zealand is highly uneven in its spatial incidence. Metro areas (especially Auckland) absorb most growth. Internal migration redistributes population domestically, but international migration continues to drive metro expansion. This creates persistent, place-specific demand shocks, rather than evenly distributed national growth.</w:t>
      </w:r>
    </w:p>
    <w:p w14:paraId="7CFA9A5C" w14:textId="77777777" w:rsidR="006A6424" w:rsidRPr="006A6424" w:rsidRDefault="006A6424" w:rsidP="00AF0C1E">
      <w:pPr>
        <w:pStyle w:val="Heading3"/>
        <w:rPr>
          <w:rFonts w:eastAsia="Times New Roman"/>
          <w:lang w:eastAsia="en-NZ"/>
        </w:rPr>
      </w:pPr>
      <w:r w:rsidRPr="006A6424">
        <w:rPr>
          <w:rFonts w:eastAsia="Times New Roman"/>
          <w:lang w:eastAsia="en-NZ"/>
        </w:rPr>
        <w:t>E. Metro growth has occurred alongside a structural infrastructure deficit</w:t>
      </w:r>
    </w:p>
    <w:p w14:paraId="3500C13F"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7902513E" w14:textId="6ED80DA8" w:rsidR="006A6424" w:rsidRDefault="006A6424" w:rsidP="00AF0C1E">
      <w:pPr>
        <w:pStyle w:val="Caption"/>
      </w:pPr>
      <w:r w:rsidRPr="00AF0C1E">
        <w:t>Figure 4: Infrastructure investment vs estimated demand / gap</w:t>
      </w:r>
      <w:r w:rsidR="00AF0C1E">
        <w:t xml:space="preserve"> (Te Waihanga 2026)</w:t>
      </w:r>
    </w:p>
    <w:p w14:paraId="0F4AED42" w14:textId="0933C4A9" w:rsidR="00AF0C1E" w:rsidRPr="00AF0C1E" w:rsidRDefault="00AF0C1E" w:rsidP="00AF0C1E">
      <w:pPr>
        <w:jc w:val="center"/>
        <w:rPr>
          <w:lang w:eastAsia="en-NZ"/>
        </w:rPr>
      </w:pPr>
      <w:r w:rsidRPr="00AF0C1E">
        <w:rPr>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68F3C30A"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6A8E38DD" w14:textId="77777777" w:rsidR="006A6424" w:rsidRPr="00AF0C1E" w:rsidRDefault="006A6424" w:rsidP="00AF0C1E">
      <w:pPr>
        <w:pStyle w:val="Heading3"/>
        <w:rPr>
          <w:rFonts w:eastAsia="Times New Roman"/>
          <w:lang w:eastAsia="en-NZ"/>
        </w:rPr>
      </w:pPr>
      <w:r w:rsidRPr="00AF0C1E">
        <w:rPr>
          <w:rFonts w:eastAsia="Times New Roman"/>
          <w:lang w:eastAsia="en-NZ"/>
        </w:rPr>
        <w:t>F. This generates persistent pressure in housing, land, and urban systems</w:t>
      </w:r>
    </w:p>
    <w:p w14:paraId="6D285524"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3F5744A2" w14:textId="77777777" w:rsidR="006A6424" w:rsidRPr="00AF0C1E" w:rsidRDefault="006A6424" w:rsidP="006A6424">
      <w:pPr>
        <w:rPr>
          <w:lang w:eastAsia="en-NZ"/>
        </w:rPr>
      </w:pPr>
      <w:r w:rsidRPr="00AF0C1E">
        <w:rPr>
          <w:lang w:eastAsia="en-NZ"/>
        </w:rPr>
        <w:t>These pressures are not cyclical—they are systemic features of the growth model.</w:t>
      </w:r>
    </w:p>
    <w:p w14:paraId="11F0CCC0" w14:textId="77777777" w:rsidR="006A6424" w:rsidRPr="006A6424" w:rsidRDefault="006A6424" w:rsidP="005A2AAB">
      <w:pPr>
        <w:pStyle w:val="Heading3"/>
        <w:rPr>
          <w:rFonts w:eastAsia="Times New Roman"/>
          <w:lang w:eastAsia="en-NZ"/>
        </w:rPr>
      </w:pPr>
      <w:r w:rsidRPr="006A6424">
        <w:rPr>
          <w:rFonts w:eastAsia="Times New Roman"/>
          <w:lang w:eastAsia="en-NZ"/>
        </w:rPr>
        <w:t>G. Capital is drawn into accommodating growth rather than enhancing productivity</w:t>
      </w:r>
    </w:p>
    <w:p w14:paraId="5DEBA9AE"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w:t>
      </w:r>
    </w:p>
    <w:p w14:paraId="34D96070" w14:textId="77777777" w:rsidR="006A6424" w:rsidRPr="006A6424" w:rsidRDefault="006A6424" w:rsidP="005A2AAB">
      <w:pPr>
        <w:rPr>
          <w:lang w:eastAsia="en-NZ"/>
        </w:rPr>
      </w:pPr>
      <w:r w:rsidRPr="006A6424">
        <w:rPr>
          <w:lang w:eastAsia="en-NZ"/>
        </w:rPr>
        <w:lastRenderedPageBreak/>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738BFD16" w14:textId="77777777" w:rsidR="006A6424" w:rsidRPr="005A2AAB" w:rsidRDefault="006A6424" w:rsidP="005A2AAB">
      <w:pPr>
        <w:pStyle w:val="Heading3"/>
      </w:pPr>
      <w:r w:rsidRPr="005A2AAB">
        <w:t>H. These dynamics create binding constraints within metropolitan areas</w:t>
      </w:r>
    </w:p>
    <w:p w14:paraId="5C7924C9" w14:textId="77777777" w:rsidR="006A6424" w:rsidRPr="006A6424" w:rsidRDefault="006A6424" w:rsidP="005A2AAB">
      <w:pPr>
        <w:rPr>
          <w:sz w:val="24"/>
          <w:szCs w:val="24"/>
          <w:lang w:eastAsia="en-NZ"/>
        </w:rPr>
      </w:pPr>
      <w:r w:rsidRPr="006A6424">
        <w:rPr>
          <w:sz w:val="24"/>
          <w:szCs w:val="24"/>
          <w:lang w:eastAsia="en-NZ"/>
        </w:rPr>
        <w:t>The interaction of growth and capital pressure manifests spatially. Housing and land constraints limit access to productive locations (Walley, 2026), transport constraints reduce effective city size and labour market depth (Collier et al., 2018), infrastructure provision reinforces inefficient urban form (World Bank, 2009), and firms face higher costs and reduced ability to scale.</w:t>
      </w:r>
    </w:p>
    <w:p w14:paraId="2E850D29" w14:textId="77777777" w:rsidR="006A6424" w:rsidRPr="006A6424" w:rsidRDefault="006A6424" w:rsidP="005A2AAB">
      <w:pPr>
        <w:pStyle w:val="Heading3"/>
        <w:rPr>
          <w:rFonts w:eastAsia="Times New Roman"/>
          <w:lang w:eastAsia="en-NZ"/>
        </w:rPr>
      </w:pPr>
      <w:r w:rsidRPr="006A6424">
        <w:rPr>
          <w:rFonts w:eastAsia="Times New Roman"/>
          <w:lang w:eastAsia="en-NZ"/>
        </w:rPr>
        <w:t>I. The result is systematic spatial misallocation</w:t>
      </w:r>
    </w:p>
    <w:p w14:paraId="4156A514" w14:textId="068D818D"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5A2AAB">
        <w:rPr>
          <w:highlight w:val="yellow"/>
          <w:lang w:eastAsia="en-NZ"/>
        </w:rPr>
        <w:t>improve reference</w:t>
      </w:r>
      <w:r w:rsidRPr="006A6424">
        <w:rPr>
          <w:lang w:eastAsia="en-NZ"/>
        </w:rPr>
        <w:t>), firms cannot fully access deep labour markets (Maré &amp; Graham, 2009), and capital is concentrated in land and existing assets rather than innovation (Ministry of Housing and Urban Development, 2024; Winter et al., 2025).</w:t>
      </w:r>
    </w:p>
    <w:p w14:paraId="3407B92C"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27579CB6" w14:textId="77777777" w:rsidR="006A6424" w:rsidRPr="006A6424" w:rsidRDefault="006A6424" w:rsidP="005A2AAB">
      <w:pPr>
        <w:pStyle w:val="Heading3"/>
        <w:rPr>
          <w:rFonts w:eastAsia="Times New Roman"/>
          <w:lang w:eastAsia="en-NZ"/>
        </w:rPr>
      </w:pPr>
      <w:r w:rsidRPr="006A6424">
        <w:rPr>
          <w:rFonts w:eastAsia="Times New Roman"/>
          <w:lang w:eastAsia="en-NZ"/>
        </w:rPr>
        <w:t>J. This produces a low-productivity equilibrium</w:t>
      </w:r>
    </w:p>
    <w:p w14:paraId="6723AFC8"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5F1B784D"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4A5E86AF"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3BE30A59" w14:textId="0E7C1C83" w:rsidR="006A6424" w:rsidRPr="006A6424" w:rsidRDefault="006A6424" w:rsidP="005A2AAB">
      <w:pPr>
        <w:pStyle w:val="Heading2"/>
        <w:rPr>
          <w:rFonts w:eastAsia="Times New Roman"/>
          <w:lang w:eastAsia="en-NZ"/>
        </w:rPr>
      </w:pPr>
      <w:r w:rsidRPr="006A6424">
        <w:rPr>
          <w:rFonts w:eastAsia="Times New Roman"/>
          <w:lang w:eastAsia="en-NZ"/>
        </w:rPr>
        <w:lastRenderedPageBreak/>
        <w:t>4. Spatial Policy as a System Lever</w:t>
      </w:r>
    </w:p>
    <w:p w14:paraId="1010D326"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708111F9"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229B6E00"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3FD7C93F"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315072DB" w14:textId="77777777" w:rsidR="00920D09" w:rsidRPr="005A2AAB" w:rsidRDefault="00920D09" w:rsidP="00920D09">
      <w:pPr>
        <w:pStyle w:val="ListParagraph"/>
        <w:numPr>
          <w:ilvl w:val="0"/>
          <w:numId w:val="0"/>
        </w:numPr>
        <w:ind w:left="720"/>
        <w:rPr>
          <w:lang w:eastAsia="en-NZ"/>
        </w:rPr>
      </w:pPr>
    </w:p>
    <w:p w14:paraId="54504828"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6D2F12CD" w14:textId="77777777" w:rsidR="00920D09" w:rsidRPr="005A2AAB" w:rsidRDefault="00920D09" w:rsidP="00920D09">
      <w:pPr>
        <w:pStyle w:val="ListParagraph"/>
        <w:numPr>
          <w:ilvl w:val="0"/>
          <w:numId w:val="0"/>
        </w:numPr>
        <w:ind w:left="283"/>
        <w:rPr>
          <w:lang w:eastAsia="en-NZ"/>
        </w:rPr>
      </w:pPr>
    </w:p>
    <w:p w14:paraId="26ED114E"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6E93E5F0" w14:textId="77777777" w:rsidR="00920D09" w:rsidRPr="005A2AAB" w:rsidRDefault="00920D09" w:rsidP="00920D09">
      <w:pPr>
        <w:pStyle w:val="ListParagraph"/>
        <w:numPr>
          <w:ilvl w:val="0"/>
          <w:numId w:val="0"/>
        </w:numPr>
        <w:ind w:left="283"/>
        <w:rPr>
          <w:lang w:eastAsia="en-NZ"/>
        </w:rPr>
      </w:pPr>
    </w:p>
    <w:p w14:paraId="6FBDB0F4"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60BF48FA" w14:textId="77777777" w:rsidR="00920D09" w:rsidRPr="005A2AAB" w:rsidRDefault="00920D09" w:rsidP="00920D09">
      <w:pPr>
        <w:pStyle w:val="ListParagraph"/>
        <w:numPr>
          <w:ilvl w:val="0"/>
          <w:numId w:val="0"/>
        </w:numPr>
        <w:ind w:left="283"/>
        <w:rPr>
          <w:lang w:eastAsia="en-NZ"/>
        </w:rPr>
      </w:pPr>
    </w:p>
    <w:p w14:paraId="5B3A75C1"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4129A103" w14:textId="77777777" w:rsidR="00920D09" w:rsidRPr="005A2AAB" w:rsidRDefault="00920D09" w:rsidP="00920D09">
      <w:pPr>
        <w:pStyle w:val="ListParagraph"/>
        <w:numPr>
          <w:ilvl w:val="0"/>
          <w:numId w:val="0"/>
        </w:numPr>
        <w:ind w:left="283"/>
        <w:rPr>
          <w:lang w:eastAsia="en-NZ"/>
        </w:rPr>
      </w:pPr>
    </w:p>
    <w:p w14:paraId="6CC4435A"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4058D685"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2B2A8BDA"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1A43F460" w14:textId="77777777" w:rsidR="006A6424" w:rsidRPr="006A6424" w:rsidRDefault="006A6424" w:rsidP="00920D09">
      <w:pPr>
        <w:rPr>
          <w:lang w:eastAsia="en-NZ"/>
        </w:rPr>
      </w:pPr>
      <w:r w:rsidRPr="006A6424">
        <w:rPr>
          <w:lang w:eastAsia="en-NZ"/>
        </w:rPr>
        <w:t>The New Zealand evidence suggests the latter has often been the case. Growth has been accommodated, but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3C02D9F9"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(Walley, 2026; Ministry of Housing and Urban Development, 2024).</w:t>
      </w:r>
    </w:p>
    <w:p w14:paraId="3D9A65E5" w14:textId="77777777" w:rsidR="00920D09" w:rsidRDefault="00920D09" w:rsidP="00920D09">
      <w:pPr>
        <w:rPr>
          <w:lang w:eastAsia="en-NZ"/>
        </w:rPr>
      </w:pPr>
    </w:p>
    <w:p w14:paraId="3214E84D" w14:textId="77777777" w:rsidR="00920D09" w:rsidRPr="006A6424" w:rsidRDefault="00920D09" w:rsidP="00920D09">
      <w:pPr>
        <w:rPr>
          <w:lang w:eastAsia="en-NZ"/>
        </w:rPr>
      </w:pPr>
    </w:p>
    <w:p w14:paraId="5470E9CA" w14:textId="77777777" w:rsidR="006A6424" w:rsidRPr="006A6424" w:rsidRDefault="006A6424" w:rsidP="00920D09">
      <w:pPr>
        <w:pStyle w:val="Heading2"/>
        <w:rPr>
          <w:rFonts w:eastAsia="Times New Roman"/>
          <w:lang w:eastAsia="en-NZ"/>
        </w:rPr>
      </w:pPr>
      <w:r>
        <w:t>5. The New Zealand Spatial System — Evidence and Mechanisms</w:t>
      </w:r>
    </w:p>
    <w:p w14:paraId="0AC5DD67"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0CEBADE5" w14:textId="77777777" w:rsidR="006A6424" w:rsidRPr="006A6424" w:rsidRDefault="006A6424" w:rsidP="00920D09">
      <w:pPr>
        <w:rPr>
          <w:lang w:eastAsia="en-NZ"/>
        </w:rPr>
      </w:pPr>
      <w:r w:rsidRPr="006A6424">
        <w:rPr>
          <w:lang w:eastAsia="en-NZ"/>
        </w:rPr>
        <w:t>Auckland functions as New Zealand's primary metropolitan centre and captures a disproportionate share of population and economic growth. Growth in high-productivity service sectors has been disproportionately concentrated in Auckland, with finance and wholesale activity expanding significantly faster than predicted by initial distribution. (Coleman et al., 2019)</w:t>
      </w:r>
    </w:p>
    <w:p w14:paraId="487ADCD8" w14:textId="77777777" w:rsidR="006A6424" w:rsidRPr="006A6424" w:rsidRDefault="006A6424" w:rsidP="00920D09">
      <w:pPr>
        <w:rPr>
          <w:lang w:eastAsia="en-NZ"/>
        </w:rPr>
      </w:pPr>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w:t>
      </w:r>
      <w:proofErr w:type="gramStart"/>
      <w:r w:rsidRPr="006A6424">
        <w:rPr>
          <w:lang w:eastAsia="en-NZ"/>
        </w:rPr>
        <w:t>highly-educated</w:t>
      </w:r>
      <w:proofErr w:type="gramEnd"/>
      <w:r w:rsidRPr="006A6424">
        <w:rPr>
          <w:lang w:eastAsia="en-NZ"/>
        </w:rPr>
        <w:t xml:space="preserve"> workforce (Ahlfeldt &amp; Pietrostefani, 2019; Ahrend et al., 2015).</w:t>
      </w:r>
    </w:p>
    <w:p w14:paraId="2C771C38" w14:textId="77777777" w:rsidR="006A6424" w:rsidRPr="006A6424" w:rsidRDefault="006A6424" w:rsidP="00920D09">
      <w:pPr>
        <w:rPr>
          <w:lang w:eastAsia="en-NZ"/>
        </w:rPr>
      </w:pPr>
      <w:r w:rsidRPr="006A6424">
        <w:rPr>
          <w:lang w:eastAsia="en-NZ"/>
        </w:rPr>
        <w:t xml:space="preserve">However, as set out in Section 3, Auckland has not delivered productivity outcomes commensurate with its scale. Calculating the productivity premium of Auckland as a city and comparing it to others is not an exact </w:t>
      </w:r>
      <w:proofErr w:type="gramStart"/>
      <w:r w:rsidRPr="006A6424">
        <w:rPr>
          <w:lang w:eastAsia="en-NZ"/>
        </w:rPr>
        <w:t>science, and</w:t>
      </w:r>
      <w:proofErr w:type="gramEnd"/>
      <w:r w:rsidRPr="006A6424">
        <w:rPr>
          <w:lang w:eastAsia="en-NZ"/>
        </w:rPr>
        <w:t xml:space="preserve"> depends on how you define the city (and the city to which you compare it), and the measure you use (e.g. GDP/capita, GDP/hour worked, &amp;c). However, enough repeat measures tell a similar story to be confident in Auckland's low premium.</w:t>
      </w:r>
    </w:p>
    <w:p w14:paraId="70824A56" w14:textId="3CA0154B" w:rsidR="006A6424" w:rsidRPr="006A6424" w:rsidRDefault="006A6424" w:rsidP="00920D09">
      <w:pPr>
        <w:rPr>
          <w:lang w:eastAsia="en-NZ"/>
        </w:rPr>
      </w:pPr>
      <w:r w:rsidRPr="006A6424">
        <w:rPr>
          <w:lang w:eastAsia="en-NZ"/>
        </w:rPr>
        <w:t xml:space="preserve">The Auckland Council Chief Economist finds that Auckland's GDP per capita is only around 13% above the national average, against the 25–35% typical for comparable primate cities in small-to-medium economies (Blick &amp; Stewart, 2025). The Committee for Auckland finds that its productivity premium over the rest of New Zealand is only around 15%, against the 30–40% enjoyed by peer capital cities such as Dublin, Helsinki, and Tel Aviv (Committee for Auckland et al., 2025). My personal interrogation of Stats NZ data suggests that </w:t>
      </w:r>
      <w:r w:rsidR="00920D09">
        <w:rPr>
          <w:lang w:eastAsia="en-NZ"/>
        </w:rPr>
        <w:t>Auckland</w:t>
      </w:r>
      <w:r w:rsidRPr="006A6424">
        <w:rPr>
          <w:lang w:eastAsia="en-NZ"/>
        </w:rPr>
        <w:t xml:space="preserve"> generates around 38% of national GDP but only a 9% premium in GDP per hour worked (Walley, 2026); and the Committee for Auckland finds it ranks 99th globally and last among ten international peer cities on productivity (Committee for Auckland et al., 2025).</w:t>
      </w:r>
    </w:p>
    <w:p w14:paraId="516AB5B5" w14:textId="77777777" w:rsidR="006A6424" w:rsidRPr="006A6424" w:rsidRDefault="006A6424" w:rsidP="00920D09">
      <w:pPr>
        <w:rPr>
          <w:lang w:eastAsia="en-NZ"/>
        </w:rPr>
      </w:pPr>
      <w:r w:rsidRPr="006A6424">
        <w:rPr>
          <w:lang w:eastAsia="en-NZ"/>
        </w:rPr>
        <w:t xml:space="preserve">This indicates a few important things. Firstly, Auckland does have a non-zero productivity premium. This suggests the potential for productivity is </w:t>
      </w:r>
      <w:proofErr w:type="gramStart"/>
      <w:r w:rsidRPr="006A6424">
        <w:rPr>
          <w:lang w:eastAsia="en-NZ"/>
        </w:rPr>
        <w:t>there, but</w:t>
      </w:r>
      <w:proofErr w:type="gramEnd"/>
      <w:r w:rsidRPr="006A6424">
        <w:rPr>
          <w:lang w:eastAsia="en-NZ"/>
        </w:rPr>
        <w:t xml:space="preserve"> not realised. The indicative conclusion is that the issue is not insufficient concentration, but constraints on how that concentration functions.</w:t>
      </w:r>
    </w:p>
    <w:p w14:paraId="71D2BBB9" w14:textId="77777777" w:rsidR="006A6424" w:rsidRP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as set out in earlier sections, these mechanisms are systematically weakened in practice by a set of recurring system failures. These failures are not isolated or project-specific; they arise from the way land use, infrastructure, transport, governance, and capital allocation interact. Together, they prevent metropolitan areas from functioning as fully effective economic </w:t>
      </w:r>
      <w:proofErr w:type="gramStart"/>
      <w:r w:rsidRPr="006A6424">
        <w:rPr>
          <w:lang w:eastAsia="en-NZ"/>
        </w:rPr>
        <w:t>systems, and</w:t>
      </w:r>
      <w:proofErr w:type="gramEnd"/>
      <w:r w:rsidRPr="006A6424">
        <w:rPr>
          <w:lang w:eastAsia="en-NZ"/>
        </w:rPr>
        <w:t xml:space="preserve"> therefore limit the extent to which growth translates into productivity.</w:t>
      </w:r>
    </w:p>
    <w:p w14:paraId="3C78972D" w14:textId="77777777" w:rsidR="006A6424" w:rsidRPr="006A6424" w:rsidRDefault="006A6424" w:rsidP="003F57E3">
      <w:pPr>
        <w:pStyle w:val="Heading3"/>
        <w:rPr>
          <w:rFonts w:eastAsia="Times New Roman"/>
          <w:lang w:eastAsia="en-NZ"/>
        </w:rPr>
      </w:pPr>
      <w:r w:rsidRPr="006A6424">
        <w:rPr>
          <w:rFonts w:eastAsia="Times New Roman"/>
          <w:lang w:eastAsia="en-NZ"/>
        </w:rPr>
        <w:t>Land use and housing constraints</w:t>
      </w:r>
    </w:p>
    <w:p w14:paraId="794C73A2"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04FD0956"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(Walley, 2026; Maré &amp; Graham, 2009).</w:t>
      </w:r>
    </w:p>
    <w:p w14:paraId="7A5BE8E7"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(Walley, 2026)</w:t>
      </w:r>
    </w:p>
    <w:p w14:paraId="3302DCC1" w14:textId="77777777" w:rsidR="006A6424" w:rsidRP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0FDBB541"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7AC5299E" w14:textId="77777777" w:rsidR="006A6424" w:rsidRPr="006A6424" w:rsidRDefault="006A6424" w:rsidP="003F57E3">
      <w:pPr>
        <w:pStyle w:val="Heading3"/>
        <w:rPr>
          <w:rFonts w:eastAsia="Times New Roman"/>
          <w:lang w:eastAsia="en-NZ"/>
        </w:rPr>
      </w:pPr>
      <w:r w:rsidRPr="006A6424">
        <w:rPr>
          <w:rFonts w:eastAsia="Times New Roman"/>
          <w:lang w:eastAsia="en-NZ"/>
        </w:rPr>
        <w:lastRenderedPageBreak/>
        <w:t>Infrastructure sequencing failures</w:t>
      </w:r>
    </w:p>
    <w:p w14:paraId="78DA9CA3"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75B81E5C" w14:textId="77777777" w:rsidR="006A6424" w:rsidRPr="006A6424" w:rsidRDefault="006A6424" w:rsidP="003F57E3">
      <w:pPr>
        <w:rPr>
          <w:lang w:eastAsia="en-NZ"/>
        </w:rPr>
      </w:pPr>
      <w:r w:rsidRPr="006A6424">
        <w:rPr>
          <w:lang w:eastAsia="en-NZ"/>
        </w:rPr>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3371A715"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2A23AD9E"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35C849D6"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5FC55C80" w14:textId="77777777" w:rsidR="006A6424" w:rsidRPr="006A6424" w:rsidRDefault="006A6424" w:rsidP="003F57E3">
      <w:pPr>
        <w:pStyle w:val="Heading3"/>
        <w:rPr>
          <w:rFonts w:eastAsia="Times New Roman"/>
          <w:lang w:eastAsia="en-NZ"/>
        </w:rPr>
      </w:pPr>
      <w:r w:rsidRPr="006A6424">
        <w:rPr>
          <w:rFonts w:eastAsia="Times New Roman"/>
          <w:lang w:eastAsia="en-NZ"/>
        </w:rPr>
        <w:t>Transport and connectivity gaps</w:t>
      </w:r>
    </w:p>
    <w:p w14:paraId="317A7876"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426C182A"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47E7E02B" w14:textId="77777777" w:rsidR="006A6424" w:rsidRPr="006A6424"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258FB474" w14:textId="77777777" w:rsidR="006A6424" w:rsidRPr="006A6424" w:rsidRDefault="006A6424" w:rsidP="003F57E3">
      <w:pPr>
        <w:rPr>
          <w:lang w:eastAsia="en-NZ"/>
        </w:rPr>
      </w:pPr>
      <w:r w:rsidRPr="006A6424">
        <w:rPr>
          <w:lang w:eastAsia="en-NZ"/>
        </w:rPr>
        <w:t>This represents a direct constraint on productivity. Where transport systems do not support efficient movement across the city, increases in population do not translate into proportional increases in economic interaction. Instead, growth is absorbed into longer travel times and reduced accessibility, diminishing the returns to urban scale.</w:t>
      </w:r>
    </w:p>
    <w:p w14:paraId="150A9006"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5143ED67"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35F75D3D" w14:textId="77777777" w:rsidR="006A6424" w:rsidRPr="006A6424" w:rsidRDefault="006A6424" w:rsidP="003F57E3">
      <w:pPr>
        <w:pStyle w:val="Heading3"/>
        <w:rPr>
          <w:rFonts w:eastAsia="Times New Roman"/>
          <w:lang w:eastAsia="en-NZ"/>
        </w:rPr>
      </w:pPr>
      <w:r w:rsidRPr="006A6424">
        <w:rPr>
          <w:rFonts w:eastAsia="Times New Roman"/>
          <w:lang w:eastAsia="en-NZ"/>
        </w:rPr>
        <w:lastRenderedPageBreak/>
        <w:t>Labour market depth and accessibility</w:t>
      </w:r>
    </w:p>
    <w:p w14:paraId="6DC0B850"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156BB606" w14:textId="77777777" w:rsidR="006A6424" w:rsidRPr="006A6424" w:rsidRDefault="006A6424" w:rsidP="003F57E3">
      <w:pPr>
        <w:rPr>
          <w:lang w:eastAsia="en-NZ"/>
        </w:rPr>
      </w:pPr>
      <w:r w:rsidRPr="006A6424">
        <w:rPr>
          <w:lang w:eastAsia="en-NZ"/>
        </w:rPr>
        <w:t xml:space="preserve">Auckland's employment is heavily concentrated in and around the city centre and inner suburbs. This is consistent with the international evidence on sectoral concentration in primate cities, and with Auckland's role as New Zealand's primary financial, professional, and commercial hub. The consequence is that from the city centre, </w:t>
      </w:r>
      <w:proofErr w:type="gramStart"/>
      <w:r w:rsidRPr="006A6424">
        <w:rPr>
          <w:lang w:eastAsia="en-NZ"/>
        </w:rPr>
        <w:t>the vast majority of</w:t>
      </w:r>
      <w:proofErr w:type="gramEnd"/>
      <w:r w:rsidRPr="006A6424">
        <w:rPr>
          <w:lang w:eastAsia="en-NZ"/>
        </w:rPr>
        <w:t xml:space="preserve"> Auckland's jobs are accessible within a 45-minute journey. From peripheral suburbs, the same travel time unlocks only a small fraction of the city's total job market. </w:t>
      </w:r>
      <w:r w:rsidRPr="006A6424">
        <w:rPr>
          <w:i/>
          <w:iCs/>
          <w:lang w:eastAsia="en-NZ"/>
        </w:rPr>
        <w:t>(</w:t>
      </w:r>
      <w:r w:rsidRPr="003F57E3">
        <w:rPr>
          <w:i/>
          <w:iCs/>
          <w:highlight w:val="yellow"/>
          <w:lang w:eastAsia="en-NZ"/>
        </w:rPr>
        <w:t>citation needed</w:t>
      </w:r>
      <w:r w:rsidRPr="006A6424">
        <w:rPr>
          <w:i/>
          <w:iCs/>
          <w:lang w:eastAsia="en-NZ"/>
        </w:rPr>
        <w:t>)</w:t>
      </w:r>
    </w:p>
    <w:p w14:paraId="6032B974"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transport accessibility is weakest (Blick &amp; Stewart, 2025; Walley, 2026).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1501769A"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742FB527"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654596BF"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39B507B6" w14:textId="77777777" w:rsidR="006A6424" w:rsidRPr="006A6424" w:rsidRDefault="006A6424" w:rsidP="003F57E3">
      <w:pPr>
        <w:pStyle w:val="Heading3"/>
        <w:rPr>
          <w:rFonts w:eastAsia="Times New Roman"/>
          <w:lang w:eastAsia="en-NZ"/>
        </w:rPr>
      </w:pPr>
      <w:r w:rsidRPr="006A6424">
        <w:rPr>
          <w:rFonts w:eastAsia="Times New Roman"/>
          <w:lang w:eastAsia="en-NZ"/>
        </w:rPr>
        <w:t>Governance fragmentation</w:t>
      </w:r>
    </w:p>
    <w:p w14:paraId="70F5A14A" w14:textId="77777777"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p>
    <w:p w14:paraId="1A397B5D" w14:textId="77777777" w:rsidR="006A6424" w:rsidRPr="006A6424" w:rsidRDefault="006A6424" w:rsidP="003F57E3">
      <w:pPr>
        <w:rPr>
          <w:lang w:eastAsia="en-NZ"/>
        </w:rPr>
      </w:pPr>
      <w:r w:rsidRPr="006A6424">
        <w:rPr>
          <w:lang w:eastAsia="en-NZ"/>
        </w:rPr>
        <w:t xml:space="preserve">As set out in Section 4, key components of the spatial system—land use, infrastructure, transport, and funding—are governed by different actors across central and local government. (Gluckman et al., 2022; OECD, 2015; Ahrend et al., 2015) While mechanisms such as metropolitan governance reforms </w:t>
      </w:r>
      <w:r w:rsidRPr="006A6424">
        <w:rPr>
          <w:lang w:eastAsia="en-NZ"/>
        </w:rPr>
        <w:lastRenderedPageBreak/>
        <w:t>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2A3E4C6B" w14:textId="77777777" w:rsidR="006A6424" w:rsidRPr="006A6424" w:rsidRDefault="006A6424" w:rsidP="003F57E3">
      <w:pPr>
        <w:rPr>
          <w:lang w:eastAsia="en-NZ"/>
        </w:rPr>
      </w:pPr>
      <w:r w:rsidRPr="006A6424">
        <w:rPr>
          <w:lang w:eastAsia="en-NZ"/>
        </w:rPr>
        <w:t>This matters because delivering effective urban outcomes requires these components to operate jointly. Where planning, funding, and delivery are not fully aligned, outcomes are shaped by the interaction of separate decisions rather than a single integrated approach. This can slow responses to growth and limit the system's ability to optimise spatial outcomes.</w:t>
      </w:r>
    </w:p>
    <w:p w14:paraId="3306701A"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19075703" w14:textId="77777777" w:rsidR="006A6424" w:rsidRP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49A1BF18" w14:textId="77777777" w:rsidR="006A6424" w:rsidRPr="006A6424" w:rsidRDefault="006A6424" w:rsidP="00592D3D">
      <w:pPr>
        <w:pStyle w:val="Heading3"/>
        <w:rPr>
          <w:rFonts w:eastAsia="Times New Roman"/>
          <w:lang w:eastAsia="en-NZ"/>
        </w:rPr>
      </w:pPr>
      <w:r w:rsidRPr="006A6424">
        <w:rPr>
          <w:rFonts w:eastAsia="Times New Roman"/>
          <w:lang w:eastAsia="en-NZ"/>
        </w:rPr>
        <w:t>Capital misallocation</w:t>
      </w:r>
    </w:p>
    <w:p w14:paraId="5D2CCD9D" w14:textId="77777777" w:rsidR="006A6424" w:rsidRPr="006A6424" w:rsidRDefault="006A6424" w:rsidP="006A6424">
      <w:pPr>
        <w:rPr>
          <w:sz w:val="24"/>
          <w:szCs w:val="24"/>
          <w:lang w:eastAsia="en-NZ"/>
        </w:rPr>
      </w:pPr>
      <w:r w:rsidRPr="006A6424">
        <w:rPr>
          <w:sz w:val="24"/>
          <w:szCs w:val="24"/>
          <w:lang w:eastAsia="en-NZ"/>
        </w:rPr>
        <w:t>Capital allocation in New Zealand is shaped by the interaction of population growth and spatial constraints, resulting in a persistent shift toward lower</w:t>
      </w:r>
      <w:r w:rsidRPr="006A6424">
        <w:rPr>
          <w:sz w:val="24"/>
          <w:szCs w:val="24"/>
          <w:lang w:eastAsia="en-NZ"/>
        </w:rPr>
        <w:noBreakHyphen/>
        <w:t>productivity uses.</w:t>
      </w:r>
    </w:p>
    <w:p w14:paraId="1AD8EE55" w14:textId="77777777" w:rsidR="006A6424" w:rsidRPr="006A6424" w:rsidRDefault="006A6424" w:rsidP="006A6424">
      <w:pPr>
        <w:rPr>
          <w:sz w:val="24"/>
          <w:szCs w:val="24"/>
          <w:lang w:eastAsia="en-NZ"/>
        </w:rPr>
      </w:pPr>
      <w:r w:rsidRPr="006A6424">
        <w:rPr>
          <w:sz w:val="24"/>
          <w:szCs w:val="24"/>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0F3BF4BF" w14:textId="77777777" w:rsidR="006A6424" w:rsidRPr="006A6424" w:rsidRDefault="006A6424" w:rsidP="006A6424">
      <w:pPr>
        <w:rPr>
          <w:sz w:val="24"/>
          <w:szCs w:val="24"/>
          <w:lang w:eastAsia="en-NZ"/>
        </w:rPr>
      </w:pPr>
      <w:r w:rsidRPr="006A6424">
        <w:rPr>
          <w:sz w:val="24"/>
          <w:szCs w:val="24"/>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0A28E9E7" w14:textId="77777777" w:rsidR="006A6424" w:rsidRPr="006A6424" w:rsidRDefault="006A6424" w:rsidP="006A6424">
      <w:pPr>
        <w:rPr>
          <w:sz w:val="24"/>
          <w:szCs w:val="24"/>
          <w:lang w:eastAsia="en-NZ"/>
        </w:rPr>
      </w:pPr>
      <w:r w:rsidRPr="006A6424">
        <w:rPr>
          <w:sz w:val="24"/>
          <w:szCs w:val="24"/>
          <w:lang w:eastAsia="en-NZ"/>
        </w:rPr>
        <w:t>The mechanism is spatial. When access to high</w:t>
      </w:r>
      <w:r w:rsidRPr="006A6424">
        <w:rPr>
          <w:sz w:val="24"/>
          <w:szCs w:val="24"/>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5EA20454" w14:textId="77777777" w:rsidR="006A6424" w:rsidRPr="006A6424" w:rsidRDefault="006A6424" w:rsidP="006A6424">
      <w:pPr>
        <w:rPr>
          <w:sz w:val="24"/>
          <w:szCs w:val="24"/>
          <w:lang w:eastAsia="en-NZ"/>
        </w:rPr>
      </w:pPr>
      <w:r w:rsidRPr="006A6424">
        <w:rPr>
          <w:sz w:val="24"/>
          <w:szCs w:val="24"/>
          <w:lang w:eastAsia="en-NZ"/>
        </w:rPr>
        <w:t xml:space="preserve">The result is not a simple shortage of capital, but a misallocation. Investment remains substantial in aggregate </w:t>
      </w:r>
      <w:proofErr w:type="gramStart"/>
      <w:r w:rsidRPr="006A6424">
        <w:rPr>
          <w:sz w:val="24"/>
          <w:szCs w:val="24"/>
          <w:lang w:eastAsia="en-NZ"/>
        </w:rPr>
        <w:t>terms, but</w:t>
      </w:r>
      <w:proofErr w:type="gramEnd"/>
      <w:r w:rsidRPr="006A6424">
        <w:rPr>
          <w:sz w:val="24"/>
          <w:szCs w:val="24"/>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088CFA50" w14:textId="77777777" w:rsidR="006A6424" w:rsidRPr="006A6424" w:rsidRDefault="006A6424" w:rsidP="006A6424">
      <w:pPr>
        <w:rPr>
          <w:sz w:val="24"/>
          <w:szCs w:val="24"/>
          <w:lang w:eastAsia="en-NZ"/>
        </w:rPr>
      </w:pPr>
      <w:r w:rsidRPr="006A6424">
        <w:rPr>
          <w:sz w:val="24"/>
          <w:szCs w:val="24"/>
          <w:lang w:eastAsia="en-NZ"/>
        </w:rPr>
        <w:t>In effect, the spatial constraints identified earlier do not just affect where activity occurs—they shape how the economy invests, diverting capital toward lower</w:t>
      </w:r>
      <w:r w:rsidRPr="006A6424">
        <w:rPr>
          <w:sz w:val="24"/>
          <w:szCs w:val="24"/>
          <w:lang w:eastAsia="en-NZ"/>
        </w:rPr>
        <w:noBreakHyphen/>
        <w:t>productivity uses and reinforcing the broader pattern of underperformance.</w:t>
      </w:r>
    </w:p>
    <w:p w14:paraId="05C9D353" w14:textId="77777777" w:rsidR="006A6424" w:rsidRPr="006A6424" w:rsidRDefault="006A6424" w:rsidP="00920D09">
      <w:pPr>
        <w:pStyle w:val="Heading3"/>
        <w:rPr>
          <w:rFonts w:eastAsia="Times New Roman"/>
          <w:lang w:eastAsia="en-NZ"/>
        </w:rPr>
      </w:pPr>
      <w:r w:rsidRPr="006A6424">
        <w:rPr>
          <w:rFonts w:eastAsia="Times New Roman"/>
          <w:lang w:eastAsia="en-NZ"/>
        </w:rPr>
        <w:t>Weak secondary city system</w:t>
      </w:r>
    </w:p>
    <w:p w14:paraId="2ABCC037"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2626C623"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388C037C"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7A464C7F" w14:textId="6DE06EAE"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75F1974C" w14:textId="77777777" w:rsidR="006A6424" w:rsidRPr="006A6424" w:rsidRDefault="006A6424" w:rsidP="003F57E3">
      <w:pPr>
        <w:pStyle w:val="Heading3"/>
        <w:rPr>
          <w:rFonts w:eastAsia="Times New Roman"/>
          <w:lang w:eastAsia="en-NZ"/>
        </w:rPr>
      </w:pPr>
      <w:r w:rsidRPr="006A6424">
        <w:rPr>
          <w:rFonts w:eastAsia="Times New Roman"/>
          <w:lang w:eastAsia="en-NZ"/>
        </w:rPr>
        <w:t>Diverging regional dynamics</w:t>
      </w:r>
    </w:p>
    <w:p w14:paraId="504645DB"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32F2B727"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14EAB67" w14:textId="77777777" w:rsidR="006A6424" w:rsidRPr="006A6424" w:rsidRDefault="006A6424" w:rsidP="00920D09">
      <w:pPr>
        <w:rPr>
          <w:lang w:eastAsia="en-NZ"/>
        </w:rPr>
      </w:pPr>
      <w:r w:rsidRPr="006A6424">
        <w:rPr>
          <w:lang w:eastAsia="en-NZ"/>
        </w:rPr>
        <w:t xml:space="preserve">This reinforces the central argument of the paper: improving national productivity does not require redistributing </w:t>
      </w:r>
      <w:proofErr w:type="gramStart"/>
      <w:r w:rsidRPr="006A6424">
        <w:rPr>
          <w:lang w:eastAsia="en-NZ"/>
        </w:rPr>
        <w:t>growth, but</w:t>
      </w:r>
      <w:proofErr w:type="gramEnd"/>
      <w:r w:rsidRPr="006A6424">
        <w:rPr>
          <w:lang w:eastAsia="en-NZ"/>
        </w:rPr>
        <w:t xml:space="preserve"> improving the performance of the metropolitan system through which that growth is delivered.</w:t>
      </w:r>
    </w:p>
    <w:p w14:paraId="2377124D" w14:textId="77777777" w:rsidR="00920D09" w:rsidRDefault="00920D09">
      <w:pPr>
        <w:spacing w:after="0"/>
        <w:rPr>
          <w:lang w:eastAsia="en-NZ"/>
        </w:rPr>
      </w:pPr>
      <w:r>
        <w:rPr>
          <w:lang w:eastAsia="en-NZ"/>
        </w:rPr>
        <w:br w:type="page"/>
      </w:r>
    </w:p>
    <w:p w14:paraId="236B82D7" w14:textId="67FC25B7" w:rsidR="006A6424" w:rsidRPr="006A6424" w:rsidRDefault="006A6424" w:rsidP="003F57E3">
      <w:pPr>
        <w:pStyle w:val="Heading2"/>
        <w:rPr>
          <w:rFonts w:eastAsia="Times New Roman"/>
          <w:lang w:eastAsia="en-NZ"/>
        </w:rPr>
      </w:pPr>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p>
    <w:p w14:paraId="3B4FAB20" w14:textId="7EC14630" w:rsidR="004C2E47" w:rsidRDefault="004C2E47" w:rsidP="004C2E47">
      <w:r>
        <w:t>SECTION IN DRAFT DO NOT TOUCH</w:t>
      </w:r>
    </w:p>
    <w:p w14:paraId="4A6D93D1" w14:textId="27F9F599" w:rsidR="004C2E47" w:rsidRDefault="004C2E47" w:rsidP="004C2E47">
      <w:r>
        <w:t xml:space="preserve">This paper is ostensibly to do with spatial policy and its implications for economic </w:t>
      </w:r>
      <w:proofErr w:type="gramStart"/>
      <w:r>
        <w:t>growth, but</w:t>
      </w:r>
      <w:proofErr w:type="gramEnd"/>
      <w:r>
        <w:t xml:space="preserve"> has concentrated most of its runtime on city policy, and particularly policies related to Auckland. </w:t>
      </w:r>
    </w:p>
    <w:p w14:paraId="68CC9B74" w14:textId="77777777" w:rsidR="004C2E47" w:rsidRPr="00473A60" w:rsidRDefault="004C2E47" w:rsidP="004C2E47">
      <w:r w:rsidRPr="00473A60">
        <w:t xml:space="preserve">The relative importance of cities and regions has been a recurring theme in New Zealand’s political history since the nineteenth century. Debates over the abolition of the provinces in 1876, the long-standing political influence of rural interests through mechanisms such as the country quota, post-war efforts to spread economic opportunity and public services across the country, and more recent arguments over regional development funding and metropolitan growth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As a result, spatial policy has often oscillated between supporting the growth of major centres and seeking to sustain opportunity across the wider regions. </w:t>
      </w:r>
    </w:p>
    <w:p w14:paraId="6E873949" w14:textId="3078A14A" w:rsidR="006A6424" w:rsidRPr="006A6424" w:rsidRDefault="006A6424" w:rsidP="004C2E47">
      <w:pPr>
        <w:rPr>
          <w:lang w:eastAsia="en-NZ"/>
        </w:rPr>
      </w:pPr>
      <w:r w:rsidRPr="006A6424">
        <w:rPr>
          <w:lang w:eastAsia="en-NZ"/>
        </w:rPr>
        <w:t xml:space="preserve">New Zealand's policy debate </w:t>
      </w:r>
      <w:r w:rsidR="004C2E47">
        <w:rPr>
          <w:lang w:eastAsia="en-NZ"/>
        </w:rPr>
        <w:t xml:space="preserve">therefore </w:t>
      </w:r>
      <w:r w:rsidRPr="006A6424">
        <w:rPr>
          <w:lang w:eastAsia="en-NZ"/>
        </w:rPr>
        <w:t>often frames spatial choices as a trade-off between Auckland and the rest of the country. This framing is misleading. Auckland is not a marginal region; it accounts for a substantial share of population and economic activity — 37.9% of national GDP and 35.5% of the workforce, against a 33% population share — and therefore a large share of national outcomes (Gluckman et al., 2022).</w:t>
      </w:r>
    </w:p>
    <w:p w14:paraId="54AD94CA" w14:textId="77777777" w:rsidR="006A6424" w:rsidRPr="006A6424" w:rsidRDefault="006A6424" w:rsidP="004C2E47">
      <w:pPr>
        <w:rPr>
          <w:lang w:eastAsia="en-NZ"/>
        </w:rPr>
      </w:pPr>
      <w:r w:rsidRPr="006A6424">
        <w:rPr>
          <w:lang w:eastAsia="en-NZ"/>
        </w:rPr>
        <w:t>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w:t>
      </w:r>
    </w:p>
    <w:p w14:paraId="2231D92F" w14:textId="77777777" w:rsidR="006A6424" w:rsidRPr="006A6424" w:rsidRDefault="006A6424" w:rsidP="004C2E47">
      <w:pPr>
        <w:rPr>
          <w:lang w:eastAsia="en-NZ"/>
        </w:rPr>
      </w:pPr>
      <w:r w:rsidRPr="006A6424">
        <w:rPr>
          <w:lang w:eastAsia="en-NZ"/>
        </w:rPr>
        <w:t>More broadly, different types of places require different policy approaches. Metropolitan areas generate national productivity benefits through mechanisms such as agglomeration, matching, and knowledge spillovers, while smaller centres and regions play complementary roles. A mature spatial policy recognises this differentiation rather than treating place-based policy as a zero-sum contest.</w:t>
      </w:r>
    </w:p>
    <w:p w14:paraId="6D65A4B5" w14:textId="77777777" w:rsidR="006A6424" w:rsidRPr="006A6424" w:rsidRDefault="006A6424" w:rsidP="004C2E47">
      <w:pPr>
        <w:rPr>
          <w:lang w:eastAsia="en-NZ"/>
        </w:rPr>
      </w:pPr>
      <w:r w:rsidRPr="006A6424">
        <w:rPr>
          <w:lang w:eastAsia="en-NZ"/>
        </w:rPr>
        <w:t>If Auckland is not generating net national productivity benefits commensurate with its scale, the case for its size weakens. Conversely, improving metropolitan performance is likely to have disproportionately large national benefits. The challenge is therefore not to choose between places, but to ensure each part of the spatial system is functioning as effectively as possible.</w:t>
      </w:r>
    </w:p>
    <w:p w14:paraId="4F62D022" w14:textId="77777777" w:rsidR="003F57E3" w:rsidRDefault="003F57E3" w:rsidP="004C2E47">
      <w:pPr>
        <w:rPr>
          <w:lang w:eastAsia="en-NZ"/>
        </w:rPr>
      </w:pPr>
      <w:r>
        <w:rPr>
          <w:lang w:eastAsia="en-NZ"/>
        </w:rPr>
        <w:br w:type="page"/>
      </w:r>
    </w:p>
    <w:p w14:paraId="6F6C9C47" w14:textId="5DC0FACF" w:rsidR="006A6424" w:rsidRPr="006A6424" w:rsidRDefault="006A6424" w:rsidP="003F57E3">
      <w:pPr>
        <w:pStyle w:val="Heading2"/>
        <w:rPr>
          <w:rFonts w:eastAsia="Times New Roman"/>
          <w:lang w:eastAsia="en-NZ"/>
        </w:rPr>
      </w:pPr>
      <w:r w:rsidRPr="006A6424">
        <w:rPr>
          <w:rFonts w:eastAsia="Times New Roman"/>
          <w:lang w:eastAsia="en-NZ"/>
        </w:rPr>
        <w:lastRenderedPageBreak/>
        <w:t>7. Implications for Government Policy</w:t>
      </w:r>
    </w:p>
    <w:p w14:paraId="2C79C472" w14:textId="1F30A36B" w:rsidR="004C2E47" w:rsidRDefault="004C2E47" w:rsidP="006A6424">
      <w:pPr>
        <w:rPr>
          <w:sz w:val="24"/>
          <w:szCs w:val="24"/>
          <w:lang w:eastAsia="en-NZ"/>
        </w:rPr>
      </w:pPr>
      <w:r>
        <w:rPr>
          <w:sz w:val="24"/>
          <w:szCs w:val="24"/>
          <w:lang w:eastAsia="en-NZ"/>
        </w:rPr>
        <w:t>SECTION IN DRAFT DO NOT TOUCH</w:t>
      </w:r>
    </w:p>
    <w:p w14:paraId="34B4389E" w14:textId="5AE208D5" w:rsidR="006A6424" w:rsidRPr="006A6424" w:rsidRDefault="006A6424" w:rsidP="006A6424">
      <w:pPr>
        <w:rPr>
          <w:sz w:val="24"/>
          <w:szCs w:val="24"/>
          <w:lang w:eastAsia="en-NZ"/>
        </w:rPr>
      </w:pPr>
      <w:r w:rsidRPr="006A6424">
        <w:rPr>
          <w:sz w:val="24"/>
          <w:szCs w:val="24"/>
          <w:lang w:eastAsia="en-NZ"/>
        </w:rPr>
        <w:t>Spatial incidence of national policy</w:t>
      </w:r>
    </w:p>
    <w:p w14:paraId="00ECE3BD" w14:textId="77777777" w:rsidR="006A6424" w:rsidRPr="006A6424" w:rsidRDefault="006A6424" w:rsidP="006A6424">
      <w:pPr>
        <w:rPr>
          <w:sz w:val="24"/>
          <w:szCs w:val="24"/>
          <w:lang w:eastAsia="en-NZ"/>
        </w:rPr>
      </w:pPr>
      <w:r w:rsidRPr="006A6424">
        <w:rPr>
          <w:sz w:val="24"/>
          <w:szCs w:val="24"/>
          <w:lang w:eastAsia="en-NZ"/>
        </w:rPr>
        <w:t>Growth does not pay for itself locally</w:t>
      </w:r>
    </w:p>
    <w:p w14:paraId="1AE97113" w14:textId="77777777" w:rsidR="006A6424" w:rsidRPr="006A6424" w:rsidRDefault="006A6424" w:rsidP="006A6424">
      <w:pPr>
        <w:rPr>
          <w:sz w:val="24"/>
          <w:szCs w:val="24"/>
          <w:lang w:eastAsia="en-NZ"/>
        </w:rPr>
      </w:pPr>
      <w:r w:rsidRPr="006A6424">
        <w:rPr>
          <w:sz w:val="24"/>
          <w:szCs w:val="24"/>
          <w:lang w:eastAsia="en-NZ"/>
        </w:rPr>
        <w:t>Fiscal and delivery constraints</w:t>
      </w:r>
    </w:p>
    <w:p w14:paraId="08A3AE37" w14:textId="77777777" w:rsidR="006A6424" w:rsidRPr="006A6424" w:rsidRDefault="006A6424" w:rsidP="006A6424">
      <w:pPr>
        <w:rPr>
          <w:sz w:val="24"/>
          <w:szCs w:val="24"/>
          <w:lang w:eastAsia="en-NZ"/>
        </w:rPr>
      </w:pPr>
      <w:r w:rsidRPr="006A6424">
        <w:rPr>
          <w:sz w:val="24"/>
          <w:szCs w:val="24"/>
          <w:lang w:eastAsia="en-NZ"/>
        </w:rPr>
        <w:t>Spatial policy as growth allocation</w:t>
      </w:r>
    </w:p>
    <w:p w14:paraId="0A5F1776" w14:textId="77777777" w:rsidR="006A6424" w:rsidRPr="006A6424" w:rsidRDefault="006A6424" w:rsidP="006A6424">
      <w:pPr>
        <w:rPr>
          <w:sz w:val="24"/>
          <w:szCs w:val="24"/>
          <w:lang w:eastAsia="en-NZ"/>
        </w:rPr>
      </w:pPr>
      <w:r w:rsidRPr="006A6424">
        <w:rPr>
          <w:sz w:val="24"/>
          <w:szCs w:val="24"/>
          <w:lang w:eastAsia="en-NZ"/>
        </w:rPr>
        <w:t>Many of the factors widely recognised as constraining New Zealand's productivity—including weak frontier firm performance, slow technology diffusion, poor skill matching, and inefficient capital allocation—have well-established spatial dimensions. Population growth strengthens business performance in cities, but this is not matched by equivalent improvements in living conditions, reflecting a divergence between what attracts firms and what sustains households. (Preston et al., 2018)</w:t>
      </w:r>
    </w:p>
    <w:p w14:paraId="7D13D0C9" w14:textId="77777777" w:rsidR="006A6424" w:rsidRPr="006A6424" w:rsidRDefault="006A6424" w:rsidP="006A6424">
      <w:pPr>
        <w:rPr>
          <w:sz w:val="24"/>
          <w:szCs w:val="24"/>
          <w:lang w:eastAsia="en-NZ"/>
        </w:rPr>
      </w:pPr>
      <w:r w:rsidRPr="006A6424">
        <w:rPr>
          <w:sz w:val="24"/>
          <w:szCs w:val="24"/>
          <w:lang w:eastAsia="en-NZ"/>
        </w:rPr>
        <w:t>New Zealand exhibits many of the spatial conditions that are expected to generate these outcomes, including high housing costs in productive areas, constrained transport networks, and fragmented labour markets. Restrictive urban conditions compress real outcomes by simultaneously increasing housing costs and reducing wages, reinforcing the productivity impacts of spatial constraint. (Donovan, 2019)</w:t>
      </w:r>
    </w:p>
    <w:p w14:paraId="7C3D9914" w14:textId="77777777" w:rsidR="006A6424" w:rsidRPr="006A6424" w:rsidRDefault="006A6424" w:rsidP="006A6424">
      <w:pPr>
        <w:rPr>
          <w:sz w:val="24"/>
          <w:szCs w:val="24"/>
          <w:lang w:eastAsia="en-NZ"/>
        </w:rPr>
      </w:pPr>
      <w:r w:rsidRPr="006A6424">
        <w:rPr>
          <w:sz w:val="24"/>
          <w:szCs w:val="24"/>
          <w:lang w:eastAsia="en-NZ"/>
        </w:rPr>
        <w:t>While isolating the precise causal contribution of spatial factors is challenging,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w:t>
      </w:r>
    </w:p>
    <w:p w14:paraId="622685A1" w14:textId="77777777" w:rsidR="006A6424" w:rsidRPr="006A6424" w:rsidRDefault="006A6424" w:rsidP="006A6424">
      <w:pPr>
        <w:rPr>
          <w:sz w:val="24"/>
          <w:szCs w:val="24"/>
          <w:lang w:eastAsia="en-NZ"/>
        </w:rPr>
      </w:pPr>
      <w:r w:rsidRPr="006A6424">
        <w:rPr>
          <w:sz w:val="24"/>
          <w:szCs w:val="24"/>
          <w:lang w:eastAsia="en-NZ"/>
        </w:rPr>
        <w:t>In this context, spatial policy should be understood as central to improving national productivity outcomes. It is not necessary to fully resolve causal attribution before acting; the weight of evidence and the consistency of observed patterns justify a more deliberate and explicit approach to spatial policy. Policy levers with demonstrated effect include congestion pricing — Auckland modelling suggests time-of-use road charging could cut excess congestion delay by around 35% while reducing required capital investment by around 20% (Te Waihanga, 2026) — and productivity-focused support for non-tradeable, locally-serving businesses, which tends to produce more widely distributed regional benefits than sector- or place-specific interventions targeted at individual industries or regions (Coleman et al., 2019).</w:t>
      </w:r>
    </w:p>
    <w:p w14:paraId="7AE16AF2" w14:textId="77777777" w:rsidR="006A6424" w:rsidRPr="006A6424" w:rsidRDefault="006A6424" w:rsidP="004C2E47">
      <w:pPr>
        <w:pStyle w:val="Heading2"/>
        <w:rPr>
          <w:rFonts w:eastAsia="Times New Roman"/>
          <w:lang w:eastAsia="en-NZ"/>
        </w:rPr>
      </w:pPr>
      <w:r w:rsidRPr="006A6424">
        <w:rPr>
          <w:rFonts w:eastAsia="Times New Roman"/>
          <w:lang w:eastAsia="en-NZ"/>
        </w:rPr>
        <w:t>8. Role of MBIE</w:t>
      </w:r>
    </w:p>
    <w:p w14:paraId="34D0B09D" w14:textId="77777777" w:rsidR="006A6424" w:rsidRPr="006A6424" w:rsidRDefault="006A6424" w:rsidP="006A6424">
      <w:pPr>
        <w:rPr>
          <w:sz w:val="24"/>
          <w:szCs w:val="24"/>
          <w:lang w:eastAsia="en-NZ"/>
        </w:rPr>
      </w:pPr>
      <w:r w:rsidRPr="006A6424">
        <w:rPr>
          <w:sz w:val="24"/>
          <w:szCs w:val="24"/>
          <w:lang w:eastAsia="en-NZ"/>
        </w:rPr>
        <w:t>Economic analysis role</w:t>
      </w:r>
    </w:p>
    <w:p w14:paraId="451443B0" w14:textId="77777777" w:rsidR="006A6424" w:rsidRPr="006A6424" w:rsidRDefault="006A6424" w:rsidP="006A6424">
      <w:pPr>
        <w:rPr>
          <w:sz w:val="24"/>
          <w:szCs w:val="24"/>
          <w:lang w:eastAsia="en-NZ"/>
        </w:rPr>
      </w:pPr>
      <w:r w:rsidRPr="006A6424">
        <w:rPr>
          <w:sz w:val="24"/>
          <w:szCs w:val="24"/>
          <w:lang w:eastAsia="en-NZ"/>
        </w:rPr>
        <w:t>Investment and capital settings</w:t>
      </w:r>
    </w:p>
    <w:p w14:paraId="357589CF" w14:textId="77777777" w:rsidR="006A6424" w:rsidRPr="006A6424" w:rsidRDefault="006A6424" w:rsidP="006A6424">
      <w:pPr>
        <w:rPr>
          <w:sz w:val="24"/>
          <w:szCs w:val="24"/>
          <w:lang w:eastAsia="en-NZ"/>
        </w:rPr>
      </w:pPr>
      <w:r w:rsidRPr="006A6424">
        <w:rPr>
          <w:sz w:val="24"/>
          <w:szCs w:val="24"/>
          <w:lang w:eastAsia="en-NZ"/>
        </w:rPr>
        <w:t>Cross-system coordination</w:t>
      </w:r>
    </w:p>
    <w:p w14:paraId="79349FFD" w14:textId="77777777" w:rsidR="006A6424" w:rsidRPr="006A6424" w:rsidRDefault="006A6424" w:rsidP="004C2E47">
      <w:pPr>
        <w:pStyle w:val="Heading2"/>
        <w:rPr>
          <w:rFonts w:eastAsia="Times New Roman"/>
          <w:lang w:eastAsia="en-NZ"/>
        </w:rPr>
      </w:pPr>
      <w:r w:rsidRPr="006A6424">
        <w:rPr>
          <w:rFonts w:eastAsia="Times New Roman"/>
          <w:lang w:eastAsia="en-NZ"/>
        </w:rPr>
        <w:lastRenderedPageBreak/>
        <w:t>9. Priority Actions (MBIE 'Do')</w:t>
      </w:r>
    </w:p>
    <w:p w14:paraId="72EAAC49" w14:textId="77777777" w:rsidR="006A6424" w:rsidRPr="006A6424" w:rsidRDefault="006A6424" w:rsidP="006A6424">
      <w:pPr>
        <w:rPr>
          <w:sz w:val="24"/>
          <w:szCs w:val="24"/>
          <w:lang w:eastAsia="en-NZ"/>
        </w:rPr>
      </w:pPr>
      <w:r w:rsidRPr="006A6424">
        <w:rPr>
          <w:sz w:val="24"/>
          <w:szCs w:val="24"/>
          <w:lang w:eastAsia="en-NZ"/>
        </w:rPr>
        <w:t>3–5 specific actions, tied to system failures and MBIE levers.</w:t>
      </w:r>
    </w:p>
    <w:p w14:paraId="2FE064A2" w14:textId="77777777" w:rsidR="006A6424" w:rsidRPr="006A6424" w:rsidRDefault="006A6424" w:rsidP="006A6424">
      <w:pPr>
        <w:rPr>
          <w:lang w:eastAsia="en-NZ"/>
        </w:rPr>
      </w:pPr>
      <w:r w:rsidRPr="006A6424">
        <w:rPr>
          <w:lang w:eastAsia="en-NZ"/>
        </w:rPr>
        <w:t>10. Conclusion</w:t>
      </w:r>
    </w:p>
    <w:p w14:paraId="4E8154EC" w14:textId="77777777" w:rsidR="006A6424" w:rsidRPr="006A6424" w:rsidRDefault="006A6424" w:rsidP="006A6424">
      <w:pPr>
        <w:rPr>
          <w:sz w:val="24"/>
          <w:szCs w:val="24"/>
          <w:lang w:eastAsia="en-NZ"/>
        </w:rPr>
      </w:pPr>
      <w:r w:rsidRPr="006A6424">
        <w:rPr>
          <w:sz w:val="24"/>
          <w:szCs w:val="24"/>
          <w:lang w:eastAsia="en-NZ"/>
        </w:rPr>
        <w:t>Spatial policy is a core determinant of productivity; metro performance is nationally binding.</w:t>
      </w:r>
    </w:p>
    <w:p w14:paraId="52A3B2CE" w14:textId="77777777" w:rsidR="006A6424" w:rsidRPr="006A6424" w:rsidRDefault="006A6424" w:rsidP="006A6424">
      <w:pPr>
        <w:rPr>
          <w:sz w:val="24"/>
          <w:szCs w:val="24"/>
          <w:lang w:eastAsia="en-NZ"/>
        </w:rPr>
      </w:pPr>
      <w:r w:rsidRPr="006A6424">
        <w:rPr>
          <w:rFonts w:ascii="Times New Roman" w:hAnsi="Times New Roman" w:cs="Times New Roman"/>
          <w:sz w:val="24"/>
          <w:szCs w:val="24"/>
          <w:lang w:eastAsia="en-NZ"/>
        </w:rPr>
        <w:pict w14:anchorId="12DC17C1">
          <v:rect id="_x0000_i1037" style="width:0;height:3pt" o:hralign="center" o:hrstd="t" o:hr="t" fillcolor="#a0a0a0" stroked="f"/>
        </w:pict>
      </w:r>
    </w:p>
    <w:p w14:paraId="6D0F7734" w14:textId="77777777" w:rsidR="006A6424" w:rsidRPr="006A6424" w:rsidRDefault="006A6424" w:rsidP="006A6424">
      <w:pPr>
        <w:rPr>
          <w:lang w:eastAsia="en-NZ"/>
        </w:rPr>
      </w:pPr>
      <w:r w:rsidRPr="006A6424">
        <w:rPr>
          <w:lang w:eastAsia="en-NZ"/>
        </w:rPr>
        <w:t>Bibliography</w:t>
      </w:r>
    </w:p>
    <w:p w14:paraId="055CF517" w14:textId="77777777" w:rsidR="006A6424" w:rsidRPr="006A6424" w:rsidRDefault="006A6424" w:rsidP="006A6424">
      <w:pPr>
        <w:rPr>
          <w:sz w:val="24"/>
          <w:szCs w:val="24"/>
          <w:lang w:eastAsia="en-NZ"/>
        </w:rPr>
      </w:pPr>
      <w:r w:rsidRPr="006A6424">
        <w:rPr>
          <w:sz w:val="24"/>
          <w:szCs w:val="24"/>
          <w:lang w:eastAsia="en-NZ"/>
        </w:rPr>
        <w:t>Ahlfeldt, G.M. and Pietrostefani, E. (2019). The economic effects of density: A synthesis. </w:t>
      </w:r>
      <w:r w:rsidRPr="006A6424">
        <w:rPr>
          <w:i/>
          <w:iCs/>
          <w:sz w:val="24"/>
          <w:szCs w:val="24"/>
          <w:lang w:eastAsia="en-NZ"/>
        </w:rPr>
        <w:t>Journal of Urban Economics</w:t>
      </w:r>
      <w:r w:rsidRPr="006A6424">
        <w:rPr>
          <w:sz w:val="24"/>
          <w:szCs w:val="24"/>
          <w:lang w:eastAsia="en-NZ"/>
        </w:rPr>
        <w:t>, 111, 93–107.</w:t>
      </w:r>
    </w:p>
    <w:p w14:paraId="5A3315BF" w14:textId="77777777" w:rsidR="006A6424" w:rsidRPr="006A6424" w:rsidRDefault="006A6424" w:rsidP="006A6424">
      <w:pPr>
        <w:rPr>
          <w:sz w:val="24"/>
          <w:szCs w:val="24"/>
          <w:lang w:eastAsia="en-NZ"/>
        </w:rPr>
      </w:pPr>
      <w:r w:rsidRPr="006A6424">
        <w:rPr>
          <w:sz w:val="24"/>
          <w:szCs w:val="24"/>
          <w:lang w:eastAsia="en-NZ"/>
        </w:rPr>
        <w:t xml:space="preserve">Ahrend, R., </w:t>
      </w:r>
      <w:proofErr w:type="spellStart"/>
      <w:r w:rsidRPr="006A6424">
        <w:rPr>
          <w:sz w:val="24"/>
          <w:szCs w:val="24"/>
          <w:lang w:eastAsia="en-NZ"/>
        </w:rPr>
        <w:t>Farchy</w:t>
      </w:r>
      <w:proofErr w:type="spellEnd"/>
      <w:r w:rsidRPr="006A6424">
        <w:rPr>
          <w:sz w:val="24"/>
          <w:szCs w:val="24"/>
          <w:lang w:eastAsia="en-NZ"/>
        </w:rPr>
        <w:t>, E., Kaplanis, I. and Lembcke, A.C. (2015). </w:t>
      </w:r>
      <w:r w:rsidRPr="006A6424">
        <w:rPr>
          <w:i/>
          <w:iCs/>
          <w:sz w:val="24"/>
          <w:szCs w:val="24"/>
          <w:lang w:eastAsia="en-NZ"/>
        </w:rPr>
        <w:t>What Makes Cities More Productive? Agglomeration Economies and the Role of Urban Governance: Evidence from 5 OECD Countries</w:t>
      </w:r>
      <w:r w:rsidRPr="006A6424">
        <w:rPr>
          <w:sz w:val="24"/>
          <w:szCs w:val="24"/>
          <w:lang w:eastAsia="en-NZ"/>
        </w:rPr>
        <w:t>. SERC Discussion Paper 178. London: LSE Spatial Economics Research Centre.</w:t>
      </w:r>
    </w:p>
    <w:p w14:paraId="74D62889" w14:textId="77777777" w:rsidR="006A6424" w:rsidRPr="006A6424" w:rsidRDefault="006A6424" w:rsidP="006A6424">
      <w:pPr>
        <w:rPr>
          <w:sz w:val="24"/>
          <w:szCs w:val="24"/>
          <w:lang w:eastAsia="en-NZ"/>
        </w:rPr>
      </w:pPr>
      <w:r w:rsidRPr="006A6424">
        <w:rPr>
          <w:sz w:val="24"/>
          <w:szCs w:val="24"/>
          <w:lang w:eastAsia="en-NZ"/>
        </w:rPr>
        <w:t>Audretsch, D.B. and Feldman, M.P. (2004). Knowledge spillovers and the geography of innovation. In Henderson, J.V. and Thisse, J.-F. (eds.), </w:t>
      </w:r>
      <w:r w:rsidRPr="006A6424">
        <w:rPr>
          <w:i/>
          <w:iCs/>
          <w:sz w:val="24"/>
          <w:szCs w:val="24"/>
          <w:lang w:eastAsia="en-NZ"/>
        </w:rPr>
        <w:t>Handbook of Regional and Urban Economics</w:t>
      </w:r>
      <w:r w:rsidRPr="006A6424">
        <w:rPr>
          <w:sz w:val="24"/>
          <w:szCs w:val="24"/>
          <w:lang w:eastAsia="en-NZ"/>
        </w:rPr>
        <w:t>, vol. 4, pp. 2713–2739. Amsterdam: Elsevier.</w:t>
      </w:r>
    </w:p>
    <w:p w14:paraId="56DDFC0A" w14:textId="77777777" w:rsidR="006A6424" w:rsidRPr="006A6424" w:rsidRDefault="006A6424" w:rsidP="006A6424">
      <w:pPr>
        <w:rPr>
          <w:sz w:val="24"/>
          <w:szCs w:val="24"/>
          <w:lang w:eastAsia="en-NZ"/>
        </w:rPr>
      </w:pPr>
      <w:r w:rsidRPr="006A6424">
        <w:rPr>
          <w:sz w:val="24"/>
          <w:szCs w:val="24"/>
          <w:lang w:eastAsia="en-NZ"/>
        </w:rPr>
        <w:t>Blick, G. and Stewart, J. (2025). </w:t>
      </w:r>
      <w:r w:rsidRPr="006A6424">
        <w:rPr>
          <w:i/>
          <w:iCs/>
          <w:sz w:val="24"/>
          <w:szCs w:val="24"/>
          <w:lang w:eastAsia="en-NZ"/>
        </w:rPr>
        <w:t>Auckland Economic Quarterly: Boosting Auckland's Productivity — Drivers, Barriers, and Policy Directions for Impact</w:t>
      </w:r>
      <w:r w:rsidRPr="006A6424">
        <w:rPr>
          <w:sz w:val="24"/>
          <w:szCs w:val="24"/>
          <w:lang w:eastAsia="en-NZ"/>
        </w:rPr>
        <w:t>. Q1–Q2 2025. Auckland: Auckland Council Chief Economist Unit.</w:t>
      </w:r>
    </w:p>
    <w:p w14:paraId="1D1AF79B" w14:textId="77777777" w:rsidR="006A6424" w:rsidRPr="006A6424" w:rsidRDefault="006A6424" w:rsidP="006A6424">
      <w:pPr>
        <w:rPr>
          <w:sz w:val="24"/>
          <w:szCs w:val="24"/>
          <w:lang w:eastAsia="en-NZ"/>
        </w:rPr>
      </w:pPr>
      <w:r w:rsidRPr="006A6424">
        <w:rPr>
          <w:sz w:val="24"/>
          <w:szCs w:val="24"/>
          <w:lang w:eastAsia="en-NZ"/>
        </w:rPr>
        <w:t>Coleman, A., Maré, D.C. and Zheng, W. (2019). </w:t>
      </w:r>
      <w:r w:rsidRPr="006A6424">
        <w:rPr>
          <w:i/>
          <w:iCs/>
          <w:sz w:val="24"/>
          <w:szCs w:val="24"/>
          <w:lang w:eastAsia="en-NZ"/>
        </w:rPr>
        <w:t>New jobs, old jobs: the evolution of work in New Zealand's cities and towns</w:t>
      </w:r>
      <w:r w:rsidRPr="006A6424">
        <w:rPr>
          <w:sz w:val="24"/>
          <w:szCs w:val="24"/>
          <w:lang w:eastAsia="en-NZ"/>
        </w:rPr>
        <w:t>. Productivity Commission Working Paper 2019/1. Wellington: New Zealand Productivity Commission.</w:t>
      </w:r>
    </w:p>
    <w:p w14:paraId="2E99C555" w14:textId="77777777" w:rsidR="006A6424" w:rsidRPr="006A6424" w:rsidRDefault="006A6424" w:rsidP="006A6424">
      <w:pPr>
        <w:rPr>
          <w:sz w:val="24"/>
          <w:szCs w:val="24"/>
          <w:lang w:eastAsia="en-NZ"/>
        </w:rPr>
      </w:pPr>
      <w:r w:rsidRPr="006A6424">
        <w:rPr>
          <w:sz w:val="24"/>
          <w:szCs w:val="24"/>
          <w:lang w:eastAsia="en-NZ"/>
        </w:rPr>
        <w:t xml:space="preserve">Collier, P., Jones, P. and </w:t>
      </w:r>
      <w:proofErr w:type="spellStart"/>
      <w:r w:rsidRPr="006A6424">
        <w:rPr>
          <w:sz w:val="24"/>
          <w:szCs w:val="24"/>
          <w:lang w:eastAsia="en-NZ"/>
        </w:rPr>
        <w:t>Spijkerman</w:t>
      </w:r>
      <w:proofErr w:type="spellEnd"/>
      <w:r w:rsidRPr="006A6424">
        <w:rPr>
          <w:sz w:val="24"/>
          <w:szCs w:val="24"/>
          <w:lang w:eastAsia="en-NZ"/>
        </w:rPr>
        <w:t>, D. (2018). </w:t>
      </w:r>
      <w:r w:rsidRPr="006A6424">
        <w:rPr>
          <w:i/>
          <w:iCs/>
          <w:sz w:val="24"/>
          <w:szCs w:val="24"/>
          <w:lang w:eastAsia="en-NZ"/>
        </w:rPr>
        <w:t>Cities as Engines of Growth: Evidence from a New Global Sample of Cities</w:t>
      </w:r>
      <w:r w:rsidRPr="006A6424">
        <w:rPr>
          <w:sz w:val="24"/>
          <w:szCs w:val="24"/>
          <w:lang w:eastAsia="en-NZ"/>
        </w:rPr>
        <w:t>. Working paper, 28 March 2018. University of Oxford / World Bank Global Research Program on Spatial Development of Cities.</w:t>
      </w:r>
    </w:p>
    <w:p w14:paraId="5C34276B" w14:textId="77777777" w:rsidR="006A6424" w:rsidRPr="006A6424" w:rsidRDefault="006A6424" w:rsidP="006A6424">
      <w:pPr>
        <w:rPr>
          <w:sz w:val="24"/>
          <w:szCs w:val="24"/>
          <w:lang w:eastAsia="en-NZ"/>
        </w:rPr>
      </w:pPr>
      <w:r w:rsidRPr="006A6424">
        <w:rPr>
          <w:sz w:val="24"/>
          <w:szCs w:val="24"/>
          <w:lang w:eastAsia="en-NZ"/>
        </w:rPr>
        <w:t>Committee for Auckland, Deloitte and Auckland Council. (2025). </w:t>
      </w:r>
      <w:r w:rsidRPr="006A6424">
        <w:rPr>
          <w:i/>
          <w:iCs/>
          <w:sz w:val="24"/>
          <w:szCs w:val="24"/>
          <w:lang w:eastAsia="en-NZ"/>
        </w:rPr>
        <w:t xml:space="preserve">The State of the City 2025: Benchmarking </w:t>
      </w:r>
      <w:proofErr w:type="spellStart"/>
      <w:r w:rsidRPr="006A6424">
        <w:rPr>
          <w:i/>
          <w:iCs/>
          <w:sz w:val="24"/>
          <w:szCs w:val="24"/>
          <w:lang w:eastAsia="en-NZ"/>
        </w:rPr>
        <w:t>Tāmaki</w:t>
      </w:r>
      <w:proofErr w:type="spellEnd"/>
      <w:r w:rsidRPr="006A6424">
        <w:rPr>
          <w:i/>
          <w:iCs/>
          <w:sz w:val="24"/>
          <w:szCs w:val="24"/>
          <w:lang w:eastAsia="en-NZ"/>
        </w:rPr>
        <w:t xml:space="preserve"> Makaurau Auckland's international performance</w:t>
      </w:r>
      <w:r w:rsidRPr="006A6424">
        <w:rPr>
          <w:sz w:val="24"/>
          <w:szCs w:val="24"/>
          <w:lang w:eastAsia="en-NZ"/>
        </w:rPr>
        <w:t> (3rd ed.). Auckland: Committee for Auckland.</w:t>
      </w:r>
    </w:p>
    <w:p w14:paraId="57D91008" w14:textId="77777777" w:rsidR="006A6424" w:rsidRPr="006A6424" w:rsidRDefault="006A6424" w:rsidP="006A6424">
      <w:pPr>
        <w:rPr>
          <w:sz w:val="24"/>
          <w:szCs w:val="24"/>
          <w:lang w:eastAsia="en-NZ"/>
        </w:rPr>
      </w:pPr>
      <w:r w:rsidRPr="006A6424">
        <w:rPr>
          <w:sz w:val="24"/>
          <w:szCs w:val="24"/>
          <w:lang w:eastAsia="en-NZ"/>
        </w:rPr>
        <w:t>Donovan, S. (2019). </w:t>
      </w:r>
      <w:r w:rsidRPr="006A6424">
        <w:rPr>
          <w:i/>
          <w:iCs/>
          <w:sz w:val="24"/>
          <w:szCs w:val="24"/>
          <w:lang w:eastAsia="en-NZ"/>
        </w:rPr>
        <w:t>Triumph of the high-amenity city?</w:t>
      </w:r>
      <w:r w:rsidRPr="006A6424">
        <w:rPr>
          <w:sz w:val="24"/>
          <w:szCs w:val="24"/>
          <w:lang w:eastAsia="en-NZ"/>
        </w:rPr>
        <w:t> Presentation at Te Pūnaha Matatini, funded by NZ National Science Challenge 11 (Building Better Homes, Towns and Cities), 3 October 2019.</w:t>
      </w:r>
    </w:p>
    <w:p w14:paraId="3D48ECC8" w14:textId="77777777" w:rsidR="006A6424" w:rsidRPr="006A6424" w:rsidRDefault="006A6424" w:rsidP="006A6424">
      <w:pPr>
        <w:rPr>
          <w:sz w:val="24"/>
          <w:szCs w:val="24"/>
          <w:lang w:eastAsia="en-NZ"/>
        </w:rPr>
      </w:pPr>
      <w:r w:rsidRPr="006A6424">
        <w:rPr>
          <w:sz w:val="24"/>
          <w:szCs w:val="24"/>
          <w:lang w:val="fr-FR" w:eastAsia="en-NZ"/>
        </w:rPr>
        <w:t xml:space="preserve">Donovan, S., de </w:t>
      </w:r>
      <w:proofErr w:type="spellStart"/>
      <w:r w:rsidRPr="006A6424">
        <w:rPr>
          <w:sz w:val="24"/>
          <w:szCs w:val="24"/>
          <w:lang w:val="fr-FR" w:eastAsia="en-NZ"/>
        </w:rPr>
        <w:t>Graaff</w:t>
      </w:r>
      <w:proofErr w:type="spellEnd"/>
      <w:r w:rsidRPr="006A6424">
        <w:rPr>
          <w:sz w:val="24"/>
          <w:szCs w:val="24"/>
          <w:lang w:val="fr-FR" w:eastAsia="en-NZ"/>
        </w:rPr>
        <w:t>, T., de Groot, H.L.F. and Koopmans, C.C. (2021). </w:t>
      </w:r>
      <w:r w:rsidRPr="006A6424">
        <w:rPr>
          <w:i/>
          <w:iCs/>
          <w:sz w:val="24"/>
          <w:szCs w:val="24"/>
          <w:lang w:eastAsia="en-NZ"/>
        </w:rPr>
        <w:t>Unravelling urban advantages — A meta-analysis of agglomeration economies</w:t>
      </w:r>
      <w:r w:rsidRPr="006A6424">
        <w:rPr>
          <w:sz w:val="24"/>
          <w:szCs w:val="24"/>
          <w:lang w:eastAsia="en-NZ"/>
        </w:rPr>
        <w:t>. Tinbergen Institute Discussion Paper TI 2021-024/VIII. Amsterdam: Tinbergen Institute.</w:t>
      </w:r>
    </w:p>
    <w:p w14:paraId="31B08162" w14:textId="77777777" w:rsidR="006A6424" w:rsidRPr="006A6424" w:rsidRDefault="006A6424" w:rsidP="006A6424">
      <w:pPr>
        <w:rPr>
          <w:sz w:val="24"/>
          <w:szCs w:val="24"/>
          <w:lang w:eastAsia="en-NZ"/>
        </w:rPr>
      </w:pPr>
      <w:r w:rsidRPr="006A6424">
        <w:rPr>
          <w:sz w:val="24"/>
          <w:szCs w:val="24"/>
          <w:lang w:eastAsia="en-NZ"/>
        </w:rPr>
        <w:t>Donovan, S., de Graaff, T., de Groot, H.L.F., Grimes, A. and Maré, D.C. (2022). Cities with forking paths? Agglomeration economies in New Zealand 1976–2018. </w:t>
      </w:r>
      <w:r w:rsidRPr="006A6424">
        <w:rPr>
          <w:i/>
          <w:iCs/>
          <w:sz w:val="24"/>
          <w:szCs w:val="24"/>
          <w:lang w:eastAsia="en-NZ"/>
        </w:rPr>
        <w:t>Regional Science and Urban Economics</w:t>
      </w:r>
      <w:r w:rsidRPr="006A6424">
        <w:rPr>
          <w:sz w:val="24"/>
          <w:szCs w:val="24"/>
          <w:lang w:eastAsia="en-NZ"/>
        </w:rPr>
        <w:t>, 95, Article 103779.</w:t>
      </w:r>
    </w:p>
    <w:p w14:paraId="5B606670" w14:textId="77777777" w:rsidR="006A6424" w:rsidRPr="006A6424" w:rsidRDefault="006A6424" w:rsidP="006A6424">
      <w:pPr>
        <w:rPr>
          <w:sz w:val="24"/>
          <w:szCs w:val="24"/>
          <w:lang w:eastAsia="en-NZ"/>
        </w:rPr>
      </w:pPr>
      <w:r w:rsidRPr="006A6424">
        <w:rPr>
          <w:sz w:val="24"/>
          <w:szCs w:val="24"/>
          <w:lang w:eastAsia="en-NZ"/>
        </w:rPr>
        <w:lastRenderedPageBreak/>
        <w:t>Gluckman, P., Clyne, M. and Bardsley, A. (2022). </w:t>
      </w:r>
      <w:r w:rsidRPr="006A6424">
        <w:rPr>
          <w:i/>
          <w:iCs/>
          <w:sz w:val="24"/>
          <w:szCs w:val="24"/>
          <w:lang w:eastAsia="en-NZ"/>
        </w:rPr>
        <w:t xml:space="preserve">Reimagining </w:t>
      </w:r>
      <w:proofErr w:type="spellStart"/>
      <w:r w:rsidRPr="006A6424">
        <w:rPr>
          <w:i/>
          <w:iCs/>
          <w:sz w:val="24"/>
          <w:szCs w:val="24"/>
          <w:lang w:eastAsia="en-NZ"/>
        </w:rPr>
        <w:t>Tāmaki</w:t>
      </w:r>
      <w:proofErr w:type="spellEnd"/>
      <w:r w:rsidRPr="006A6424">
        <w:rPr>
          <w:i/>
          <w:iCs/>
          <w:sz w:val="24"/>
          <w:szCs w:val="24"/>
          <w:lang w:eastAsia="en-NZ"/>
        </w:rPr>
        <w:t xml:space="preserve"> Makaurau Auckland: Harnessing the Region's Potential</w:t>
      </w:r>
      <w:r w:rsidRPr="006A6424">
        <w:rPr>
          <w:sz w:val="24"/>
          <w:szCs w:val="24"/>
          <w:lang w:eastAsia="en-NZ"/>
        </w:rPr>
        <w:t>. Auckland: Koi Tū — The Centre for Informed Futures, University of Auckland.</w:t>
      </w:r>
    </w:p>
    <w:p w14:paraId="1C46CEBA" w14:textId="77777777" w:rsidR="006A6424" w:rsidRPr="006A6424" w:rsidRDefault="006A6424" w:rsidP="006A6424">
      <w:pPr>
        <w:rPr>
          <w:sz w:val="24"/>
          <w:szCs w:val="24"/>
          <w:lang w:eastAsia="en-NZ"/>
        </w:rPr>
      </w:pPr>
      <w:r w:rsidRPr="006A6424">
        <w:rPr>
          <w:sz w:val="24"/>
          <w:szCs w:val="24"/>
          <w:lang w:eastAsia="en-NZ"/>
        </w:rPr>
        <w:t>Jaffe, A.B., Trajtenberg, M. and Henderson, R. (1993). Geographic localization of knowledge spillovers as evidenced by patent citations. </w:t>
      </w:r>
      <w:r w:rsidRPr="006A6424">
        <w:rPr>
          <w:i/>
          <w:iCs/>
          <w:sz w:val="24"/>
          <w:szCs w:val="24"/>
          <w:lang w:eastAsia="en-NZ"/>
        </w:rPr>
        <w:t>Quarterly Journal of Economics</w:t>
      </w:r>
      <w:r w:rsidRPr="006A6424">
        <w:rPr>
          <w:sz w:val="24"/>
          <w:szCs w:val="24"/>
          <w:lang w:eastAsia="en-NZ"/>
        </w:rPr>
        <w:t>, 108(3), 577–598.</w:t>
      </w:r>
    </w:p>
    <w:p w14:paraId="63756898" w14:textId="77777777" w:rsidR="006A6424" w:rsidRPr="006A6424" w:rsidRDefault="006A6424" w:rsidP="006A6424">
      <w:pPr>
        <w:rPr>
          <w:sz w:val="24"/>
          <w:szCs w:val="24"/>
          <w:lang w:eastAsia="en-NZ"/>
        </w:rPr>
      </w:pPr>
      <w:r w:rsidRPr="006A6424">
        <w:rPr>
          <w:sz w:val="24"/>
          <w:szCs w:val="24"/>
          <w:lang w:eastAsia="en-NZ"/>
        </w:rPr>
        <w:t>Javed, N., Power, I. and Richardson, A. (2026). </w:t>
      </w:r>
      <w:r w:rsidRPr="006A6424">
        <w:rPr>
          <w:i/>
          <w:iCs/>
          <w:sz w:val="24"/>
          <w:szCs w:val="24"/>
          <w:lang w:eastAsia="en-NZ"/>
        </w:rPr>
        <w:t>Migration and the New Zealand economy: Evidence from sign-restricted SVARs</w:t>
      </w:r>
      <w:r w:rsidRPr="006A6424">
        <w:rPr>
          <w:sz w:val="24"/>
          <w:szCs w:val="24"/>
          <w:lang w:eastAsia="en-NZ"/>
        </w:rPr>
        <w:t>. Reserve Bank of New Zealand Discussion Paper DP2026-04.</w:t>
      </w:r>
    </w:p>
    <w:p w14:paraId="2A3A83CF" w14:textId="77777777" w:rsidR="006A6424" w:rsidRPr="006A6424" w:rsidRDefault="006A6424" w:rsidP="006A6424">
      <w:pPr>
        <w:rPr>
          <w:sz w:val="24"/>
          <w:szCs w:val="24"/>
          <w:lang w:eastAsia="en-NZ"/>
        </w:rPr>
      </w:pPr>
      <w:r w:rsidRPr="006A6424">
        <w:rPr>
          <w:sz w:val="24"/>
          <w:szCs w:val="24"/>
          <w:lang w:eastAsia="en-NZ"/>
        </w:rPr>
        <w:t>Kānoa RD. (2026, February). </w:t>
      </w:r>
      <w:r w:rsidRPr="006A6424">
        <w:rPr>
          <w:i/>
          <w:iCs/>
          <w:sz w:val="24"/>
          <w:szCs w:val="24"/>
          <w:lang w:eastAsia="en-NZ"/>
        </w:rPr>
        <w:t>Changes in population across Aotearoa/New Zealand</w:t>
      </w:r>
      <w:r w:rsidRPr="006A6424">
        <w:rPr>
          <w:sz w:val="24"/>
          <w:szCs w:val="24"/>
          <w:lang w:eastAsia="en-NZ"/>
        </w:rPr>
        <w:t>. Kānoa — Regional Economic Development &amp; Investment Unit, Ministry of Business, Innovation &amp; Employment. Internal presentation.</w:t>
      </w:r>
    </w:p>
    <w:p w14:paraId="21DF67F4" w14:textId="77777777" w:rsidR="006A6424" w:rsidRPr="006A6424" w:rsidRDefault="006A6424" w:rsidP="006A6424">
      <w:pPr>
        <w:rPr>
          <w:sz w:val="24"/>
          <w:szCs w:val="24"/>
          <w:lang w:eastAsia="en-NZ"/>
        </w:rPr>
      </w:pPr>
      <w:r w:rsidRPr="006A6424">
        <w:rPr>
          <w:sz w:val="24"/>
          <w:szCs w:val="24"/>
          <w:lang w:eastAsia="en-NZ"/>
        </w:rPr>
        <w:t xml:space="preserve">Lall, S.V., </w:t>
      </w:r>
      <w:proofErr w:type="spellStart"/>
      <w:r w:rsidRPr="006A6424">
        <w:rPr>
          <w:sz w:val="24"/>
          <w:szCs w:val="24"/>
          <w:lang w:eastAsia="en-NZ"/>
        </w:rPr>
        <w:t>Lebrand</w:t>
      </w:r>
      <w:proofErr w:type="spellEnd"/>
      <w:r w:rsidRPr="006A6424">
        <w:rPr>
          <w:sz w:val="24"/>
          <w:szCs w:val="24"/>
          <w:lang w:eastAsia="en-NZ"/>
        </w:rPr>
        <w:t>, M., Park, H.G., Sturm, D. and Venables, A.J. (2021). </w:t>
      </w:r>
      <w:r w:rsidRPr="006A6424">
        <w:rPr>
          <w:i/>
          <w:iCs/>
          <w:sz w:val="24"/>
          <w:szCs w:val="24"/>
          <w:lang w:eastAsia="en-NZ"/>
        </w:rPr>
        <w:t>Pancakes to Pyramids: City Form to Promote Sustainable Growth</w:t>
      </w:r>
      <w:r w:rsidRPr="006A6424">
        <w:rPr>
          <w:sz w:val="24"/>
          <w:szCs w:val="24"/>
          <w:lang w:eastAsia="en-NZ"/>
        </w:rPr>
        <w:t>. Washington, DC: World Bank.</w:t>
      </w:r>
    </w:p>
    <w:p w14:paraId="12A3C79F" w14:textId="77777777" w:rsidR="006A6424" w:rsidRPr="006A6424" w:rsidRDefault="006A6424" w:rsidP="006A6424">
      <w:pPr>
        <w:rPr>
          <w:sz w:val="24"/>
          <w:szCs w:val="24"/>
          <w:lang w:eastAsia="en-NZ"/>
        </w:rPr>
      </w:pPr>
      <w:r w:rsidRPr="006A6424">
        <w:rPr>
          <w:sz w:val="24"/>
          <w:szCs w:val="24"/>
          <w:lang w:eastAsia="en-NZ"/>
        </w:rPr>
        <w:t>Li, Y.A. (2014). Borders and distance in knowledge spillovers: Dying over time or dying with age? Evidence from patent citations. </w:t>
      </w:r>
      <w:r w:rsidRPr="006A6424">
        <w:rPr>
          <w:i/>
          <w:iCs/>
          <w:sz w:val="24"/>
          <w:szCs w:val="24"/>
          <w:lang w:eastAsia="en-NZ"/>
        </w:rPr>
        <w:t>European Economic Review</w:t>
      </w:r>
      <w:r w:rsidRPr="006A6424">
        <w:rPr>
          <w:sz w:val="24"/>
          <w:szCs w:val="24"/>
          <w:lang w:eastAsia="en-NZ"/>
        </w:rPr>
        <w:t>, 71, 152–172.</w:t>
      </w:r>
    </w:p>
    <w:p w14:paraId="302DD948" w14:textId="77777777" w:rsidR="006A6424" w:rsidRPr="006A6424" w:rsidRDefault="006A6424" w:rsidP="006A6424">
      <w:pPr>
        <w:rPr>
          <w:sz w:val="24"/>
          <w:szCs w:val="24"/>
          <w:lang w:eastAsia="en-NZ"/>
        </w:rPr>
      </w:pPr>
      <w:r w:rsidRPr="006A6424">
        <w:rPr>
          <w:sz w:val="24"/>
          <w:szCs w:val="24"/>
          <w:lang w:eastAsia="en-NZ"/>
        </w:rPr>
        <w:t>Maré, D.C. and Graham, D.J. (2009). </w:t>
      </w:r>
      <w:r w:rsidRPr="006A6424">
        <w:rPr>
          <w:i/>
          <w:iCs/>
          <w:sz w:val="24"/>
          <w:szCs w:val="24"/>
          <w:lang w:eastAsia="en-NZ"/>
        </w:rPr>
        <w:t>Agglomeration Elasticities in New Zealand</w:t>
      </w:r>
      <w:r w:rsidRPr="006A6424">
        <w:rPr>
          <w:sz w:val="24"/>
          <w:szCs w:val="24"/>
          <w:lang w:eastAsia="en-NZ"/>
        </w:rPr>
        <w:t>. Motu Working Paper 09-06 / NZ Transport Agency Research Report 376. Wellington: Motu Economic and Public Policy Research.</w:t>
      </w:r>
    </w:p>
    <w:p w14:paraId="69F573AC" w14:textId="77777777" w:rsidR="006A6424" w:rsidRPr="006A6424" w:rsidRDefault="006A6424" w:rsidP="006A6424">
      <w:pPr>
        <w:rPr>
          <w:sz w:val="24"/>
          <w:szCs w:val="24"/>
          <w:lang w:eastAsia="en-NZ"/>
        </w:rPr>
      </w:pPr>
      <w:r w:rsidRPr="006A6424">
        <w:rPr>
          <w:sz w:val="24"/>
          <w:szCs w:val="24"/>
          <w:lang w:eastAsia="en-NZ"/>
        </w:rPr>
        <w:t>Ministry of Housing and Urban Development. (2024). </w:t>
      </w:r>
      <w:r w:rsidRPr="006A6424">
        <w:rPr>
          <w:i/>
          <w:iCs/>
          <w:sz w:val="24"/>
          <w:szCs w:val="24"/>
          <w:lang w:eastAsia="en-NZ"/>
        </w:rPr>
        <w:t>Research on housing as an enabler of economic growth and productivity</w:t>
      </w:r>
      <w:r w:rsidRPr="006A6424">
        <w:rPr>
          <w:sz w:val="24"/>
          <w:szCs w:val="24"/>
          <w:lang w:eastAsia="en-NZ"/>
        </w:rPr>
        <w:t> (Aide-memoire HUD2024-003621, 8 March 2024). Wellington: New Zealand Government.</w:t>
      </w:r>
    </w:p>
    <w:p w14:paraId="0863897F" w14:textId="77777777" w:rsidR="006A6424" w:rsidRPr="006A6424" w:rsidRDefault="006A6424" w:rsidP="006A6424">
      <w:pPr>
        <w:rPr>
          <w:sz w:val="24"/>
          <w:szCs w:val="24"/>
          <w:lang w:eastAsia="en-NZ"/>
        </w:rPr>
      </w:pPr>
      <w:r w:rsidRPr="006A6424">
        <w:rPr>
          <w:sz w:val="24"/>
          <w:szCs w:val="24"/>
          <w:lang w:eastAsia="en-NZ"/>
        </w:rPr>
        <w:t>New Zealand Government. (2026, June). </w:t>
      </w:r>
      <w:r w:rsidRPr="006A6424">
        <w:rPr>
          <w:i/>
          <w:iCs/>
          <w:sz w:val="24"/>
          <w:szCs w:val="24"/>
          <w:lang w:eastAsia="en-NZ"/>
        </w:rPr>
        <w:t>Government Response to the National Infrastructure Plan 2026</w:t>
      </w:r>
      <w:r w:rsidRPr="006A6424">
        <w:rPr>
          <w:sz w:val="24"/>
          <w:szCs w:val="24"/>
          <w:lang w:eastAsia="en-NZ"/>
        </w:rPr>
        <w:t> (J.23). Wellington: New Zealand Treasury.</w:t>
      </w:r>
    </w:p>
    <w:p w14:paraId="6D9E71D9" w14:textId="77777777" w:rsidR="006A6424" w:rsidRPr="006A6424" w:rsidRDefault="006A6424" w:rsidP="006A6424">
      <w:pPr>
        <w:rPr>
          <w:sz w:val="24"/>
          <w:szCs w:val="24"/>
          <w:lang w:eastAsia="en-NZ"/>
        </w:rPr>
      </w:pPr>
      <w:r w:rsidRPr="006A6424">
        <w:rPr>
          <w:sz w:val="24"/>
          <w:szCs w:val="24"/>
          <w:lang w:eastAsia="en-NZ"/>
        </w:rPr>
        <w:t>New Zealand Infrastructure Commission, Te Waihanga. (2022, March). </w:t>
      </w:r>
      <w:r w:rsidRPr="006A6424">
        <w:rPr>
          <w:i/>
          <w:iCs/>
          <w:sz w:val="24"/>
          <w:szCs w:val="24"/>
          <w:lang w:eastAsia="en-NZ"/>
        </w:rPr>
        <w:t>The decline of housing supply in New Zealand: Why it happened and how to reverse it</w:t>
      </w:r>
      <w:r w:rsidRPr="006A6424">
        <w:rPr>
          <w:sz w:val="24"/>
          <w:szCs w:val="24"/>
          <w:lang w:eastAsia="en-NZ"/>
        </w:rPr>
        <w:t>. Te Waihanga Research Insights series. Wellington: New Zealand Infrastructure Commission.</w:t>
      </w:r>
    </w:p>
    <w:p w14:paraId="7282922E" w14:textId="77777777" w:rsidR="006A6424" w:rsidRPr="006A6424" w:rsidRDefault="006A6424" w:rsidP="006A6424">
      <w:pPr>
        <w:rPr>
          <w:sz w:val="24"/>
          <w:szCs w:val="24"/>
          <w:lang w:eastAsia="en-NZ"/>
        </w:rPr>
      </w:pPr>
      <w:r w:rsidRPr="006A6424">
        <w:rPr>
          <w:sz w:val="24"/>
          <w:szCs w:val="24"/>
          <w:lang w:val="fr-FR" w:eastAsia="en-NZ"/>
        </w:rPr>
        <w:t>New Zealand Infrastructure Commission, Te Waihanga. (2026). </w:t>
      </w:r>
      <w:r w:rsidRPr="006A6424">
        <w:rPr>
          <w:i/>
          <w:iCs/>
          <w:sz w:val="24"/>
          <w:szCs w:val="24"/>
          <w:lang w:val="fr-FR" w:eastAsia="en-NZ"/>
        </w:rPr>
        <w:t>National Infrastructure Plan 2026 / Mahere Tūāhanga ā-Motu</w:t>
      </w:r>
      <w:r w:rsidRPr="006A6424">
        <w:rPr>
          <w:sz w:val="24"/>
          <w:szCs w:val="24"/>
          <w:lang w:val="fr-FR" w:eastAsia="en-NZ"/>
        </w:rPr>
        <w:t xml:space="preserve">. </w:t>
      </w:r>
      <w:r w:rsidRPr="006A6424">
        <w:rPr>
          <w:sz w:val="24"/>
          <w:szCs w:val="24"/>
          <w:lang w:eastAsia="en-NZ"/>
        </w:rPr>
        <w:t>ISBN 978-1-0671325-0-7. Wellington: New Zealand Infrastructure Commission.</w:t>
      </w:r>
    </w:p>
    <w:p w14:paraId="162EF4C3" w14:textId="77777777" w:rsidR="006A6424" w:rsidRPr="006A6424" w:rsidRDefault="006A6424" w:rsidP="006A6424">
      <w:pPr>
        <w:rPr>
          <w:sz w:val="24"/>
          <w:szCs w:val="24"/>
          <w:lang w:eastAsia="en-NZ"/>
        </w:rPr>
      </w:pPr>
      <w:r w:rsidRPr="006A6424">
        <w:rPr>
          <w:sz w:val="24"/>
          <w:szCs w:val="24"/>
          <w:lang w:eastAsia="en-NZ"/>
        </w:rPr>
        <w:t>New Zealand Productivity Commission. (2022, April). </w:t>
      </w:r>
      <w:r w:rsidRPr="006A6424">
        <w:rPr>
          <w:i/>
          <w:iCs/>
          <w:sz w:val="24"/>
          <w:szCs w:val="24"/>
          <w:lang w:eastAsia="en-NZ"/>
        </w:rPr>
        <w:t>Immigration: Fit for the future</w:t>
      </w:r>
      <w:r w:rsidRPr="006A6424">
        <w:rPr>
          <w:sz w:val="24"/>
          <w:szCs w:val="24"/>
          <w:lang w:eastAsia="en-NZ"/>
        </w:rPr>
        <w:t>. ISBN 978-1-98-851981-4. Wellington: New Zealand Productivity Commission.</w:t>
      </w:r>
    </w:p>
    <w:p w14:paraId="22708EAB" w14:textId="77777777" w:rsidR="006A6424" w:rsidRPr="006A6424" w:rsidRDefault="006A6424" w:rsidP="006A6424">
      <w:pPr>
        <w:rPr>
          <w:sz w:val="24"/>
          <w:szCs w:val="24"/>
          <w:lang w:eastAsia="en-NZ"/>
        </w:rPr>
      </w:pPr>
      <w:r w:rsidRPr="006A6424">
        <w:rPr>
          <w:sz w:val="24"/>
          <w:szCs w:val="24"/>
          <w:lang w:eastAsia="en-NZ"/>
        </w:rPr>
        <w:t>OECD. (2015). </w:t>
      </w:r>
      <w:r w:rsidRPr="006A6424">
        <w:rPr>
          <w:i/>
          <w:iCs/>
          <w:sz w:val="24"/>
          <w:szCs w:val="24"/>
          <w:lang w:eastAsia="en-NZ"/>
        </w:rPr>
        <w:t>The Metropolitan Century: Understanding Urbanisation and its Consequences</w:t>
      </w:r>
      <w:r w:rsidRPr="006A6424">
        <w:rPr>
          <w:sz w:val="24"/>
          <w:szCs w:val="24"/>
          <w:lang w:eastAsia="en-NZ"/>
        </w:rPr>
        <w:t>. Paris: OECD Publishing.</w:t>
      </w:r>
    </w:p>
    <w:p w14:paraId="531E07F1" w14:textId="77777777" w:rsidR="006A6424" w:rsidRPr="006A6424" w:rsidRDefault="006A6424" w:rsidP="006A6424">
      <w:pPr>
        <w:rPr>
          <w:sz w:val="24"/>
          <w:szCs w:val="24"/>
          <w:lang w:eastAsia="en-NZ"/>
        </w:rPr>
      </w:pPr>
      <w:r w:rsidRPr="006A6424">
        <w:rPr>
          <w:sz w:val="24"/>
          <w:szCs w:val="24"/>
          <w:lang w:eastAsia="en-NZ"/>
        </w:rPr>
        <w:t>Preston, I., Maré, D.C., Grimes, A. and Donovan, S. (2018). </w:t>
      </w:r>
      <w:r w:rsidRPr="006A6424">
        <w:rPr>
          <w:i/>
          <w:iCs/>
          <w:sz w:val="24"/>
          <w:szCs w:val="24"/>
          <w:lang w:eastAsia="en-NZ"/>
        </w:rPr>
        <w:t>Amenities and the attractiveness of New Zealand cities</w:t>
      </w:r>
      <w:r w:rsidRPr="006A6424">
        <w:rPr>
          <w:sz w:val="24"/>
          <w:szCs w:val="24"/>
          <w:lang w:eastAsia="en-NZ"/>
        </w:rPr>
        <w:t>. Motu Working Paper 18-14. Wellington: Motu Economic and Public Policy Research.</w:t>
      </w:r>
    </w:p>
    <w:p w14:paraId="42238FE1" w14:textId="77777777" w:rsidR="006A6424" w:rsidRPr="006A6424" w:rsidRDefault="006A6424" w:rsidP="006A6424">
      <w:pPr>
        <w:rPr>
          <w:sz w:val="24"/>
          <w:szCs w:val="24"/>
          <w:lang w:eastAsia="en-NZ"/>
        </w:rPr>
      </w:pPr>
      <w:r w:rsidRPr="006A6424">
        <w:rPr>
          <w:sz w:val="24"/>
          <w:szCs w:val="24"/>
          <w:lang w:eastAsia="en-NZ"/>
        </w:rPr>
        <w:t>Walley, R. (2026). </w:t>
      </w:r>
      <w:r w:rsidRPr="006A6424">
        <w:rPr>
          <w:i/>
          <w:iCs/>
          <w:sz w:val="24"/>
          <w:szCs w:val="24"/>
          <w:lang w:eastAsia="en-NZ"/>
        </w:rPr>
        <w:t>Urbanisation, Settlement Structure, and the Weak Productivity Premium in New Zealand</w:t>
      </w:r>
      <w:r w:rsidRPr="006A6424">
        <w:rPr>
          <w:sz w:val="24"/>
          <w:szCs w:val="24"/>
          <w:lang w:eastAsia="en-NZ"/>
        </w:rPr>
        <w:t>. Unpublished working paper.</w:t>
      </w:r>
    </w:p>
    <w:p w14:paraId="695370B8" w14:textId="77777777" w:rsidR="006A6424" w:rsidRPr="006A6424" w:rsidRDefault="006A6424" w:rsidP="006A6424">
      <w:pPr>
        <w:rPr>
          <w:sz w:val="24"/>
          <w:szCs w:val="24"/>
          <w:lang w:eastAsia="en-NZ"/>
        </w:rPr>
      </w:pPr>
      <w:r w:rsidRPr="006A6424">
        <w:rPr>
          <w:sz w:val="24"/>
          <w:szCs w:val="24"/>
          <w:lang w:eastAsia="en-NZ"/>
        </w:rPr>
        <w:lastRenderedPageBreak/>
        <w:t>Winter, R., Devine, G., Janssen, J. and Thompson, S. (2025, October). </w:t>
      </w:r>
      <w:r w:rsidRPr="006A6424">
        <w:rPr>
          <w:i/>
          <w:iCs/>
          <w:sz w:val="24"/>
          <w:szCs w:val="24"/>
          <w:lang w:eastAsia="en-NZ"/>
        </w:rPr>
        <w:t>Why not both? The effects of innovation and capital on productivity in New Zealand</w:t>
      </w:r>
      <w:r w:rsidRPr="006A6424">
        <w:rPr>
          <w:sz w:val="24"/>
          <w:szCs w:val="24"/>
          <w:lang w:eastAsia="en-NZ"/>
        </w:rPr>
        <w:t> (Analytical Note AN 25/12). Wellington: New Zealand Treasury.</w:t>
      </w:r>
    </w:p>
    <w:p w14:paraId="411835B6" w14:textId="77777777" w:rsidR="006A6424" w:rsidRPr="006A6424" w:rsidRDefault="006A6424" w:rsidP="006A6424">
      <w:pPr>
        <w:rPr>
          <w:sz w:val="24"/>
          <w:szCs w:val="24"/>
          <w:lang w:eastAsia="en-NZ"/>
        </w:rPr>
      </w:pPr>
      <w:r w:rsidRPr="006A6424">
        <w:rPr>
          <w:sz w:val="24"/>
          <w:szCs w:val="24"/>
          <w:lang w:eastAsia="en-NZ"/>
        </w:rPr>
        <w:t>World Bank. (2009). </w:t>
      </w:r>
      <w:r w:rsidRPr="006A6424">
        <w:rPr>
          <w:i/>
          <w:iCs/>
          <w:sz w:val="24"/>
          <w:szCs w:val="24"/>
          <w:lang w:eastAsia="en-NZ"/>
        </w:rPr>
        <w:t>World Development Report 2009: Reshaping Economic Geography</w:t>
      </w:r>
      <w:r w:rsidRPr="006A6424">
        <w:rPr>
          <w:sz w:val="24"/>
          <w:szCs w:val="24"/>
          <w:lang w:eastAsia="en-NZ"/>
        </w:rPr>
        <w:t> (Chapter 7: Concentration without Congestion — Policies for an Inclusive Urbanisation). Washington, DC: World Bank.</w:t>
      </w:r>
    </w:p>
    <w:p w14:paraId="5AC2332E" w14:textId="77777777" w:rsidR="0017741E" w:rsidRPr="00B22259" w:rsidRDefault="0017741E" w:rsidP="006A6424">
      <w:pPr>
        <w:pStyle w:val="Heading1"/>
      </w:pPr>
    </w:p>
    <w:sectPr w:rsidR="0017741E" w:rsidRPr="00B22259" w:rsidSect="00D2741D">
      <w:headerReference w:type="default" r:id="rId18"/>
      <w:footerReference w:type="default" r:id="rId19"/>
      <w:footerReference w:type="first" r:id="rId20"/>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F4CB4" w14:textId="77777777" w:rsidR="006A6424" w:rsidRPr="006A6424" w:rsidRDefault="006A6424" w:rsidP="004434DB">
      <w:r w:rsidRPr="006A6424">
        <w:separator/>
      </w:r>
    </w:p>
  </w:endnote>
  <w:endnote w:type="continuationSeparator" w:id="0">
    <w:p w14:paraId="590198AB" w14:textId="77777777" w:rsidR="006A6424" w:rsidRPr="006A6424" w:rsidRDefault="006A6424"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7215DEFD" w14:textId="77777777" w:rsidTr="00556981">
      <w:tc>
        <w:tcPr>
          <w:tcW w:w="7938" w:type="dxa"/>
        </w:tcPr>
        <w:p w14:paraId="28CA5750" w14:textId="77777777" w:rsidR="00556981" w:rsidRPr="006A6424" w:rsidRDefault="00556981" w:rsidP="004434DB">
          <w:pPr>
            <w:pStyle w:val="Footer"/>
          </w:pPr>
          <w:fldSimple w:instr=" FILENAME  \* FirstCap  \* MERGEFORMAT ">
            <w:r w:rsidR="006A6424" w:rsidRPr="006A6424">
              <w:t>Document4</w:t>
            </w:r>
          </w:fldSimple>
          <w:r w:rsidRPr="006A6424">
            <w:t xml:space="preserve"> – edit on one page should update all pages</w:t>
          </w:r>
        </w:p>
      </w:tc>
      <w:tc>
        <w:tcPr>
          <w:tcW w:w="1694" w:type="dxa"/>
        </w:tcPr>
        <w:p w14:paraId="75845DF8"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4C187F54"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09FCB63" w14:textId="77777777" w:rsidTr="00C93AFC">
      <w:tc>
        <w:tcPr>
          <w:tcW w:w="7938" w:type="dxa"/>
        </w:tcPr>
        <w:p w14:paraId="230D7EEC" w14:textId="14E0EFE8" w:rsidR="003C54FF" w:rsidRPr="006A6424" w:rsidRDefault="005A2AAB" w:rsidP="003C54FF">
          <w:pPr>
            <w:pStyle w:val="Footer"/>
          </w:pPr>
          <w:r>
            <w:t>Cities and Spatial Policy</w:t>
          </w:r>
          <w:fldSimple w:instr=" FILENAME  \* FirstCap  \* MERGEFORMAT "/>
          <w:r w:rsidR="003C54FF" w:rsidRPr="006A6424">
            <w:t xml:space="preserve"> – edit on one page should update all pages</w:t>
          </w:r>
        </w:p>
      </w:tc>
      <w:tc>
        <w:tcPr>
          <w:tcW w:w="1694" w:type="dxa"/>
        </w:tcPr>
        <w:p w14:paraId="57CAF82D"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2D4A642A"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2E47CE02" w14:textId="77777777" w:rsidTr="00556981">
      <w:tc>
        <w:tcPr>
          <w:tcW w:w="8222" w:type="dxa"/>
        </w:tcPr>
        <w:p w14:paraId="3FA362CE" w14:textId="570B1EEA" w:rsidR="006002A4" w:rsidRPr="006A6424" w:rsidRDefault="005A2AAB" w:rsidP="004434DB">
          <w:pPr>
            <w:pStyle w:val="Footer"/>
          </w:pPr>
          <w:r>
            <w:t>Cities and Spatial Policy</w:t>
          </w:r>
        </w:p>
      </w:tc>
      <w:tc>
        <w:tcPr>
          <w:tcW w:w="1410" w:type="dxa"/>
        </w:tcPr>
        <w:p w14:paraId="7A126208"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13B6FB5F"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60EC420B" w14:textId="77777777" w:rsidTr="00E258CF">
      <w:tc>
        <w:tcPr>
          <w:tcW w:w="8217" w:type="dxa"/>
        </w:tcPr>
        <w:p w14:paraId="49C04978" w14:textId="77777777" w:rsidR="00066273" w:rsidRPr="006A6424" w:rsidRDefault="00066273" w:rsidP="004434DB">
          <w:pPr>
            <w:pStyle w:val="Footer"/>
          </w:pPr>
          <w:fldSimple w:instr=" FILENAME  \* FirstCap  \* MERGEFORMAT ">
            <w:r w:rsidR="006A6424" w:rsidRPr="006A6424">
              <w:t>Document4</w:t>
            </w:r>
          </w:fldSimple>
          <w:r w:rsidRPr="006A6424">
            <w:t xml:space="preserve"> – edit on one page should update all pages</w:t>
          </w:r>
        </w:p>
      </w:tc>
      <w:tc>
        <w:tcPr>
          <w:tcW w:w="1139" w:type="dxa"/>
        </w:tcPr>
        <w:p w14:paraId="70CF6F43"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2AE7EA1"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4687B" w14:textId="77777777" w:rsidR="006A6424" w:rsidRPr="006A6424" w:rsidRDefault="006A6424" w:rsidP="004434DB">
      <w:bookmarkStart w:id="0" w:name="_Hlk104460753"/>
      <w:bookmarkEnd w:id="0"/>
      <w:r w:rsidRPr="006A6424">
        <w:separator/>
      </w:r>
    </w:p>
  </w:footnote>
  <w:footnote w:type="continuationSeparator" w:id="0">
    <w:p w14:paraId="4AE82A57" w14:textId="77777777" w:rsidR="006A6424" w:rsidRPr="006A6424" w:rsidRDefault="006A6424"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5501"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73C3"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9"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1"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0"/>
  </w:num>
  <w:num w:numId="2" w16cid:durableId="1571312470">
    <w:abstractNumId w:val="18"/>
  </w:num>
  <w:num w:numId="3" w16cid:durableId="600454666">
    <w:abstractNumId w:val="14"/>
  </w:num>
  <w:num w:numId="4" w16cid:durableId="476336255">
    <w:abstractNumId w:val="22"/>
  </w:num>
  <w:num w:numId="5" w16cid:durableId="487594335">
    <w:abstractNumId w:val="11"/>
  </w:num>
  <w:num w:numId="6" w16cid:durableId="414589779">
    <w:abstractNumId w:val="21"/>
  </w:num>
  <w:num w:numId="7" w16cid:durableId="1650479044">
    <w:abstractNumId w:val="17"/>
  </w:num>
  <w:num w:numId="8" w16cid:durableId="1546677858">
    <w:abstractNumId w:val="9"/>
  </w:num>
  <w:num w:numId="9" w16cid:durableId="1431968696">
    <w:abstractNumId w:val="25"/>
  </w:num>
  <w:num w:numId="10" w16cid:durableId="554244891">
    <w:abstractNumId w:val="24"/>
  </w:num>
  <w:num w:numId="11" w16cid:durableId="1851675462">
    <w:abstractNumId w:val="19"/>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5"/>
  </w:num>
  <w:num w:numId="22" w16cid:durableId="1060977792">
    <w:abstractNumId w:val="16"/>
  </w:num>
  <w:num w:numId="23" w16cid:durableId="513807504">
    <w:abstractNumId w:val="13"/>
  </w:num>
  <w:num w:numId="24" w16cid:durableId="1222789080">
    <w:abstractNumId w:val="27"/>
  </w:num>
  <w:num w:numId="25" w16cid:durableId="983045635">
    <w:abstractNumId w:val="23"/>
  </w:num>
  <w:num w:numId="26" w16cid:durableId="1369450177">
    <w:abstractNumId w:val="26"/>
  </w:num>
  <w:num w:numId="27" w16cid:durableId="183596903">
    <w:abstractNumId w:val="10"/>
  </w:num>
  <w:num w:numId="28" w16cid:durableId="535775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2C99"/>
    <w:rsid w:val="00060260"/>
    <w:rsid w:val="00066273"/>
    <w:rsid w:val="00067197"/>
    <w:rsid w:val="00070339"/>
    <w:rsid w:val="00074C18"/>
    <w:rsid w:val="000909B1"/>
    <w:rsid w:val="000A6A27"/>
    <w:rsid w:val="000B35AE"/>
    <w:rsid w:val="000C766A"/>
    <w:rsid w:val="000E07AB"/>
    <w:rsid w:val="000E3420"/>
    <w:rsid w:val="000E6C2A"/>
    <w:rsid w:val="000F3A64"/>
    <w:rsid w:val="001073F6"/>
    <w:rsid w:val="001308F8"/>
    <w:rsid w:val="00131B89"/>
    <w:rsid w:val="00144669"/>
    <w:rsid w:val="00172EC2"/>
    <w:rsid w:val="0017398A"/>
    <w:rsid w:val="0017741E"/>
    <w:rsid w:val="00177B4A"/>
    <w:rsid w:val="001927B5"/>
    <w:rsid w:val="001B6714"/>
    <w:rsid w:val="001D7310"/>
    <w:rsid w:val="00205378"/>
    <w:rsid w:val="002268F7"/>
    <w:rsid w:val="002721AD"/>
    <w:rsid w:val="002755DA"/>
    <w:rsid w:val="002848BC"/>
    <w:rsid w:val="002A1986"/>
    <w:rsid w:val="002A2B6A"/>
    <w:rsid w:val="002C0894"/>
    <w:rsid w:val="002D14FC"/>
    <w:rsid w:val="002F41A5"/>
    <w:rsid w:val="00336F64"/>
    <w:rsid w:val="00342DDB"/>
    <w:rsid w:val="00345E30"/>
    <w:rsid w:val="003501B4"/>
    <w:rsid w:val="00350578"/>
    <w:rsid w:val="00357F97"/>
    <w:rsid w:val="00370EF9"/>
    <w:rsid w:val="0037276F"/>
    <w:rsid w:val="0039171F"/>
    <w:rsid w:val="003C54FF"/>
    <w:rsid w:val="003D695F"/>
    <w:rsid w:val="003E67A7"/>
    <w:rsid w:val="003F57E3"/>
    <w:rsid w:val="0041099D"/>
    <w:rsid w:val="00415A50"/>
    <w:rsid w:val="00421EA3"/>
    <w:rsid w:val="00432247"/>
    <w:rsid w:val="00432CCD"/>
    <w:rsid w:val="004434DB"/>
    <w:rsid w:val="00450F36"/>
    <w:rsid w:val="004555C1"/>
    <w:rsid w:val="0047013B"/>
    <w:rsid w:val="0047724A"/>
    <w:rsid w:val="004827E2"/>
    <w:rsid w:val="004A3E71"/>
    <w:rsid w:val="004C253F"/>
    <w:rsid w:val="004C2E47"/>
    <w:rsid w:val="004C6FAC"/>
    <w:rsid w:val="004D02DD"/>
    <w:rsid w:val="004D0AAC"/>
    <w:rsid w:val="004D2A61"/>
    <w:rsid w:val="004F4B85"/>
    <w:rsid w:val="00506C99"/>
    <w:rsid w:val="00525B62"/>
    <w:rsid w:val="00532577"/>
    <w:rsid w:val="005457A5"/>
    <w:rsid w:val="00546B8F"/>
    <w:rsid w:val="00556981"/>
    <w:rsid w:val="00585A8E"/>
    <w:rsid w:val="00587391"/>
    <w:rsid w:val="00587E81"/>
    <w:rsid w:val="00592D3D"/>
    <w:rsid w:val="0059550F"/>
    <w:rsid w:val="005A2AAB"/>
    <w:rsid w:val="005C021F"/>
    <w:rsid w:val="005D4A0E"/>
    <w:rsid w:val="005E4A30"/>
    <w:rsid w:val="005E7A89"/>
    <w:rsid w:val="006002A4"/>
    <w:rsid w:val="00641B21"/>
    <w:rsid w:val="0065533B"/>
    <w:rsid w:val="006606F0"/>
    <w:rsid w:val="00661336"/>
    <w:rsid w:val="00694235"/>
    <w:rsid w:val="006A53F6"/>
    <w:rsid w:val="006A6424"/>
    <w:rsid w:val="006C5C32"/>
    <w:rsid w:val="006D3167"/>
    <w:rsid w:val="006E526C"/>
    <w:rsid w:val="00703900"/>
    <w:rsid w:val="007204F5"/>
    <w:rsid w:val="007443CE"/>
    <w:rsid w:val="00746971"/>
    <w:rsid w:val="00750063"/>
    <w:rsid w:val="007505B2"/>
    <w:rsid w:val="00763C7C"/>
    <w:rsid w:val="00771ED4"/>
    <w:rsid w:val="007805B0"/>
    <w:rsid w:val="007A1E22"/>
    <w:rsid w:val="007C1AE0"/>
    <w:rsid w:val="007C3E3C"/>
    <w:rsid w:val="007D3E29"/>
    <w:rsid w:val="007F53FB"/>
    <w:rsid w:val="0080142D"/>
    <w:rsid w:val="0080550B"/>
    <w:rsid w:val="00811C14"/>
    <w:rsid w:val="00817008"/>
    <w:rsid w:val="00820C81"/>
    <w:rsid w:val="00830B3A"/>
    <w:rsid w:val="00841C29"/>
    <w:rsid w:val="008467D7"/>
    <w:rsid w:val="008522B6"/>
    <w:rsid w:val="0085384F"/>
    <w:rsid w:val="008666F9"/>
    <w:rsid w:val="008A3C9F"/>
    <w:rsid w:val="008B3D67"/>
    <w:rsid w:val="008E6DE5"/>
    <w:rsid w:val="00920D09"/>
    <w:rsid w:val="009238E1"/>
    <w:rsid w:val="009346E9"/>
    <w:rsid w:val="00940330"/>
    <w:rsid w:val="009421A7"/>
    <w:rsid w:val="00970ECB"/>
    <w:rsid w:val="00991D37"/>
    <w:rsid w:val="0099269E"/>
    <w:rsid w:val="009A444D"/>
    <w:rsid w:val="009C05CE"/>
    <w:rsid w:val="009C61D5"/>
    <w:rsid w:val="009E2A10"/>
    <w:rsid w:val="00A11B95"/>
    <w:rsid w:val="00A17B8B"/>
    <w:rsid w:val="00A204B0"/>
    <w:rsid w:val="00A472AE"/>
    <w:rsid w:val="00A57E88"/>
    <w:rsid w:val="00A61EB6"/>
    <w:rsid w:val="00A7402C"/>
    <w:rsid w:val="00A855C9"/>
    <w:rsid w:val="00A91DE6"/>
    <w:rsid w:val="00A9716A"/>
    <w:rsid w:val="00A979B3"/>
    <w:rsid w:val="00AA0954"/>
    <w:rsid w:val="00AA6B0F"/>
    <w:rsid w:val="00AB18A7"/>
    <w:rsid w:val="00AB6011"/>
    <w:rsid w:val="00AE2801"/>
    <w:rsid w:val="00AE685D"/>
    <w:rsid w:val="00AF0C1E"/>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B20DF"/>
    <w:rsid w:val="00CC091B"/>
    <w:rsid w:val="00CD3FFB"/>
    <w:rsid w:val="00CE43B9"/>
    <w:rsid w:val="00CE5647"/>
    <w:rsid w:val="00CE73FC"/>
    <w:rsid w:val="00D12DA8"/>
    <w:rsid w:val="00D22D31"/>
    <w:rsid w:val="00D2741D"/>
    <w:rsid w:val="00D4476D"/>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D5A80"/>
    <w:rsid w:val="00F10D62"/>
    <w:rsid w:val="00F228A1"/>
    <w:rsid w:val="00F45E78"/>
    <w:rsid w:val="00F50E83"/>
    <w:rsid w:val="00F5642A"/>
    <w:rsid w:val="00F57B20"/>
    <w:rsid w:val="00F605E6"/>
    <w:rsid w:val="00F71685"/>
    <w:rsid w:val="00F75D50"/>
    <w:rsid w:val="00F77967"/>
    <w:rsid w:val="00FB05AF"/>
    <w:rsid w:val="00FB2CA4"/>
    <w:rsid w:val="00FB6C33"/>
    <w:rsid w:val="00FE28B0"/>
    <w:rsid w:val="00FE2D6A"/>
    <w:rsid w:val="00FE3B7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6402B"/>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7505B2"/>
    <w:pPr>
      <w:tabs>
        <w:tab w:val="right" w:pos="9622"/>
      </w:tabs>
      <w:spacing w:after="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46</TotalTime>
  <Pages>23</Pages>
  <Words>7268</Words>
  <Characters>41432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1</cp:revision>
  <cp:lastPrinted>2022-05-31T02:02:00Z</cp:lastPrinted>
  <dcterms:created xsi:type="dcterms:W3CDTF">2026-07-02T04:17:00Z</dcterms:created>
  <dcterms:modified xsi:type="dcterms:W3CDTF">2026-07-02T05:05:00Z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2026-07-02T05:04:33Z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5ba5aada-8bf0-413e-9206-ebf9d76fc2f9</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