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A92C"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593AD9C1" w14:textId="787224E0"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41C0B806" w14:textId="6FA218B8"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593AD9C1" w14:textId="787224E0"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41C0B806" w14:textId="6FA218B8"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7C8102BA"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3206"/>
        <w:gridCol w:w="3206"/>
        <w:gridCol w:w="3210"/>
      </w:tblGrid>
      <w:tr w:rsidR="00D12DA8" w:rsidRPr="006A6424" w14:paraId="071882FC" w14:textId="77777777" w:rsidTr="006A6424">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666" w:type="pct"/>
            <w:tcBorders>
              <w:bottom w:val="nil"/>
            </w:tcBorders>
            <w:shd w:val="clear" w:color="auto" w:fill="006171" w:themeFill="text2"/>
            <w:vAlign w:val="center"/>
            <w:hideMark/>
          </w:tcPr>
          <w:p w14:paraId="0935436B" w14:textId="77777777" w:rsidR="00D12DA8" w:rsidRPr="006A6424" w:rsidRDefault="00D12DA8" w:rsidP="004434DB">
            <w:pPr>
              <w:rPr>
                <w:b w:val="0"/>
                <w:bCs w:val="0"/>
              </w:rPr>
            </w:pPr>
            <w:r w:rsidRPr="006A6424">
              <w:rPr>
                <w:color w:val="FFFFFF" w:themeColor="background1"/>
              </w:rPr>
              <w:t>Document history</w:t>
            </w:r>
          </w:p>
        </w:tc>
        <w:tc>
          <w:tcPr>
            <w:tcW w:w="1666" w:type="pct"/>
            <w:tcBorders>
              <w:bottom w:val="nil"/>
            </w:tcBorders>
            <w:shd w:val="clear" w:color="auto" w:fill="006171" w:themeFill="text2"/>
            <w:vAlign w:val="center"/>
          </w:tcPr>
          <w:p w14:paraId="5B682661"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rPr>
                <w:b w:val="0"/>
                <w:bCs w:val="0"/>
              </w:rPr>
            </w:pPr>
          </w:p>
        </w:tc>
        <w:tc>
          <w:tcPr>
            <w:tcW w:w="1668" w:type="pct"/>
            <w:tcBorders>
              <w:bottom w:val="nil"/>
            </w:tcBorders>
            <w:shd w:val="clear" w:color="auto" w:fill="006171" w:themeFill="text2"/>
            <w:vAlign w:val="center"/>
          </w:tcPr>
          <w:p w14:paraId="45952E28"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pPr>
          </w:p>
        </w:tc>
      </w:tr>
      <w:tr w:rsidR="009421A7" w:rsidRPr="006A6424" w14:paraId="4088E32B"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tcBorders>
              <w:top w:val="nil"/>
            </w:tcBorders>
            <w:shd w:val="clear" w:color="auto" w:fill="F2F2F2" w:themeFill="background1" w:themeFillShade="F2"/>
          </w:tcPr>
          <w:p w14:paraId="5265B7D7" w14:textId="77777777" w:rsidR="009421A7" w:rsidRPr="006A6424" w:rsidRDefault="009421A7" w:rsidP="004434DB">
            <w:r w:rsidRPr="006A6424">
              <w:t>Status</w:t>
            </w:r>
          </w:p>
        </w:tc>
        <w:tc>
          <w:tcPr>
            <w:tcW w:w="1666" w:type="pct"/>
            <w:tcBorders>
              <w:top w:val="nil"/>
            </w:tcBorders>
          </w:tcPr>
          <w:p w14:paraId="234A9916"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Commencement date</w:t>
            </w:r>
          </w:p>
        </w:tc>
        <w:tc>
          <w:tcPr>
            <w:tcW w:w="1668" w:type="pct"/>
            <w:tcBorders>
              <w:top w:val="nil"/>
            </w:tcBorders>
          </w:tcPr>
          <w:p w14:paraId="7FDF9CA2"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Alterations</w:t>
            </w:r>
          </w:p>
        </w:tc>
      </w:tr>
      <w:tr w:rsidR="009421A7" w:rsidRPr="006A6424" w14:paraId="28C7551B"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5E7FCD40" w14:textId="48A875E5" w:rsidR="009421A7" w:rsidRPr="006A6424" w:rsidRDefault="009421A7" w:rsidP="004434DB">
            <w:r w:rsidRPr="006A6424">
              <w:t xml:space="preserve">Version </w:t>
            </w:r>
            <w:r w:rsidR="006A6424">
              <w:t>0.</w:t>
            </w:r>
            <w:r w:rsidR="004C2E47">
              <w:t>6</w:t>
            </w:r>
          </w:p>
        </w:tc>
        <w:tc>
          <w:tcPr>
            <w:tcW w:w="1666" w:type="pct"/>
          </w:tcPr>
          <w:p w14:paraId="67F1E7EA" w14:textId="5D84583D" w:rsidR="009421A7" w:rsidRPr="006A6424" w:rsidRDefault="006A6424"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465AE9C7"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w:t>
            </w:r>
          </w:p>
        </w:tc>
      </w:tr>
      <w:tr w:rsidR="003B184F" w:rsidRPr="006A6424" w14:paraId="1469BD9C"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1824C564" w14:textId="1950BD4E" w:rsidR="003B184F" w:rsidRPr="006A6424" w:rsidRDefault="003B184F" w:rsidP="004434DB">
            <w:r>
              <w:t>Version 0.7</w:t>
            </w:r>
          </w:p>
        </w:tc>
        <w:tc>
          <w:tcPr>
            <w:tcW w:w="1666" w:type="pct"/>
          </w:tcPr>
          <w:p w14:paraId="55B549B8" w14:textId="3CD771EB" w:rsidR="003B184F" w:rsidRDefault="003B184F"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26DA011F" w14:textId="1512E6E9" w:rsidR="003B184F" w:rsidRPr="006A6424" w:rsidRDefault="003B184F" w:rsidP="004434DB">
            <w:pPr>
              <w:cnfStyle w:val="000000000000" w:firstRow="0" w:lastRow="0" w:firstColumn="0" w:lastColumn="0" w:oddVBand="0" w:evenVBand="0" w:oddHBand="0" w:evenHBand="0" w:firstRowFirstColumn="0" w:firstRowLastColumn="0" w:lastRowFirstColumn="0" w:lastRowLastColumn="0"/>
            </w:pPr>
            <w:r>
              <w:t>Central evidence section restructured</w:t>
            </w:r>
          </w:p>
        </w:tc>
      </w:tr>
      <w:tr w:rsidR="00CB06EC" w:rsidRPr="006A6424" w14:paraId="085870A0"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r>
              <w:t>Version 0.8</w:t>
            </w:r>
          </w:p>
        </w:tc>
        <w:tc>
          <w:tcPr>
            <w:tcW w:w="1666" w:type="pct"/>
          </w:tcPr>
          <w:p>
            <w:r>
              <w:t>July 2026</w:t>
            </w:r>
          </w:p>
        </w:tc>
        <w:tc>
          <w:tcPr>
            <w:tcW w:w="1668" w:type="pct"/>
          </w:tcPr>
          <w:p>
            <w: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bl>
    <w:p w14:paraId="0218B02C" w14:textId="77777777" w:rsidR="009421A7" w:rsidRPr="006A6424" w:rsidRDefault="009421A7" w:rsidP="004434DB"/>
    <w:p w14:paraId="14AB6B02" w14:textId="77777777" w:rsidR="006A6424" w:rsidRPr="006A6424" w:rsidRDefault="006A6424">
      <w:pPr>
        <w:spacing w:after="0"/>
        <w:rPr>
          <w:b/>
          <w:bCs/>
          <w:sz w:val="56"/>
          <w:szCs w:val="56"/>
        </w:rPr>
      </w:pPr>
      <w:bookmarkStart w:id="2" w:name="_Toc189460583"/>
      <w:r w:rsidRPr="006A6424">
        <w:rPr>
          <w:b/>
          <w:bCs/>
          <w:sz w:val="56"/>
          <w:szCs w:val="56"/>
        </w:rPr>
        <w:br w:type="page"/>
      </w:r>
    </w:p>
    <w:p w14:paraId="7F46FC02" w14:textId="247AC384" w:rsidR="009421A7" w:rsidRPr="006A6424" w:rsidRDefault="009421A7" w:rsidP="004434DB">
      <w:pPr>
        <w:rPr>
          <w:b/>
          <w:bCs/>
          <w:sz w:val="56"/>
          <w:szCs w:val="56"/>
        </w:rPr>
      </w:pPr>
      <w:r w:rsidRPr="006A6424">
        <w:rPr>
          <w:b/>
          <w:bCs/>
          <w:sz w:val="56"/>
          <w:szCs w:val="56"/>
        </w:rPr>
        <w:lastRenderedPageBreak/>
        <w:t>Contents</w:t>
      </w:r>
      <w:bookmarkEnd w:id="2"/>
    </w:p>
    <w:p w14:paraId="077B2A5E" w14:textId="2FB656AD" w:rsidR="00044EE9"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3908841" w:history="1">
        <w:r w:rsidR="00044EE9" w:rsidRPr="00C14101">
          <w:rPr>
            <w:rStyle w:val="Hyperlink"/>
            <w:rFonts w:eastAsia="Times New Roman"/>
            <w:lang w:eastAsia="en-NZ"/>
          </w:rPr>
          <w:t>1. Purpose</w:t>
        </w:r>
        <w:r w:rsidR="00044EE9">
          <w:rPr>
            <w:webHidden/>
          </w:rPr>
          <w:tab/>
        </w:r>
        <w:r w:rsidR="00044EE9">
          <w:rPr>
            <w:webHidden/>
          </w:rPr>
          <w:fldChar w:fldCharType="begin"/>
        </w:r>
        <w:r w:rsidR="00044EE9">
          <w:rPr>
            <w:webHidden/>
          </w:rPr>
          <w:instrText xml:space="preserve"> PAGEREF _Toc233908841 \h </w:instrText>
        </w:r>
        <w:r w:rsidR="00044EE9">
          <w:rPr>
            <w:webHidden/>
          </w:rPr>
        </w:r>
        <w:r w:rsidR="00044EE9">
          <w:rPr>
            <w:webHidden/>
          </w:rPr>
          <w:fldChar w:fldCharType="separate"/>
        </w:r>
        <w:r w:rsidR="00044EE9">
          <w:rPr>
            <w:webHidden/>
          </w:rPr>
          <w:t>4</w:t>
        </w:r>
        <w:r w:rsidR="00044EE9">
          <w:rPr>
            <w:webHidden/>
          </w:rPr>
          <w:fldChar w:fldCharType="end"/>
        </w:r>
      </w:hyperlink>
    </w:p>
    <w:p w14:paraId="1B151D62" w14:textId="738E508B"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2" w:history="1">
        <w:r w:rsidRPr="00C14101">
          <w:rPr>
            <w:rStyle w:val="Hyperlink"/>
            <w:rFonts w:eastAsia="Times New Roman"/>
            <w:lang w:eastAsia="en-NZ"/>
          </w:rPr>
          <w:t>2. What We Expect from Cities (Evidence Base)</w:t>
        </w:r>
        <w:r>
          <w:rPr>
            <w:webHidden/>
          </w:rPr>
          <w:tab/>
        </w:r>
        <w:r>
          <w:rPr>
            <w:webHidden/>
          </w:rPr>
          <w:fldChar w:fldCharType="begin"/>
        </w:r>
        <w:r>
          <w:rPr>
            <w:webHidden/>
          </w:rPr>
          <w:instrText xml:space="preserve"> PAGEREF _Toc233908842 \h </w:instrText>
        </w:r>
        <w:r>
          <w:rPr>
            <w:webHidden/>
          </w:rPr>
        </w:r>
        <w:r>
          <w:rPr>
            <w:webHidden/>
          </w:rPr>
          <w:fldChar w:fldCharType="separate"/>
        </w:r>
        <w:r>
          <w:rPr>
            <w:webHidden/>
          </w:rPr>
          <w:t>5</w:t>
        </w:r>
        <w:r>
          <w:rPr>
            <w:webHidden/>
          </w:rPr>
          <w:fldChar w:fldCharType="end"/>
        </w:r>
      </w:hyperlink>
    </w:p>
    <w:p w14:paraId="14150C26" w14:textId="75B6DB55"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3" w:history="1">
        <w:r w:rsidRPr="00C14101">
          <w:rPr>
            <w:rStyle w:val="Hyperlink"/>
          </w:rPr>
          <w:t>3. Core Diagnosis: Growth, Capital Pressure, and Productivity</w:t>
        </w:r>
        <w:r>
          <w:rPr>
            <w:webHidden/>
          </w:rPr>
          <w:tab/>
        </w:r>
        <w:r>
          <w:rPr>
            <w:webHidden/>
          </w:rPr>
          <w:fldChar w:fldCharType="begin"/>
        </w:r>
        <w:r>
          <w:rPr>
            <w:webHidden/>
          </w:rPr>
          <w:instrText xml:space="preserve"> PAGEREF _Toc233908843 \h </w:instrText>
        </w:r>
        <w:r>
          <w:rPr>
            <w:webHidden/>
          </w:rPr>
        </w:r>
        <w:r>
          <w:rPr>
            <w:webHidden/>
          </w:rPr>
          <w:fldChar w:fldCharType="separate"/>
        </w:r>
        <w:r>
          <w:rPr>
            <w:webHidden/>
          </w:rPr>
          <w:t>7</w:t>
        </w:r>
        <w:r>
          <w:rPr>
            <w:webHidden/>
          </w:rPr>
          <w:fldChar w:fldCharType="end"/>
        </w:r>
      </w:hyperlink>
    </w:p>
    <w:p w14:paraId="067FD597" w14:textId="127CE436"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4" w:history="1">
        <w:r w:rsidRPr="00C14101">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_Toc233908844 \h </w:instrText>
        </w:r>
        <w:r>
          <w:rPr>
            <w:webHidden/>
          </w:rPr>
        </w:r>
        <w:r>
          <w:rPr>
            <w:webHidden/>
          </w:rPr>
          <w:fldChar w:fldCharType="separate"/>
        </w:r>
        <w:r>
          <w:rPr>
            <w:webHidden/>
          </w:rPr>
          <w:t>11</w:t>
        </w:r>
        <w:r>
          <w:rPr>
            <w:webHidden/>
          </w:rPr>
          <w:fldChar w:fldCharType="end"/>
        </w:r>
      </w:hyperlink>
    </w:p>
    <w:p w14:paraId="7131B5C7" w14:textId="5B45EE5A"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5" w:history="1">
        <w:r w:rsidRPr="00C14101">
          <w:rPr>
            <w:rStyle w:val="Hyperlink"/>
          </w:rPr>
          <w:t>5. The New Zealand Spatial System — Evidence and Mechanisms</w:t>
        </w:r>
        <w:r>
          <w:rPr>
            <w:webHidden/>
          </w:rPr>
          <w:tab/>
        </w:r>
        <w:r>
          <w:rPr>
            <w:webHidden/>
          </w:rPr>
          <w:fldChar w:fldCharType="begin"/>
        </w:r>
        <w:r>
          <w:rPr>
            <w:webHidden/>
          </w:rPr>
          <w:instrText xml:space="preserve"> PAGEREF _Toc233908845 \h </w:instrText>
        </w:r>
        <w:r>
          <w:rPr>
            <w:webHidden/>
          </w:rPr>
        </w:r>
        <w:r>
          <w:rPr>
            <w:webHidden/>
          </w:rPr>
          <w:fldChar w:fldCharType="separate"/>
        </w:r>
        <w:r>
          <w:rPr>
            <w:webHidden/>
          </w:rPr>
          <w:t>12</w:t>
        </w:r>
        <w:r>
          <w:rPr>
            <w:webHidden/>
          </w:rPr>
          <w:fldChar w:fldCharType="end"/>
        </w:r>
      </w:hyperlink>
    </w:p>
    <w:p w14:paraId="1B178EC7" w14:textId="3936F3E4"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6" w:history="1">
        <w:r w:rsidRPr="00C14101">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_Toc233908846 \h </w:instrText>
        </w:r>
        <w:r>
          <w:rPr>
            <w:webHidden/>
          </w:rPr>
        </w:r>
        <w:r>
          <w:rPr>
            <w:webHidden/>
          </w:rPr>
          <w:fldChar w:fldCharType="separate"/>
        </w:r>
        <w:r>
          <w:rPr>
            <w:webHidden/>
          </w:rPr>
          <w:t>18</w:t>
        </w:r>
        <w:r>
          <w:rPr>
            <w:webHidden/>
          </w:rPr>
          <w:fldChar w:fldCharType="end"/>
        </w:r>
      </w:hyperlink>
    </w:p>
    <w:p w14:paraId="71CD28F4" w14:textId="3EA404B6"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7" w:history="1">
        <w:r w:rsidRPr="00C14101">
          <w:rPr>
            <w:rStyle w:val="Hyperlink"/>
            <w:rFonts w:eastAsia="Times New Roman"/>
            <w:lang w:eastAsia="en-NZ"/>
          </w:rPr>
          <w:t>7. New Zealand's Final Frontier</w:t>
        </w:r>
        <w:r>
          <w:rPr>
            <w:webHidden/>
          </w:rPr>
          <w:tab/>
        </w:r>
        <w:r>
          <w:rPr>
            <w:webHidden/>
          </w:rPr>
          <w:fldChar w:fldCharType="begin"/>
        </w:r>
        <w:r>
          <w:rPr>
            <w:webHidden/>
          </w:rPr>
          <w:instrText xml:space="preserve"> PAGEREF _Toc233908847 \h </w:instrText>
        </w:r>
        <w:r>
          <w:rPr>
            <w:webHidden/>
          </w:rPr>
        </w:r>
        <w:r>
          <w:rPr>
            <w:webHidden/>
          </w:rPr>
          <w:fldChar w:fldCharType="separate"/>
        </w:r>
        <w:r>
          <w:rPr>
            <w:webHidden/>
          </w:rPr>
          <w:t>20</w:t>
        </w:r>
        <w:r>
          <w:rPr>
            <w:webHidden/>
          </w:rPr>
          <w:fldChar w:fldCharType="end"/>
        </w:r>
      </w:hyperlink>
    </w:p>
    <w:p w14:paraId="66A90F7A" w14:textId="2C680EB7"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8" w:history="1">
        <w:r w:rsidRPr="00C14101">
          <w:rPr>
            <w:rStyle w:val="Hyperlink"/>
            <w:rFonts w:eastAsia="Times New Roman"/>
            <w:lang w:eastAsia="en-NZ"/>
          </w:rPr>
          <w:t>8. Implications for Policy</w:t>
        </w:r>
        <w:r>
          <w:rPr>
            <w:webHidden/>
          </w:rPr>
          <w:tab/>
        </w:r>
        <w:r>
          <w:rPr>
            <w:webHidden/>
          </w:rPr>
          <w:fldChar w:fldCharType="begin"/>
        </w:r>
        <w:r>
          <w:rPr>
            <w:webHidden/>
          </w:rPr>
          <w:instrText xml:space="preserve"> PAGEREF _Toc233908848 \h </w:instrText>
        </w:r>
        <w:r>
          <w:rPr>
            <w:webHidden/>
          </w:rPr>
        </w:r>
        <w:r>
          <w:rPr>
            <w:webHidden/>
          </w:rPr>
          <w:fldChar w:fldCharType="separate"/>
        </w:r>
        <w:r>
          <w:rPr>
            <w:webHidden/>
          </w:rPr>
          <w:t>21</w:t>
        </w:r>
        <w:r>
          <w:rPr>
            <w:webHidden/>
          </w:rPr>
          <w:fldChar w:fldCharType="end"/>
        </w:r>
      </w:hyperlink>
    </w:p>
    <w:p w14:paraId="7EC39874" w14:textId="13D456B9"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9" w:history="1">
        <w:r w:rsidRPr="00C14101">
          <w:rPr>
            <w:rStyle w:val="Hyperlink"/>
            <w:rFonts w:eastAsia="Times New Roman"/>
            <w:lang w:eastAsia="en-NZ"/>
          </w:rPr>
          <w:t>9. Role of MBIE</w:t>
        </w:r>
        <w:r>
          <w:rPr>
            <w:webHidden/>
          </w:rPr>
          <w:tab/>
        </w:r>
        <w:r>
          <w:rPr>
            <w:webHidden/>
          </w:rPr>
          <w:fldChar w:fldCharType="begin"/>
        </w:r>
        <w:r>
          <w:rPr>
            <w:webHidden/>
          </w:rPr>
          <w:instrText xml:space="preserve"> PAGEREF _Toc233908849 \h </w:instrText>
        </w:r>
        <w:r>
          <w:rPr>
            <w:webHidden/>
          </w:rPr>
        </w:r>
        <w:r>
          <w:rPr>
            <w:webHidden/>
          </w:rPr>
          <w:fldChar w:fldCharType="separate"/>
        </w:r>
        <w:r>
          <w:rPr>
            <w:webHidden/>
          </w:rPr>
          <w:t>22</w:t>
        </w:r>
        <w:r>
          <w:rPr>
            <w:webHidden/>
          </w:rPr>
          <w:fldChar w:fldCharType="end"/>
        </w:r>
      </w:hyperlink>
    </w:p>
    <w:p w14:paraId="30BC91E1" w14:textId="7BE52146"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50" w:history="1">
        <w:r w:rsidRPr="00C14101">
          <w:rPr>
            <w:rStyle w:val="Hyperlink"/>
            <w:rFonts w:eastAsia="Times New Roman"/>
            <w:lang w:eastAsia="en-NZ"/>
          </w:rPr>
          <w:t>10. Priority Actions (MBIE 'Do')</w:t>
        </w:r>
        <w:r>
          <w:rPr>
            <w:webHidden/>
          </w:rPr>
          <w:tab/>
        </w:r>
        <w:r>
          <w:rPr>
            <w:webHidden/>
          </w:rPr>
          <w:fldChar w:fldCharType="begin"/>
        </w:r>
        <w:r>
          <w:rPr>
            <w:webHidden/>
          </w:rPr>
          <w:instrText xml:space="preserve"> PAGEREF _Toc233908850 \h </w:instrText>
        </w:r>
        <w:r>
          <w:rPr>
            <w:webHidden/>
          </w:rPr>
        </w:r>
        <w:r>
          <w:rPr>
            <w:webHidden/>
          </w:rPr>
          <w:fldChar w:fldCharType="separate"/>
        </w:r>
        <w:r>
          <w:rPr>
            <w:webHidden/>
          </w:rPr>
          <w:t>23</w:t>
        </w:r>
        <w:r>
          <w:rPr>
            <w:webHidden/>
          </w:rPr>
          <w:fldChar w:fldCharType="end"/>
        </w:r>
      </w:hyperlink>
    </w:p>
    <w:p w14:paraId="4D352267" w14:textId="7B6BCE08"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51" w:history="1">
        <w:r w:rsidRPr="00C14101">
          <w:rPr>
            <w:rStyle w:val="Hyperlink"/>
            <w:lang w:eastAsia="en-NZ"/>
          </w:rPr>
          <w:t>11. Conclusion</w:t>
        </w:r>
        <w:r>
          <w:rPr>
            <w:webHidden/>
          </w:rPr>
          <w:tab/>
        </w:r>
        <w:r>
          <w:rPr>
            <w:webHidden/>
          </w:rPr>
          <w:fldChar w:fldCharType="begin"/>
        </w:r>
        <w:r>
          <w:rPr>
            <w:webHidden/>
          </w:rPr>
          <w:instrText xml:space="preserve"> PAGEREF _Toc233908851 \h </w:instrText>
        </w:r>
        <w:r>
          <w:rPr>
            <w:webHidden/>
          </w:rPr>
        </w:r>
        <w:r>
          <w:rPr>
            <w:webHidden/>
          </w:rPr>
          <w:fldChar w:fldCharType="separate"/>
        </w:r>
        <w:r>
          <w:rPr>
            <w:webHidden/>
          </w:rPr>
          <w:t>24</w:t>
        </w:r>
        <w:r>
          <w:rPr>
            <w:webHidden/>
          </w:rPr>
          <w:fldChar w:fldCharType="end"/>
        </w:r>
      </w:hyperlink>
    </w:p>
    <w:p w14:paraId="0A75B611" w14:textId="393EC319"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52" w:history="1">
        <w:r w:rsidRPr="00C14101">
          <w:rPr>
            <w:rStyle w:val="Hyperlink"/>
            <w:lang w:eastAsia="en-NZ"/>
          </w:rPr>
          <w:t>Bibliography</w:t>
        </w:r>
        <w:r>
          <w:rPr>
            <w:webHidden/>
          </w:rPr>
          <w:tab/>
        </w:r>
        <w:r>
          <w:rPr>
            <w:webHidden/>
          </w:rPr>
          <w:fldChar w:fldCharType="begin"/>
        </w:r>
        <w:r>
          <w:rPr>
            <w:webHidden/>
          </w:rPr>
          <w:instrText xml:space="preserve"> PAGEREF _Toc233908852 \h </w:instrText>
        </w:r>
        <w:r>
          <w:rPr>
            <w:webHidden/>
          </w:rPr>
        </w:r>
        <w:r>
          <w:rPr>
            <w:webHidden/>
          </w:rPr>
          <w:fldChar w:fldCharType="separate"/>
        </w:r>
        <w:r>
          <w:rPr>
            <w:webHidden/>
          </w:rPr>
          <w:t>26</w:t>
        </w:r>
        <w:r>
          <w:rPr>
            <w:webHidden/>
          </w:rPr>
          <w:fldChar w:fldCharType="end"/>
        </w:r>
      </w:hyperlink>
    </w:p>
    <w:p w14:paraId="515E079B" w14:textId="60D66C30"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2087F486" w14:textId="20D81C00" w:rsidR="006A6424" w:rsidRPr="006A6424" w:rsidRDefault="006A6424" w:rsidP="006A6424">
      <w:pPr>
        <w:pStyle w:val="Heading2"/>
        <w:rPr>
          <w:rFonts w:eastAsia="Times New Roman"/>
          <w:lang w:eastAsia="en-NZ"/>
        </w:rPr>
      </w:pPr>
      <w:bookmarkStart w:id="3" w:name="_Toc233908841"/>
      <w:r w:rsidRPr="006A6424">
        <w:rPr>
          <w:rFonts w:eastAsia="Times New Roman"/>
          <w:lang w:eastAsia="en-NZ"/>
        </w:rPr>
        <w:lastRenderedPageBreak/>
        <w:t>1. Purpose</w:t>
      </w:r>
      <w:bookmarkEnd w:id="3"/>
    </w:p>
    <w:p w14:paraId="1ABC6F01" w14:textId="0B335C26" w:rsidR="006A6424" w:rsidRDefault="006A6424" w:rsidP="006A6424">
      <w:pPr>
        <w:rPr>
          <w:lang w:eastAsia="en-NZ"/>
        </w:rPr>
      </w:pPr>
      <w:r w:rsidRPr="006A6424">
        <w:rPr>
          <w:lang w:eastAsia="en-NZ"/>
        </w:rPr>
        <w:t>This paper sets out an internal MBIE position on spatial policy, with a primary focus on cities and metropolitan systems</w:t>
      </w:r>
      <w:r w:rsidR="005262F0">
        <w:rPr>
          <w:lang w:eastAsia="en-NZ"/>
        </w:rPr>
        <w:t>, and therefore Auckland</w:t>
      </w:r>
      <w:r w:rsidRPr="006A6424">
        <w:rPr>
          <w:lang w:eastAsia="en-NZ"/>
        </w:rPr>
        <w:t>.</w:t>
      </w:r>
    </w:p>
    <w:p w14:paraId="58BB383D" w14:textId="024676DF"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2B635D7C" w14:textId="0EFBDC31" w:rsidR="00FF2A7E" w:rsidRDefault="00FF2A7E" w:rsidP="006A6424">
      <w:pPr>
        <w:rPr>
          <w:lang w:eastAsia="en-NZ"/>
        </w:rPr>
      </w:pPr>
      <w:r>
        <w:rPr>
          <w:lang w:eastAsia="en-NZ"/>
        </w:rPr>
        <w:t xml:space="preserve">Section 5 sets out evidence for various policy problems and suboptimal outcomes in the New Zealand spatial system. This is a fairly dense section, and can be skipped by the impatient reader wanting to get to the fun stuff – I almost made it an annex. It’s really just there to prove I did my homework. </w:t>
      </w:r>
    </w:p>
    <w:p w14:paraId="4494ABCF" w14:textId="5965D1C8" w:rsidR="00FF2A7E" w:rsidRPr="006A6424" w:rsidRDefault="00FF2A7E" w:rsidP="006A6424">
      <w:pPr>
        <w:rPr>
          <w:lang w:eastAsia="en-NZ"/>
        </w:rPr>
      </w:pPr>
      <w:r>
        <w:rPr>
          <w:lang w:eastAsia="en-NZ"/>
        </w:rPr>
        <w:t xml:space="preserve">Sections 6, 7, </w:t>
      </w:r>
      <w:r w:rsidRPr="00FF2A7E">
        <w:rPr>
          <w:highlight w:val="yellow"/>
          <w:lang w:eastAsia="en-NZ"/>
        </w:rPr>
        <w:t>blah blah</w:t>
      </w:r>
    </w:p>
    <w:p w14:paraId="402B9A8E"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9FB474A" w14:textId="0677E227" w:rsidR="006A6424" w:rsidRPr="006A6424" w:rsidRDefault="006A6424" w:rsidP="006A6424">
      <w:pPr>
        <w:pStyle w:val="Heading2"/>
        <w:rPr>
          <w:rFonts w:eastAsia="Times New Roman"/>
          <w:lang w:eastAsia="en-NZ"/>
        </w:rPr>
      </w:pPr>
      <w:bookmarkStart w:id="4" w:name="_Toc233908842"/>
      <w:r w:rsidRPr="006A6424">
        <w:rPr>
          <w:rFonts w:eastAsia="Times New Roman"/>
          <w:lang w:eastAsia="en-NZ"/>
        </w:rPr>
        <w:lastRenderedPageBreak/>
        <w:t>2. What We Expect from Cities (Evidence Base)</w:t>
      </w:r>
      <w:bookmarkEnd w:id="4"/>
    </w:p>
    <w:p w14:paraId="47EAB820"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12A68017" w14:textId="55A65C2C"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188CAB61"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6797647B"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35F69E06"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51190FC4" w14:textId="5F0122B4"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497EA5E6"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3EFBC434" w14:textId="77777777" w:rsidR="00FF2A7E" w:rsidRPr="006A6424" w:rsidRDefault="00FF2A7E" w:rsidP="00FF2A7E">
      <w:pPr>
        <w:pStyle w:val="ListParagraph"/>
        <w:numPr>
          <w:ilvl w:val="0"/>
          <w:numId w:val="0"/>
        </w:numPr>
        <w:ind w:left="720"/>
        <w:rPr>
          <w:lang w:eastAsia="en-NZ"/>
        </w:rPr>
      </w:pPr>
    </w:p>
    <w:p w14:paraId="1AAF3E4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2EA918ED" w14:textId="77777777" w:rsidR="005A2AAB" w:rsidRPr="006A6424" w:rsidRDefault="005A2AAB" w:rsidP="005A2AAB">
      <w:pPr>
        <w:pStyle w:val="ListParagraph"/>
        <w:numPr>
          <w:ilvl w:val="0"/>
          <w:numId w:val="0"/>
        </w:numPr>
        <w:ind w:left="720"/>
        <w:rPr>
          <w:lang w:eastAsia="en-NZ"/>
        </w:rPr>
      </w:pPr>
    </w:p>
    <w:p w14:paraId="4FF4D57A" w14:textId="75E31176"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62A02BE8" w14:textId="77777777" w:rsidR="005A2AAB" w:rsidRPr="006A6424" w:rsidRDefault="005A2AAB" w:rsidP="005A2AAB">
      <w:pPr>
        <w:pStyle w:val="ListParagraph"/>
        <w:numPr>
          <w:ilvl w:val="0"/>
          <w:numId w:val="0"/>
        </w:numPr>
        <w:ind w:left="283"/>
        <w:rPr>
          <w:lang w:eastAsia="en-NZ"/>
        </w:rPr>
      </w:pPr>
    </w:p>
    <w:p w14:paraId="7EAE7F2F"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40BC7B5E" w14:textId="77777777" w:rsidR="005A2AAB" w:rsidRPr="006A6424" w:rsidRDefault="005A2AAB" w:rsidP="005A2AAB">
      <w:pPr>
        <w:pStyle w:val="ListParagraph"/>
        <w:numPr>
          <w:ilvl w:val="0"/>
          <w:numId w:val="0"/>
        </w:numPr>
        <w:ind w:left="283"/>
        <w:rPr>
          <w:lang w:eastAsia="en-NZ"/>
        </w:rPr>
      </w:pPr>
    </w:p>
    <w:p w14:paraId="0752346D" w14:textId="77777777" w:rsidR="006A6424" w:rsidRPr="005A2AAB" w:rsidRDefault="006A6424" w:rsidP="005A2AAB">
      <w:pPr>
        <w:pStyle w:val="ListParagraph"/>
        <w:numPr>
          <w:ilvl w:val="0"/>
          <w:numId w:val="27"/>
        </w:numPr>
        <w:rPr>
          <w:lang w:eastAsia="en-NZ"/>
        </w:rPr>
      </w:pPr>
      <w:r w:rsidRPr="006A6424">
        <w:rPr>
          <w:lang w:eastAsia="en-NZ"/>
        </w:rPr>
        <w:t>Firm competition and selection – denser markets increase competitive pressure, improving average firm quality. </w:t>
      </w:r>
      <w:r w:rsidRPr="005A2AAB">
        <w:rPr>
          <w:i/>
          <w:iCs/>
          <w:lang w:eastAsia="en-NZ"/>
        </w:rPr>
        <w:t>(</w:t>
      </w:r>
      <w:r w:rsidRPr="005A2AAB">
        <w:rPr>
          <w:i/>
          <w:iCs/>
          <w:highlight w:val="yellow"/>
          <w:lang w:eastAsia="en-NZ"/>
        </w:rPr>
        <w:t>citation needed</w:t>
      </w:r>
      <w:r w:rsidRPr="005A2AAB">
        <w:rPr>
          <w:i/>
          <w:iCs/>
          <w:lang w:eastAsia="en-NZ"/>
        </w:rPr>
        <w:t>)</w:t>
      </w:r>
    </w:p>
    <w:p w14:paraId="5437797F" w14:textId="77777777" w:rsidR="005A2AAB" w:rsidRPr="006A6424" w:rsidRDefault="005A2AAB" w:rsidP="005A2AAB">
      <w:pPr>
        <w:pStyle w:val="ListParagraph"/>
        <w:numPr>
          <w:ilvl w:val="0"/>
          <w:numId w:val="0"/>
        </w:numPr>
        <w:ind w:left="283"/>
        <w:rPr>
          <w:lang w:eastAsia="en-NZ"/>
        </w:rPr>
      </w:pPr>
    </w:p>
    <w:p w14:paraId="77B1E0EF" w14:textId="076E43CB"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E0F1886"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242CB582"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42A67233"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23BF432" w14:textId="4DA4B451" w:rsidR="006A6424" w:rsidRPr="00FF2A7E" w:rsidRDefault="006A6424" w:rsidP="00FF2A7E">
      <w:pPr>
        <w:pStyle w:val="Heading2"/>
      </w:pPr>
      <w:bookmarkStart w:id="5" w:name="_Toc233908843"/>
      <w:r w:rsidRPr="00FF2A7E">
        <w:lastRenderedPageBreak/>
        <w:t>3. Core Diagnosis: Growth, Capital Pressure, and Productivity</w:t>
      </w:r>
      <w:bookmarkEnd w:id="5"/>
    </w:p>
    <w:p w14:paraId="3114164E" w14:textId="77777777" w:rsidR="006A6424" w:rsidRPr="006A6424" w:rsidRDefault="006A6424" w:rsidP="006A6424">
      <w:pPr>
        <w:rPr>
          <w:lang w:eastAsia="en-NZ"/>
        </w:rPr>
      </w:pPr>
      <w:r w:rsidRPr="006A6424">
        <w:rPr>
          <w:lang w:eastAsia="en-NZ"/>
        </w:rPr>
        <w:t>New Zealand's productivity problem is, in part, a spatial allocation problem.</w:t>
      </w:r>
    </w:p>
    <w:p w14:paraId="6AA876A4"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5BDC5648" w14:textId="77777777" w:rsidR="006A6424" w:rsidRPr="006A6424" w:rsidRDefault="006A6424" w:rsidP="006A6424">
      <w:pPr>
        <w:rPr>
          <w:lang w:eastAsia="en-NZ"/>
        </w:rPr>
      </w:pPr>
      <w:r w:rsidRPr="006A6424">
        <w:rPr>
          <w:lang w:eastAsia="en-NZ"/>
        </w:rPr>
        <w:t>This can be understood as a sequence of empirically observable developments.</w:t>
      </w:r>
    </w:p>
    <w:p w14:paraId="2EE6E6CB" w14:textId="39B74E95"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4FCBD2EC" w14:textId="65CE84D1" w:rsidR="0080550B" w:rsidRDefault="006A6424" w:rsidP="006A6424">
      <w:pPr>
        <w:rPr>
          <w:lang w:eastAsia="en-NZ"/>
        </w:rPr>
      </w:pPr>
      <w:r w:rsidRPr="006A6424">
        <w:rPr>
          <w:lang w:eastAsia="en-NZ"/>
        </w:rPr>
        <w:t>New Zealand has experienced sustained population growth — 27.3% between 2006 and 2025, an increase of approximately 1.14 million people (Kānoa RD, 2026)</w:t>
      </w:r>
      <w:r w:rsidR="00FF2A7E">
        <w:rPr>
          <w:lang w:eastAsia="en-NZ"/>
        </w:rPr>
        <w:t>.</w:t>
      </w:r>
      <w:r w:rsidR="00FF2A7E" w:rsidRPr="00FF2A7E">
        <w:rPr>
          <w:lang w:eastAsia="en-NZ"/>
        </w:rPr>
        <w:t xml:space="preserve"> </w:t>
      </w:r>
      <w:r w:rsidR="00FF2A7E" w:rsidRPr="006A6424">
        <w:rPr>
          <w:lang w:eastAsia="en-NZ"/>
        </w:rPr>
        <w:t>This sustained growth rate differentiates New Zealand from many OECD peers, where population growth has slowed more markedly and is increasingly driven by ageing dynamics rather than migration.</w:t>
      </w:r>
    </w:p>
    <w:p w14:paraId="6C95E3D6" w14:textId="237B17A0"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47D0BA17" w14:textId="1BE6B6D0"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proofErr w:type="spellStart"/>
      <w:r w:rsidR="00FF2A7E">
        <w:t>defintions</w:t>
      </w:r>
      <w:proofErr w:type="spellEnd"/>
      <w:r w:rsidR="0080550B">
        <w:t>)</w:t>
      </w:r>
    </w:p>
    <w:p w14:paraId="72B1D845" w14:textId="18CB65F6"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F59205F" w14:textId="7E436FD4"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393B95FC" w14:textId="77777777" w:rsidR="006A6424" w:rsidRPr="006A6424" w:rsidRDefault="006A6424" w:rsidP="0080550B">
      <w:pPr>
        <w:rPr>
          <w:lang w:eastAsia="en-NZ"/>
        </w:rPr>
      </w:pPr>
      <w:r w:rsidRPr="006A6424">
        <w:rPr>
          <w:lang w:eastAsia="en-NZ"/>
        </w:rP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(Kānoa RD, 2026).</w:t>
      </w:r>
    </w:p>
    <w:p w14:paraId="6996DAF3" w14:textId="111CCEAF"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13AA7AC6" w14:textId="616B39D7" w:rsidR="006A6424" w:rsidRDefault="006A6424" w:rsidP="0080550B">
      <w:pPr>
        <w:pStyle w:val="Caption"/>
      </w:pPr>
      <w:r w:rsidRPr="006A6424">
        <w:t>Figure 2: Components of population growth (migration vs natural increase, 1990–present)</w:t>
      </w:r>
    </w:p>
    <w:p w14:paraId="314BEADA" w14:textId="22E4D823"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E34C3C4" w14:textId="31575F63"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1946F4C5" w14:textId="01D6AD15" w:rsidR="006A6424" w:rsidRPr="006A6424" w:rsidRDefault="006A6424" w:rsidP="0080550B">
      <w:pPr>
        <w:rPr>
          <w:lang w:eastAsia="en-NZ"/>
        </w:rPr>
      </w:pPr>
      <w:r w:rsidRPr="006A6424">
        <w:rPr>
          <w:lang w:eastAsia="en-NZ"/>
        </w:rPr>
        <w:t xml:space="preserve">The shift to migration-led growth resulted in a relatively rapid metropolitanisation of population growth. New Zealand urbanised, i.e. moved to towns rather than the countryside, around the same time as most comparator advanced economies but Auckland remained relatively small, with a </w:t>
      </w:r>
      <w:r w:rsidRPr="00AF0C1E">
        <w:rPr>
          <w:highlight w:val="yellow"/>
          <w:lang w:eastAsia="en-NZ"/>
        </w:rPr>
        <w:t xml:space="preserve">population of X, or </w:t>
      </w:r>
      <w:r w:rsidR="00AF0C1E">
        <w:rPr>
          <w:highlight w:val="yellow"/>
          <w:lang w:eastAsia="en-NZ"/>
        </w:rPr>
        <w:t>Y</w:t>
      </w:r>
      <w:r w:rsidRPr="00AF0C1E">
        <w:rPr>
          <w:highlight w:val="yellow"/>
          <w:lang w:eastAsia="en-NZ"/>
        </w:rPr>
        <w:t>% of the national population, in 1990</w:t>
      </w:r>
      <w:r w:rsidRPr="006A6424">
        <w:rPr>
          <w:lang w:eastAsia="en-NZ"/>
        </w:rPr>
        <w:t xml:space="preserve"> [</w:t>
      </w:r>
      <w:r w:rsidR="00AF0C1E" w:rsidRPr="00AF0C1E">
        <w:rPr>
          <w:highlight w:val="yellow"/>
          <w:lang w:eastAsia="en-NZ"/>
        </w:rPr>
        <w:t>reference needed</w:t>
      </w:r>
      <w:r w:rsidRPr="006A6424">
        <w:rPr>
          <w:lang w:eastAsia="en-NZ"/>
        </w:rPr>
        <w:t>]. However, once migration became the primary driver, growth became highly concentrated in metropolitan areas.</w:t>
      </w:r>
    </w:p>
    <w:p w14:paraId="5228F6BE" w14:textId="6CDC4E3C" w:rsidR="006A6424" w:rsidRDefault="006A6424" w:rsidP="0080550B">
      <w:pPr>
        <w:pStyle w:val="Caption"/>
      </w:pPr>
      <w:r w:rsidRPr="006A6424">
        <w:t xml:space="preserve">Figure 3: </w:t>
      </w:r>
      <w:r w:rsidR="0080550B">
        <w:t>% of New Zealanders living in cities</w:t>
      </w:r>
      <w:r w:rsidR="00AF0C1E">
        <w:t xml:space="preserve"> (World Bank)</w:t>
      </w:r>
    </w:p>
    <w:p w14:paraId="041C5560" w14:textId="0E1F0A13"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8EB450" w14:textId="3FE9832E"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65A81A02" w14:textId="77777777" w:rsidR="006A6424" w:rsidRPr="006A6424" w:rsidRDefault="006A6424" w:rsidP="00AF0C1E">
      <w:pPr>
        <w:rPr>
          <w:lang w:eastAsia="en-NZ"/>
        </w:rPr>
      </w:pPr>
      <w:r w:rsidRPr="006A6424">
        <w:rPr>
          <w:lang w:eastAsia="en-NZ"/>
        </w:rPr>
        <w:t xml:space="preserve">Population growth in New Zealand is highly uneven in its spatial incidence. Metro areas (especially Auckland) absorb most growth. Internal migration redistributes population domestically, but </w:t>
      </w:r>
      <w:r w:rsidRPr="006A6424">
        <w:rPr>
          <w:lang w:eastAsia="en-NZ"/>
        </w:rPr>
        <w:lastRenderedPageBreak/>
        <w:t>international migration continues to drive metro expansion. This creates persistent, place-specific demand shocks, rather than evenly distributed national growth.</w:t>
      </w:r>
    </w:p>
    <w:p w14:paraId="7CFA9A5C" w14:textId="03915B6A"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3500C13F" w14:textId="2B91630B"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902513E" w14:textId="6ED80DA8" w:rsidR="006A6424" w:rsidRDefault="006A6424" w:rsidP="00AF0C1E">
      <w:pPr>
        <w:pStyle w:val="Caption"/>
      </w:pPr>
      <w:r w:rsidRPr="00AF0C1E">
        <w:t>Figure 4: Infrastructure investment vs estimated demand / gap</w:t>
      </w:r>
      <w:r w:rsidR="00AF0C1E">
        <w:t xml:space="preserve"> (Te Waihanga 2026)</w:t>
      </w:r>
    </w:p>
    <w:p w14:paraId="0F4AED42" w14:textId="0933C4A9"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68F3C30A"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6A8E38DD" w14:textId="502313A4"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6D285524"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F5744A2" w14:textId="77777777" w:rsidR="006A6424" w:rsidRPr="00AF0C1E" w:rsidRDefault="006A6424" w:rsidP="006A6424">
      <w:pPr>
        <w:rPr>
          <w:lang w:eastAsia="en-NZ"/>
        </w:rPr>
      </w:pPr>
      <w:r w:rsidRPr="00AF0C1E">
        <w:rPr>
          <w:lang w:eastAsia="en-NZ"/>
        </w:rPr>
        <w:t>These pressures are not cyclical—they are systemic features of the growth model.</w:t>
      </w:r>
    </w:p>
    <w:p w14:paraId="11F0CCC0" w14:textId="06651AE5"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5DEBA9AE"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w:t>
      </w:r>
    </w:p>
    <w:p w14:paraId="34D96070"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738BFD16" w14:textId="66892599" w:rsidR="006A6424" w:rsidRPr="005A2AAB" w:rsidRDefault="0066185C" w:rsidP="00AF1867">
      <w:pPr>
        <w:pStyle w:val="Heading4"/>
      </w:pPr>
      <w:r>
        <w:t>3</w:t>
      </w:r>
      <w:r w:rsidR="006A6424" w:rsidRPr="005A2AAB">
        <w:t>.</w:t>
      </w:r>
      <w:r>
        <w:t>8</w:t>
      </w:r>
      <w:r w:rsidR="006A6424" w:rsidRPr="005A2AAB">
        <w:t xml:space="preserve"> These dynamics create binding constraints within metropolitan areas</w:t>
      </w:r>
    </w:p>
    <w:p w14:paraId="5C7924C9" w14:textId="77777777" w:rsidR="006A6424" w:rsidRPr="006A6424" w:rsidRDefault="006A6424" w:rsidP="0066185C">
      <w:pPr>
        <w:rPr>
          <w:lang w:eastAsia="en-NZ"/>
        </w:rPr>
      </w:pPr>
      <w:r w:rsidRPr="006A6424">
        <w:rPr>
          <w:lang w:eastAsia="en-NZ"/>
        </w:rPr>
        <w:t xml:space="preserve">The interaction of growth and capital pressure manifests spatially. Housing and land constraints limit access to productive locations (Ministry of Housing and Urban Development, 2024), transport constraints reduce effective city size and </w:t>
      </w:r>
      <w:r w:rsidRPr="006A6424">
        <w:rPr>
          <w:lang w:eastAsia="en-NZ"/>
        </w:rPr>
        <w:lastRenderedPageBreak/>
        <w:t>labour market depth (Collier et al., 2018), infrastructure provision reinforces inefficient urban form (World Bank, 2009), and firms face higher costs and reduced ability to scale.</w:t>
      </w:r>
    </w:p>
    <w:p w14:paraId="2E850D29" w14:textId="2C749B6B"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4156A514" w14:textId="068D818D"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5A2AAB">
        <w:rPr>
          <w:highlight w:val="yellow"/>
          <w:lang w:eastAsia="en-NZ"/>
        </w:rPr>
        <w:t>improve reference</w:t>
      </w:r>
      <w:r w:rsidRPr="006A6424">
        <w:rPr>
          <w:lang w:eastAsia="en-NZ"/>
        </w:rPr>
        <w:t>), firms cannot fully access deep labour markets (Maré &amp; Graham, 2009), and capital is concentrated in land and existing assets rather than innovation (Ministry of Housing and Urban Development, 2024; Winter et al., 2025).</w:t>
      </w:r>
    </w:p>
    <w:p w14:paraId="3407B92C" w14:textId="77777777" w:rsidR="006A6424" w:rsidRPr="006A6424" w:rsidRDefault="006A6424" w:rsidP="005A2AAB">
      <w:pPr>
        <w:rPr>
          <w:lang w:eastAsia="en-NZ"/>
        </w:rPr>
      </w:pPr>
      <w:r w:rsidRPr="006A6424">
        <w:rPr>
          <w:lang w:eastAsia="en-NZ"/>
        </w:rPr>
        <w:t>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low-productivity uses.</w:t>
      </w:r>
    </w:p>
    <w:p w14:paraId="27579CB6" w14:textId="1E5B3BD0"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723AFC8"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5F1B784D"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4A5E86AF"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BE30A59" w14:textId="0E7C1C83" w:rsidR="006A6424" w:rsidRPr="006A6424" w:rsidRDefault="006A6424" w:rsidP="005A2AAB">
      <w:pPr>
        <w:pStyle w:val="Heading2"/>
        <w:rPr>
          <w:rFonts w:eastAsia="Times New Roman"/>
          <w:lang w:eastAsia="en-NZ"/>
        </w:rPr>
      </w:pPr>
      <w:bookmarkStart w:id="6" w:name="_Toc233908844"/>
      <w:r w:rsidRPr="006A6424">
        <w:rPr>
          <w:rFonts w:eastAsia="Times New Roman"/>
          <w:lang w:eastAsia="en-NZ"/>
        </w:rPr>
        <w:lastRenderedPageBreak/>
        <w:t>4. Spatial Policy as a System Lever</w:t>
      </w:r>
      <w:bookmarkEnd w:id="6"/>
    </w:p>
    <w:p w14:paraId="1010D326"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708111F9"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229B6E0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3FD7C93F"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315072DB" w14:textId="77777777" w:rsidR="00920D09" w:rsidRPr="005A2AAB" w:rsidRDefault="00920D09" w:rsidP="00920D09">
      <w:pPr>
        <w:pStyle w:val="ListParagraph"/>
        <w:numPr>
          <w:ilvl w:val="0"/>
          <w:numId w:val="0"/>
        </w:numPr>
        <w:ind w:left="720"/>
        <w:rPr>
          <w:lang w:eastAsia="en-NZ"/>
        </w:rPr>
      </w:pPr>
    </w:p>
    <w:p w14:paraId="54504828"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6D2F12CD" w14:textId="77777777" w:rsidR="00920D09" w:rsidRPr="005A2AAB" w:rsidRDefault="00920D09" w:rsidP="00920D09">
      <w:pPr>
        <w:pStyle w:val="ListParagraph"/>
        <w:numPr>
          <w:ilvl w:val="0"/>
          <w:numId w:val="0"/>
        </w:numPr>
        <w:ind w:left="283"/>
        <w:rPr>
          <w:lang w:eastAsia="en-NZ"/>
        </w:rPr>
      </w:pPr>
    </w:p>
    <w:p w14:paraId="26ED114E"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E93E5F0" w14:textId="77777777" w:rsidR="00920D09" w:rsidRPr="005A2AAB" w:rsidRDefault="00920D09" w:rsidP="00920D09">
      <w:pPr>
        <w:pStyle w:val="ListParagraph"/>
        <w:numPr>
          <w:ilvl w:val="0"/>
          <w:numId w:val="0"/>
        </w:numPr>
        <w:ind w:left="283"/>
        <w:rPr>
          <w:lang w:eastAsia="en-NZ"/>
        </w:rPr>
      </w:pPr>
    </w:p>
    <w:p w14:paraId="6FBDB0F4"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60BF48FA" w14:textId="77777777" w:rsidR="00920D09" w:rsidRPr="005A2AAB" w:rsidRDefault="00920D09" w:rsidP="00920D09">
      <w:pPr>
        <w:pStyle w:val="ListParagraph"/>
        <w:numPr>
          <w:ilvl w:val="0"/>
          <w:numId w:val="0"/>
        </w:numPr>
        <w:ind w:left="283"/>
        <w:rPr>
          <w:lang w:eastAsia="en-NZ"/>
        </w:rPr>
      </w:pPr>
    </w:p>
    <w:p w14:paraId="5B3A75C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4129A103" w14:textId="77777777" w:rsidR="00920D09" w:rsidRPr="005A2AAB" w:rsidRDefault="00920D09" w:rsidP="00920D09">
      <w:pPr>
        <w:pStyle w:val="ListParagraph"/>
        <w:numPr>
          <w:ilvl w:val="0"/>
          <w:numId w:val="0"/>
        </w:numPr>
        <w:ind w:left="283"/>
        <w:rPr>
          <w:lang w:eastAsia="en-NZ"/>
        </w:rPr>
      </w:pPr>
    </w:p>
    <w:p w14:paraId="6CC4435A"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4058D68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2B2A8BDA"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1A43F460" w14:textId="77777777" w:rsidR="006A6424" w:rsidRPr="006A6424" w:rsidRDefault="006A6424" w:rsidP="00920D09">
      <w:pPr>
        <w:rPr>
          <w:lang w:eastAsia="en-NZ"/>
        </w:rPr>
      </w:pPr>
      <w:r w:rsidRPr="006A6424">
        <w:rPr>
          <w:lang w:eastAsia="en-NZ"/>
        </w:rPr>
        <w:t>The New Zealand evidence suggests the latter has often been the case. Growth has been accommodated, but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3C02D9F9"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3D9A65E5" w14:textId="77777777" w:rsidR="00920D09" w:rsidRDefault="00920D09" w:rsidP="00920D09">
      <w:pPr>
        <w:rPr>
          <w:lang w:eastAsia="en-NZ"/>
        </w:rPr>
      </w:pPr>
    </w:p>
    <w:p w14:paraId="3214E84D" w14:textId="77777777" w:rsidR="00920D09" w:rsidRPr="006A6424" w:rsidRDefault="00920D09" w:rsidP="00920D09">
      <w:pPr>
        <w:rPr>
          <w:lang w:eastAsia="en-NZ"/>
        </w:rPr>
      </w:pPr>
    </w:p>
    <w:p w14:paraId="5470E9CA" w14:textId="77777777" w:rsidR="006A6424" w:rsidRPr="006A6424" w:rsidRDefault="006A6424" w:rsidP="00920D09">
      <w:pPr>
        <w:pStyle w:val="Heading2"/>
        <w:rPr>
          <w:rFonts w:eastAsia="Times New Roman"/>
          <w:lang w:eastAsia="en-NZ"/>
        </w:rPr>
      </w:pPr>
      <w:bookmarkStart w:id="7" w:name="_Toc233908845"/>
      <w:r>
        <w:lastRenderedPageBreak/>
        <w:t>5. The New Zealand Spatial System — Evidence and Mechanisms</w:t>
      </w:r>
      <w:bookmarkEnd w:id="7"/>
    </w:p>
    <w:p w14:paraId="0AC5DD67"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0CEBADE5" w14:textId="2AF7B4C2"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487ADCD8" w14:textId="77777777" w:rsidR="006A6424" w:rsidRPr="006A6424" w:rsidRDefault="006A6424" w:rsidP="00920D09">
      <w:pPr>
        <w:rPr>
          <w:lang w:eastAsia="en-NZ"/>
        </w:rPr>
      </w:pPr>
      <w:r w:rsidRPr="006A6424">
        <w:rPr>
          <w:lang w:eastAsia="en-NZ"/>
        </w:rPr>
        <w:t>This pattern is consistent with international evidence: high-value, knowledge-intensive services tend to concentrate in large metropolitan areas where agglomeration benefits are strongest, including through knowledge spillovers associated with a more highly-educated workforce (Ahlfeldt &amp; Pietrostefani, 2019; Ahrend et al., 2015).</w:t>
      </w:r>
    </w:p>
    <w:p w14:paraId="2C771C38" w14:textId="1154C475"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0AA99FCD" w14:textId="77777777" w:rsidTr="002C3C6F">
        <w:tc>
          <w:tcPr>
            <w:tcW w:w="9622" w:type="dxa"/>
            <w:shd w:val="clear" w:color="auto" w:fill="D0EBB3"/>
            <w:tcMar>
              <w:top w:w="170" w:type="dxa"/>
              <w:left w:w="170" w:type="dxa"/>
              <w:bottom w:w="170" w:type="dxa"/>
              <w:right w:w="170" w:type="dxa"/>
            </w:tcMar>
          </w:tcPr>
          <w:p w14:paraId="60B884C1" w14:textId="7793F50B" w:rsidR="0066185C" w:rsidRPr="0066185C" w:rsidRDefault="0066185C" w:rsidP="00920D09">
            <w:pPr>
              <w:rPr>
                <w:b/>
                <w:bCs/>
                <w:lang w:eastAsia="en-NZ"/>
              </w:rPr>
            </w:pPr>
            <w:r>
              <w:rPr>
                <w:b/>
                <w:bCs/>
                <w:lang w:eastAsia="en-NZ"/>
              </w:rPr>
              <w:t>The Auckland Productivity Premium</w:t>
            </w:r>
          </w:p>
          <w:p w14:paraId="5265ACAB" w14:textId="7C0180D6" w:rsidR="0066185C" w:rsidRDefault="0066185C" w:rsidP="00920D09">
            <w:pPr>
              <w:rPr>
                <w:lang w:eastAsia="en-NZ"/>
              </w:rPr>
            </w:pPr>
            <w:r w:rsidRPr="006A6424">
              <w:rPr>
                <w:lang w:eastAsia="en-NZ"/>
              </w:rPr>
              <w:t>Calculating the productivity premium of Auckland as a city and comparing it to others is not an exact science, and depends on how you define the city (and the city to which you compare it), and the measure you use (e.g. GDP/capita, GDP/hour worked, &amp;c). However, enough repeat measures tell a similar story to be confident in Auckland's low premium.</w:t>
            </w:r>
          </w:p>
          <w:p w14:paraId="0E764E5C" w14:textId="664F4574"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63F050A0" w14:textId="15699498"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5F48E5ED" w14:textId="4F0EF954"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tc>
      </w:tr>
    </w:tbl>
    <w:p w14:paraId="0E1BDC45" w14:textId="77777777" w:rsidR="002C3C6F" w:rsidRPr="006A6424" w:rsidRDefault="002C3C6F" w:rsidP="00920D09">
      <w:pPr>
        <w:rPr>
          <w:lang w:eastAsia="en-NZ"/>
        </w:rPr>
      </w:pPr>
    </w:p>
    <w:p w14:paraId="516AB5B5" w14:textId="37A4B076"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there, but not realised. The indicative conclusion is that the issue is not insufficient concentration, but constraints on how that concentration functions.</w:t>
      </w:r>
    </w:p>
    <w:p w14:paraId="71D2BBB9" w14:textId="4412690C" w:rsidR="006A6424" w:rsidRP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land use, infrastructure, transport, governance, and capital allocation interact. Together, they prevent </w:t>
      </w:r>
      <w:r w:rsidRPr="006A6424">
        <w:rPr>
          <w:lang w:eastAsia="en-NZ"/>
        </w:rPr>
        <w:lastRenderedPageBreak/>
        <w:t>metropolitan areas from functioning as fully effective economic systems, and therefore limit the extent to which growth translates into productivity.</w:t>
      </w:r>
    </w:p>
    <w:p w14:paraId="3C78972D" w14:textId="485BE491"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794C73A2"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04FD095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7A5BE8E7"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pPr/>
      <w:r>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3302DCC1" w14:textId="77777777" w:rsidR="006A6424" w:rsidRP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0FDBB541"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7AC5299E" w14:textId="0D8A8E39"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78DA9CA3"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75B81E5C" w14:textId="77777777" w:rsidR="006A6424" w:rsidRPr="006A6424" w:rsidRDefault="006A6424" w:rsidP="003F57E3">
      <w:pPr>
        <w:rPr>
          <w:lang w:eastAsia="en-NZ"/>
        </w:rPr>
      </w:pPr>
      <w:r w:rsidRPr="006A6424">
        <w:rPr>
          <w:lang w:eastAsia="en-NZ"/>
        </w:rPr>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3371A715"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2A23AD9E" w14:textId="77777777" w:rsidR="006A6424" w:rsidRPr="006A6424" w:rsidRDefault="006A6424" w:rsidP="003F57E3">
      <w:pPr>
        <w:rPr>
          <w:lang w:eastAsia="en-NZ"/>
        </w:rPr>
      </w:pPr>
      <w:r w:rsidRPr="006A6424">
        <w:rPr>
          <w:lang w:eastAsia="en-NZ"/>
        </w:rPr>
        <w:lastRenderedPageBreak/>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35C849D6"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5FC55C80" w14:textId="1DEFCFD2"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317A7876"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426C182A"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7E7E02B" w14:textId="77777777" w:rsidR="006A6424" w:rsidRPr="006A6424"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258FB474" w14:textId="77777777" w:rsidR="006A6424" w:rsidRPr="006A6424" w:rsidRDefault="006A6424" w:rsidP="003F57E3">
      <w:pPr>
        <w:rPr>
          <w:lang w:eastAsia="en-NZ"/>
        </w:rPr>
      </w:pPr>
      <w:r w:rsidRPr="006A6424">
        <w:rPr>
          <w:lang w:eastAsia="en-NZ"/>
        </w:rPr>
        <w:t>This represents a direct constraint on productivity. Where transport systems do not support efficient movement across the city, increases in population do not translate into proportional increases in economic interaction. Instead, growth is absorbed into longer travel times and reduced accessibility, diminishing the returns to urban scale.</w:t>
      </w:r>
    </w:p>
    <w:p w14:paraId="150A9006"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5143ED67"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35F75D3D" w14:textId="3913159B"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6DC0B850" w14:textId="77777777" w:rsidR="006A6424" w:rsidRPr="006A6424" w:rsidRDefault="006A6424" w:rsidP="003F57E3">
      <w:pPr>
        <w:rPr>
          <w:lang w:eastAsia="en-NZ"/>
        </w:rPr>
      </w:pPr>
      <w:r w:rsidRPr="006A6424">
        <w:rPr>
          <w:lang w:eastAsia="en-NZ"/>
        </w:rPr>
        <w:t>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actually reach each other.</w:t>
      </w:r>
    </w:p>
    <w:p w14:paraId="156BB606" w14:textId="77777777" w:rsidR="006A6424" w:rsidRPr="006A6424" w:rsidRDefault="006A6424" w:rsidP="003F57E3">
      <w:pPr>
        <w:rPr>
          <w:lang w:eastAsia="en-NZ"/>
        </w:rPr>
      </w:pPr>
      <w:r w:rsidRPr="006A6424">
        <w:rPr>
          <w:lang w:eastAsia="en-NZ"/>
        </w:rPr>
        <w:t>Auckland's employment is heavily concentrated in and around the city centre and inner suburbs. This is consistent with the international evidence on sectoral concentration in primate cities, and with Auckland's role as New Zealand's primary financial, professional, and commercial hub. The consequence is that from the city centre, the vast majority of Auckland's jobs are accessible within a 45-minute journey. From peripheral suburbs, the same travel time unlocks only a small fraction of the city's total job market. </w:t>
      </w:r>
      <w:r w:rsidRPr="006A6424">
        <w:rPr>
          <w:i/>
          <w:iCs/>
          <w:lang w:eastAsia="en-NZ"/>
        </w:rPr>
        <w:t>(</w:t>
      </w:r>
      <w:r w:rsidRPr="003F57E3">
        <w:rPr>
          <w:i/>
          <w:iCs/>
          <w:highlight w:val="yellow"/>
          <w:lang w:eastAsia="en-NZ"/>
        </w:rPr>
        <w:t>citation needed</w:t>
      </w:r>
      <w:r w:rsidRPr="006A6424">
        <w:rPr>
          <w:i/>
          <w:iCs/>
          <w:lang w:eastAsia="en-NZ"/>
        </w:rPr>
        <w:t>)</w:t>
      </w:r>
    </w:p>
    <w:p w14:paraId="6032B974"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Ministry of Housing and Urban Development, 2024). Outer suburbs are not well served by rapid transit, and road congestion limits how far car-dependent workers can travel in a given </w:t>
      </w:r>
      <w:r w:rsidRPr="006A6424">
        <w:rPr>
          <w:lang w:eastAsia="en-NZ"/>
        </w:rPr>
        <w:lastRenderedPageBreak/>
        <w:t>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1501769A" w14:textId="77777777" w:rsidR="006A6424" w:rsidRPr="006A6424" w:rsidRDefault="006A6424" w:rsidP="003F57E3">
      <w:pPr>
        <w:rPr>
          <w:lang w:eastAsia="en-NZ"/>
        </w:rPr>
      </w:pPr>
      <w:r w:rsidRPr="006A6424">
        <w:rPr>
          <w:lang w:eastAsia="en-NZ"/>
        </w:rPr>
        <w:t>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1.7 million person labour market does not materialise at the outer edge of the urban area.</w:t>
      </w:r>
    </w:p>
    <w:p w14:paraId="742FB527"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pPr/>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654596BF"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39B507B6" w14:textId="505494ED"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70F5A14A" w14:textId="77777777" w:rsidR="006A6424" w:rsidRPr="006A6424" w:rsidRDefault="006A6424" w:rsidP="003F57E3">
      <w:pPr>
        <w:rPr>
          <w:lang w:eastAsia="en-NZ"/>
        </w:rPr>
      </w:pPr>
      <w:r w:rsidRPr="006A6424">
        <w:rPr>
          <w:lang w:eastAsia="en-NZ"/>
        </w:rPr>
        <w:t>Governance arrangements in New Zealand's spatial system have improved over time, but still create coordination challenges that affect how growth is translated into urban outcomes.</w:t>
      </w:r>
    </w:p>
    <w:p w14:paraId="1A397B5D"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2A3E4C6B"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3306701A"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19075703" w14:textId="77777777" w:rsidR="006A6424" w:rsidRPr="006A6424" w:rsidRDefault="006A6424" w:rsidP="003F57E3">
      <w:pPr>
        <w:rPr>
          <w:lang w:eastAsia="en-NZ"/>
        </w:rPr>
      </w:pPr>
      <w:r w:rsidRPr="006A6424">
        <w:rPr>
          <w:lang w:eastAsia="en-NZ"/>
        </w:rPr>
        <w:t xml:space="preserve">The result is not a failure of governance, but an incompletely integrated system. Improvements in institutional arrangements have reduced fragmentation, but the separation of key levers across </w:t>
      </w:r>
      <w:r w:rsidRPr="006A6424">
        <w:rPr>
          <w:lang w:eastAsia="en-NZ"/>
        </w:rPr>
        <w:lastRenderedPageBreak/>
        <w:t>different parts of the system continues to constrain how effectively growth is translated into coordinated spatial outcomes.</w:t>
      </w:r>
    </w:p>
    <w:p w14:paraId="49A1BF18" w14:textId="4CD433D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D2CCD9D"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1AD8EE55"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0F3BF4BF"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0A28E9E7"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5EA20454" w14:textId="77777777" w:rsidR="006A6424" w:rsidRPr="006A6424" w:rsidRDefault="006A6424" w:rsidP="00891B2B">
      <w:pPr>
        <w:rPr>
          <w:lang w:eastAsia="en-NZ"/>
        </w:rPr>
      </w:pPr>
      <w:r w:rsidRPr="006A6424">
        <w:rPr>
          <w:lang w:eastAsia="en-NZ"/>
        </w:rPr>
        <w:t>The result is not a simple shortage of capital, but a misallocation. Investment remains substantial in aggregate terms, but is persistently skewed toward accommodating growth and sustaining existing urban systems. This weakens capital deepening at the firm level and limits the capacity of the economy to translate growth into higher productivity.</w:t>
      </w:r>
    </w:p>
    <w:p w14:paraId="088CFA50"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05C9D353" w14:textId="70BAF9A7" w:rsidR="006A6424" w:rsidRPr="006A6424" w:rsidRDefault="00AF1867" w:rsidP="00AF1867">
      <w:pPr>
        <w:pStyle w:val="Heading4"/>
        <w:rPr>
          <w:rFonts w:eastAsia="Times New Roman"/>
          <w:lang w:eastAsia="en-NZ"/>
        </w:rPr>
      </w:pPr>
      <w:r>
        <w:rPr>
          <w:rFonts w:eastAsia="Times New Roman"/>
          <w:lang w:eastAsia="en-NZ"/>
        </w:rPr>
        <w:t xml:space="preserve">5.7 </w:t>
      </w:r>
      <w:r w:rsidR="006A6424" w:rsidRPr="006A6424">
        <w:rPr>
          <w:rFonts w:eastAsia="Times New Roman"/>
          <w:lang w:eastAsia="en-NZ"/>
        </w:rPr>
        <w:t>Weak secondary city system</w:t>
      </w:r>
    </w:p>
    <w:p w14:paraId="2ABCC037"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2626C623"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388C037C"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7A464C7F" w14:textId="6DE06EAE"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75F1974C" w14:textId="2F04CB1D" w:rsidR="006A6424" w:rsidRPr="006A6424" w:rsidRDefault="00AF1867" w:rsidP="00AF1867">
      <w:pPr>
        <w:pStyle w:val="Heading4"/>
        <w:rPr>
          <w:rFonts w:eastAsia="Times New Roman"/>
          <w:lang w:eastAsia="en-NZ"/>
        </w:rPr>
      </w:pPr>
      <w:r>
        <w:rPr>
          <w:rFonts w:eastAsia="Times New Roman"/>
          <w:lang w:eastAsia="en-NZ"/>
        </w:rPr>
        <w:lastRenderedPageBreak/>
        <w:t xml:space="preserve">5.8 </w:t>
      </w:r>
      <w:r w:rsidR="006A6424" w:rsidRPr="006A6424">
        <w:rPr>
          <w:rFonts w:eastAsia="Times New Roman"/>
          <w:lang w:eastAsia="en-NZ"/>
        </w:rPr>
        <w:t>Diverging regional dynamics</w:t>
      </w:r>
    </w:p>
    <w:p w14:paraId="504645DB" w14:textId="77777777" w:rsidR="006A6424" w:rsidRPr="006A6424" w:rsidRDefault="006A6424" w:rsidP="00920D09">
      <w:pPr>
        <w:rPr>
          <w:lang w:eastAsia="en-NZ"/>
        </w:rPr>
      </w:pPr>
      <w:r w:rsidRPr="006A6424">
        <w:rPr>
          <w:lang w:eastAsia="en-NZ"/>
        </w:rPr>
        <w:t>These dynamics contribute to increasingly divergent regional outcomes. Auckland continues to attract population and high-value activity, while smaller centres face thinner labour markets and more limited growth opportunities. Regionally concentrated industries in particular are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32F2B727"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14EAB67" w14:textId="77777777" w:rsidR="006A6424" w:rsidRPr="006A6424" w:rsidRDefault="006A6424" w:rsidP="00920D09">
      <w:pPr>
        <w:rPr>
          <w:lang w:eastAsia="en-NZ"/>
        </w:rPr>
      </w:pPr>
      <w:r w:rsidRPr="006A6424">
        <w:rPr>
          <w:lang w:eastAsia="en-NZ"/>
        </w:rPr>
        <w:t>This reinforces the central argument of the paper: improving national productivity does not require redistributing growth, but improving the performance of the metropolitan system through which that growth is delivered.</w:t>
      </w:r>
    </w:p>
    <w:p w14:paraId="2377124D" w14:textId="77777777" w:rsidR="00920D09" w:rsidRDefault="00920D09">
      <w:pPr>
        <w:spacing w:after="0"/>
        <w:rPr>
          <w:lang w:eastAsia="en-NZ"/>
        </w:rPr>
      </w:pPr>
      <w:r>
        <w:rPr>
          <w:lang w:eastAsia="en-NZ"/>
        </w:rPr>
        <w:br w:type="page"/>
      </w:r>
    </w:p>
    <w:p w14:paraId="236B82D7" w14:textId="78E1F6B0" w:rsidR="006A6424" w:rsidRPr="006A6424" w:rsidRDefault="006A6424" w:rsidP="003F57E3">
      <w:pPr>
        <w:pStyle w:val="Heading2"/>
        <w:rPr>
          <w:rFonts w:eastAsia="Times New Roman"/>
          <w:lang w:eastAsia="en-NZ"/>
        </w:rPr>
      </w:pPr>
      <w:bookmarkStart w:id="8" w:name="_Toc233908846"/>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8"/>
    </w:p>
    <w:p>
      <w:pPr/>
      <w:r>
        <w:t>This paper is somewhat to do with spatial policy and its implications for economic growth, but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pPr/>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pPr/>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w:t>
      </w:r>
    </w:p>
    <w:p>
      <w:pPr/>
      <w:r>
        <w:t>New Zealand's policy debate therefore often frames spatial choices as a trade-off between Auckland and the rest of the country. If Auckland gets something special, it has to come at the expense of the regions, and vice versa. This dichotomy framing is actively harmful to New Zealand, and has to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pPr/>
      <w:r>
        <w:t>When I began this work, one question that puzzled me at first was whether Auckland’s poor productivity performance was an Auckland problem, or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pPr/>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pPr/>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name ‘tangata whenua’; the indivisibility of iwi and rohe is a central part of this national character.</w:t>
      </w:r>
    </w:p>
    <w:p>
      <w:pPr/>
      <w:r>
        <w:t>A mature set of spatial policies would recognise all of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shared values.</w:t>
      </w:r>
    </w:p>
    <w:p>
      <w:pPr/>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16F15CDF" w14:textId="7942277F" w:rsidR="00AF1867" w:rsidRDefault="00AF1867" w:rsidP="00AF1867">
      <w:pPr>
        <w:pStyle w:val="Heading2"/>
        <w:rPr>
          <w:rFonts w:eastAsia="Times New Roman"/>
          <w:lang w:eastAsia="en-NZ"/>
        </w:rPr>
      </w:pPr>
      <w:bookmarkStart w:id="9" w:name="_Toc233908847"/>
      <w:bookmarkEnd w:id="9"/>
      <w:r>
        <w:t>7. New Zealand's Final Frontier</w:t>
      </w:r>
    </w:p>
    <w:p w14:paraId="4365300F" w14:textId="60CC4148" w:rsidR="00AF1867" w:rsidRDefault="00AF1867">
      <w:pPr>
        <w:spacing w:after="0"/>
        <w:rPr>
          <w:rFonts w:asciiTheme="majorHAnsi" w:eastAsia="Times New Roman" w:hAnsiTheme="majorHAnsi" w:cstheme="majorBidi"/>
          <w:b/>
          <w:sz w:val="32"/>
          <w:szCs w:val="32"/>
          <w:lang w:eastAsia="en-NZ"/>
        </w:rPr>
      </w:pPr>
      <w:r>
        <w:rPr>
          <w:rFonts w:eastAsia="Times New Roman"/>
          <w:lang w:eastAsia="en-NZ"/>
        </w:rPr>
        <w:br w:type="page"/>
      </w:r>
    </w:p>
    <w:p>
      <w:pPr/>
      <w:r>
        <w:t>The argument in this paper has so far focused on Auckland's weak productivity premium and the failure of New Zealand's metropolitan system to fully realise the benefits that economic theory predicts should arise from urban scale.</w:t>
      </w:r>
    </w:p>
    <w:p>
      <w:pPr/>
      <w:r>
        <w:t>A more provocative interpretation is possible.</w:t>
      </w:r>
    </w:p>
    <w:p>
      <w:pPr/>
      <w:r>
        <w:rPr>
          <w:b/>
        </w:rPr>
        <w:t>New Zealand's productivity problem is an Auckland frontier-firm problem.</w:t>
      </w:r>
    </w:p>
    <w:p>
      <w:pPr/>
      <w:r>
        <w:t>The Productivity Commission's inquiry into frontier firms (New Zealand Productivity Commission, 2021) identified two striking findings. First, New Zealand's frontier firms materially underperform their counterparts in comparable small advanced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small advanced economies. New Zealand's productivity challenge is therefore not simply that average firms underperform. It is that our frontier is weak.</w:t>
      </w:r>
    </w:p>
    <w:p>
      <w:pPr/>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pPr/>
      <w:r>
        <w:rPr>
          <w:i/>
        </w:rPr>
        <w:t>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industry, and enabling infrastructure and regulations.</w:t>
      </w:r>
      <w:r>
        <w:t xml:space="preserve"> (New Zealand Productivity Commission, 2021, p. 4)</w:t>
      </w:r>
    </w:p>
    <w:p>
      <w:pPr/>
      <w:r>
        <w:rPr>
          <w:i/>
        </w:rPr>
        <w:t>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particular industry.</w:t>
      </w:r>
      <w:r>
        <w:t xml:space="preserve"> (New Zealand Productivity Commission, 2021, p. 27)</w:t>
      </w:r>
    </w:p>
    <w:p>
      <w:pPr/>
      <w:r>
        <w:t>Viewed through a spatial lens, these are eye-opening descriptions. Almost every ingredient identified by the Productivity Commission is also an urban phenomenon.</w:t>
      </w:r>
    </w:p>
    <w:p>
      <w:pPr/>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pPr/>
      <w:r>
        <w:t>If this is true, then the frontier firm question becomes spatial. More specifically, in the New Zealand context it becomes metropolitan, and in New Zealand, metropolitan means Auckland.</w:t>
      </w:r>
    </w:p>
    <w:p>
      <w:pPr/>
      <w:r>
        <w:t>Auckland contains around one-third of the country's population, workforce and economic activity (Gluckman et al., 2022). It is the closest thing New Zealand has to the kind of metropolitan platform that successful small advanced economies use to generate globally competitive firms. If New Zealand is going to produce larger numbers of frontier firms, there is a strong likelihood that a disproportionate share of them will emerge from Auckland or depend on Auckland-based systems and networks to reach scale.</w:t>
      </w:r>
    </w:p>
    <w:p>
      <w:pPr/>
      <w:r>
        <w:t>This leads to a possible reinterpretation of Auckland's weak productivity performance.</w:t>
      </w:r>
    </w:p>
    <w:p>
      <w:pPr/>
      <w:r>
        <w:t>The conventional view is that Auckland is one part of a broader national productivity problem. An alternative view is that Auckland may be the mechanism through which that national productivity problem is expressed.</w:t>
      </w:r>
    </w:p>
    <w:p>
      <w:pPr/>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pPr/>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pPr/>
      <w:r>
        <w:t>Under this interpretation, Auckland's weak productivity premium is not simply a symptom of New Zealand's productivity problem. It is one of its causes.</w:t>
      </w:r>
    </w:p>
    <w:p>
      <w:pPr/>
      <w:r>
        <w:t>The implication is uncomfortable. New Zealand may not have a generalised productivity problem that happens to include Auckland. Instead, it may have an Auckland problem that is large enough to materially shape national productivity outcomes.</w:t>
      </w:r>
    </w:p>
    <w:p>
      <w:pPr/>
      <w:r>
        <w:t>This hypothesis remains speculative and requires further testing. The Productivity Commission does not make this argument directly. However, the logic is sufficiently compelling to warrant investigation. If frontier firms depend on metropolitan ecosystems, and Auckland is New Zealand's only metropolitan ecosystem of international scale, then the performance of Auckland is unlikely to be merely one productivity issue among many. It is the most important one.</w:t>
      </w:r>
    </w:p>
    <w:p>
      <w:pPr/>
      <w:r>
        <w:t>Under that interpretation, improving Auckland's performance is not principally a regional policy objective. It is a national productivity strategy.</w:t>
      </w:r>
    </w:p>
    <w:p w14:paraId="6F6C9C47" w14:textId="55BDAAD6" w:rsidR="006A6424" w:rsidRPr="006A6424" w:rsidRDefault="00AF1867" w:rsidP="003F57E3">
      <w:pPr>
        <w:pStyle w:val="Heading2"/>
        <w:rPr>
          <w:rFonts w:eastAsia="Times New Roman"/>
          <w:lang w:eastAsia="en-NZ"/>
        </w:rPr>
      </w:pPr>
      <w:bookmarkStart w:id="10" w:name="_Toc233908848"/>
      <w:r>
        <w:rPr>
          <w:rFonts w:eastAsia="Times New Roman"/>
          <w:lang w:eastAsia="en-NZ"/>
        </w:rPr>
        <w:lastRenderedPageBreak/>
        <w:t>8</w:t>
      </w:r>
      <w:r w:rsidR="006A6424" w:rsidRPr="006A6424">
        <w:rPr>
          <w:rFonts w:eastAsia="Times New Roman"/>
          <w:lang w:eastAsia="en-NZ"/>
        </w:rPr>
        <w:t>. Implications for Policy</w:t>
      </w:r>
      <w:bookmarkEnd w:id="10"/>
    </w:p>
    <w:p w14:paraId="2C79C472" w14:textId="1F30A36B" w:rsidR="004C2E47" w:rsidRDefault="004C2E47" w:rsidP="006A6424">
      <w:pPr>
        <w:rPr>
          <w:sz w:val="24"/>
          <w:szCs w:val="24"/>
          <w:lang w:eastAsia="en-NZ"/>
        </w:rPr>
      </w:pPr>
      <w:r>
        <w:rPr>
          <w:sz w:val="24"/>
          <w:szCs w:val="24"/>
          <w:lang w:eastAsia="en-NZ"/>
        </w:rPr>
        <w:t>SECTION IN DRAFT DO NOT TOUCH</w:t>
      </w:r>
    </w:p>
    <w:p w14:paraId="34B4389E" w14:textId="5AE208D5" w:rsidR="006A6424" w:rsidRPr="006A6424" w:rsidRDefault="006A6424" w:rsidP="006A6424">
      <w:pPr>
        <w:rPr>
          <w:sz w:val="24"/>
          <w:szCs w:val="24"/>
          <w:lang w:eastAsia="en-NZ"/>
        </w:rPr>
      </w:pPr>
      <w:r w:rsidRPr="006A6424">
        <w:rPr>
          <w:sz w:val="24"/>
          <w:szCs w:val="24"/>
          <w:lang w:eastAsia="en-NZ"/>
        </w:rPr>
        <w:t>Spatial incidence of national policy</w:t>
      </w:r>
    </w:p>
    <w:p w14:paraId="00ECE3BD" w14:textId="77777777" w:rsidR="006A6424" w:rsidRPr="006A6424" w:rsidRDefault="006A6424" w:rsidP="006A6424">
      <w:pPr>
        <w:rPr>
          <w:sz w:val="24"/>
          <w:szCs w:val="24"/>
          <w:lang w:eastAsia="en-NZ"/>
        </w:rPr>
      </w:pPr>
      <w:r w:rsidRPr="006A6424">
        <w:rPr>
          <w:sz w:val="24"/>
          <w:szCs w:val="24"/>
          <w:lang w:eastAsia="en-NZ"/>
        </w:rPr>
        <w:t>Growth does not pay for itself locally</w:t>
      </w:r>
    </w:p>
    <w:p w14:paraId="1AE97113" w14:textId="77777777" w:rsidR="006A6424" w:rsidRPr="006A6424" w:rsidRDefault="006A6424" w:rsidP="006A6424">
      <w:pPr>
        <w:rPr>
          <w:sz w:val="24"/>
          <w:szCs w:val="24"/>
          <w:lang w:eastAsia="en-NZ"/>
        </w:rPr>
      </w:pPr>
      <w:r w:rsidRPr="006A6424">
        <w:rPr>
          <w:sz w:val="24"/>
          <w:szCs w:val="24"/>
          <w:lang w:eastAsia="en-NZ"/>
        </w:rPr>
        <w:t>Fiscal and delivery constraints</w:t>
      </w:r>
    </w:p>
    <w:p w14:paraId="08A3AE37" w14:textId="77777777" w:rsidR="006A6424" w:rsidRPr="006A6424" w:rsidRDefault="006A6424" w:rsidP="006A6424">
      <w:pPr>
        <w:rPr>
          <w:sz w:val="24"/>
          <w:szCs w:val="24"/>
          <w:lang w:eastAsia="en-NZ"/>
        </w:rPr>
      </w:pPr>
      <w:r w:rsidRPr="006A6424">
        <w:rPr>
          <w:sz w:val="24"/>
          <w:szCs w:val="24"/>
          <w:lang w:eastAsia="en-NZ"/>
        </w:rPr>
        <w:t>Spatial policy as growth allocation</w:t>
      </w:r>
    </w:p>
    <w:p w14:paraId="0A5F1776" w14:textId="77777777" w:rsidR="006A6424" w:rsidRPr="006A6424" w:rsidRDefault="006A6424" w:rsidP="006A6424">
      <w:pPr>
        <w:rPr>
          <w:sz w:val="24"/>
          <w:szCs w:val="24"/>
          <w:lang w:eastAsia="en-NZ"/>
        </w:rPr>
      </w:pPr>
      <w:r w:rsidRPr="006A6424">
        <w:rPr>
          <w:sz w:val="24"/>
          <w:szCs w:val="24"/>
          <w:lang w:eastAsia="en-NZ"/>
        </w:rPr>
        <w:t>Many of the factors widely recognised as constraining New Zealand's productivity—including weak frontier firm performance (New Zealand Productivity Commission, 2021), slow technology diffusion, poor skill matching, and inefficient capital allocation—have well-established spatial dimensions. Population growth strengthens business performance in cities, but this is not matched by equivalent improvements in living conditions, reflecting a divergence between what attracts firms and what sustains households. (Preston et al., 2018)</w:t>
      </w:r>
    </w:p>
    <w:p w14:paraId="7D13D0C9" w14:textId="77777777" w:rsidR="006A6424" w:rsidRPr="006A6424" w:rsidRDefault="006A6424" w:rsidP="006A6424">
      <w:pPr>
        <w:rPr>
          <w:sz w:val="24"/>
          <w:szCs w:val="24"/>
          <w:lang w:eastAsia="en-NZ"/>
        </w:rPr>
      </w:pPr>
      <w:r w:rsidRPr="006A6424">
        <w:rPr>
          <w:sz w:val="24"/>
          <w:szCs w:val="24"/>
          <w:lang w:eastAsia="en-NZ"/>
        </w:rPr>
        <w:t>New Zealand exhibits many of the spatial conditions that are expected to generate these outcomes, including high housing costs in productive areas, constrained transport networks, and fragmented labour markets. Restrictive urban conditions compress real outcomes by simultaneously increasing housing costs and reducing wages, reinforcing the productivity impacts of spatial constraint. (Donovan, 2019)</w:t>
      </w:r>
    </w:p>
    <w:p w14:paraId="7C3D9914" w14:textId="77777777" w:rsidR="006A6424" w:rsidRPr="006A6424" w:rsidRDefault="006A6424" w:rsidP="006A6424">
      <w:pPr>
        <w:rPr>
          <w:sz w:val="24"/>
          <w:szCs w:val="24"/>
          <w:lang w:eastAsia="en-NZ"/>
        </w:rPr>
      </w:pPr>
      <w:r w:rsidRPr="006A6424">
        <w:rPr>
          <w:sz w:val="24"/>
          <w:szCs w:val="24"/>
          <w:lang w:eastAsia="en-NZ"/>
        </w:rPr>
        <w:t>While isolating the precise causal contribution of spatial factors is challenging,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w:t>
      </w:r>
    </w:p>
    <w:p w14:paraId="622685A1" w14:textId="77777777" w:rsidR="006A6424" w:rsidRPr="006A6424" w:rsidRDefault="006A6424" w:rsidP="006A6424">
      <w:pPr>
        <w:rPr>
          <w:sz w:val="24"/>
          <w:szCs w:val="24"/>
          <w:lang w:eastAsia="en-NZ"/>
        </w:rPr>
      </w:pPr>
      <w:r w:rsidRPr="006A6424">
        <w:rPr>
          <w:sz w:val="24"/>
          <w:szCs w:val="24"/>
          <w:lang w:eastAsia="en-NZ"/>
        </w:rPr>
        <w:t>In this context, spatial policy should be understood as central to improving national productivity outcomes. It is not necessary to fully resolve causal attribution before acting; the weight of evidence and the consistency of observed patterns justify a more deliberate and explicit approach to spatial policy. Policy levers with demonstrated effect include congestion pricing — Auckland modelling suggests time-of-use road charging could cut excess congestion delay by around 35% while reducing required capital investment by around 20% (Te Waihanga, 2026) — and productivity-focused support for non-tradeable, locally-serving businesses, which tends to produce more widely distributed regional benefits than sector- or place-specific interventions targeted at individual industries or regions (Coleman et al., 2019).</w:t>
      </w:r>
    </w:p>
    <w:p w14:paraId="7F08CD3D"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7AE16AF2" w14:textId="56F07A33" w:rsidR="006A6424" w:rsidRPr="006A6424" w:rsidRDefault="00AF1867" w:rsidP="004C2E47">
      <w:pPr>
        <w:pStyle w:val="Heading2"/>
        <w:rPr>
          <w:rFonts w:eastAsia="Times New Roman"/>
          <w:lang w:eastAsia="en-NZ"/>
        </w:rPr>
      </w:pPr>
      <w:bookmarkStart w:id="11" w:name="_Toc233908849"/>
      <w:r>
        <w:rPr>
          <w:rFonts w:eastAsia="Times New Roman"/>
          <w:lang w:eastAsia="en-NZ"/>
        </w:rPr>
        <w:lastRenderedPageBreak/>
        <w:t>9</w:t>
      </w:r>
      <w:r w:rsidR="006A6424" w:rsidRPr="006A6424">
        <w:rPr>
          <w:rFonts w:eastAsia="Times New Roman"/>
          <w:lang w:eastAsia="en-NZ"/>
        </w:rPr>
        <w:t>. Role of MBIE</w:t>
      </w:r>
      <w:bookmarkEnd w:id="11"/>
    </w:p>
    <w:p w14:paraId="34D0B09D" w14:textId="77777777" w:rsidR="006A6424" w:rsidRPr="006A6424" w:rsidRDefault="006A6424" w:rsidP="006A6424">
      <w:pPr>
        <w:rPr>
          <w:sz w:val="24"/>
          <w:szCs w:val="24"/>
          <w:lang w:eastAsia="en-NZ"/>
        </w:rPr>
      </w:pPr>
      <w:r w:rsidRPr="006A6424">
        <w:rPr>
          <w:sz w:val="24"/>
          <w:szCs w:val="24"/>
          <w:lang w:eastAsia="en-NZ"/>
        </w:rPr>
        <w:t>Economic analysis role</w:t>
      </w:r>
    </w:p>
    <w:p w14:paraId="451443B0" w14:textId="77777777" w:rsidR="006A6424" w:rsidRPr="006A6424" w:rsidRDefault="006A6424" w:rsidP="006A6424">
      <w:pPr>
        <w:rPr>
          <w:sz w:val="24"/>
          <w:szCs w:val="24"/>
          <w:lang w:eastAsia="en-NZ"/>
        </w:rPr>
      </w:pPr>
      <w:r w:rsidRPr="006A6424">
        <w:rPr>
          <w:sz w:val="24"/>
          <w:szCs w:val="24"/>
          <w:lang w:eastAsia="en-NZ"/>
        </w:rPr>
        <w:t>Investment and capital settings</w:t>
      </w:r>
    </w:p>
    <w:p w14:paraId="357589CF" w14:textId="77777777" w:rsidR="006A6424" w:rsidRPr="006A6424" w:rsidRDefault="006A6424" w:rsidP="006A6424">
      <w:pPr>
        <w:rPr>
          <w:sz w:val="24"/>
          <w:szCs w:val="24"/>
          <w:lang w:eastAsia="en-NZ"/>
        </w:rPr>
      </w:pPr>
      <w:r w:rsidRPr="006A6424">
        <w:rPr>
          <w:sz w:val="24"/>
          <w:szCs w:val="24"/>
          <w:lang w:eastAsia="en-NZ"/>
        </w:rPr>
        <w:t>Cross-system coordination</w:t>
      </w:r>
    </w:p>
    <w:p w14:paraId="6C2D059D"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79349FFD" w14:textId="21260DC5" w:rsidR="006A6424" w:rsidRPr="006A6424" w:rsidRDefault="00AF1867" w:rsidP="003B184F">
      <w:pPr>
        <w:pStyle w:val="Heading2"/>
        <w:rPr>
          <w:rFonts w:eastAsia="Times New Roman"/>
          <w:lang w:eastAsia="en-NZ"/>
        </w:rPr>
      </w:pPr>
      <w:bookmarkStart w:id="12" w:name="_Toc233908850"/>
      <w:r>
        <w:rPr>
          <w:rFonts w:eastAsia="Times New Roman"/>
          <w:lang w:eastAsia="en-NZ"/>
        </w:rPr>
        <w:lastRenderedPageBreak/>
        <w:t>10</w:t>
      </w:r>
      <w:r w:rsidR="006A6424" w:rsidRPr="006A6424">
        <w:rPr>
          <w:rFonts w:eastAsia="Times New Roman"/>
          <w:lang w:eastAsia="en-NZ"/>
        </w:rPr>
        <w:t>. Priority Actions (MBIE 'Do')</w:t>
      </w:r>
      <w:bookmarkEnd w:id="12"/>
    </w:p>
    <w:p w14:paraId="72EAAC49" w14:textId="77777777" w:rsidR="006A6424" w:rsidRPr="006A6424" w:rsidRDefault="006A6424" w:rsidP="006A6424">
      <w:pPr>
        <w:rPr>
          <w:sz w:val="24"/>
          <w:szCs w:val="24"/>
          <w:lang w:eastAsia="en-NZ"/>
        </w:rPr>
      </w:pPr>
      <w:r w:rsidRPr="006A6424">
        <w:rPr>
          <w:sz w:val="24"/>
          <w:szCs w:val="24"/>
          <w:lang w:eastAsia="en-NZ"/>
        </w:rPr>
        <w:t>3–5 specific actions, tied to system failures and MBIE levers.</w:t>
      </w:r>
    </w:p>
    <w:p w14:paraId="023EC8AA" w14:textId="77777777" w:rsidR="003B184F" w:rsidRDefault="003B184F">
      <w:pPr>
        <w:spacing w:after="0"/>
        <w:rPr>
          <w:rFonts w:asciiTheme="majorHAnsi" w:eastAsiaTheme="majorEastAsia" w:hAnsiTheme="majorHAnsi" w:cstheme="majorBidi"/>
          <w:b/>
          <w:sz w:val="32"/>
          <w:szCs w:val="32"/>
          <w:lang w:eastAsia="en-NZ"/>
        </w:rPr>
      </w:pPr>
      <w:r>
        <w:rPr>
          <w:lang w:eastAsia="en-NZ"/>
        </w:rPr>
        <w:br w:type="page"/>
      </w:r>
    </w:p>
    <w:p w14:paraId="2FE064A2" w14:textId="499F6050" w:rsidR="006A6424" w:rsidRPr="006A6424" w:rsidRDefault="006A6424" w:rsidP="003B184F">
      <w:pPr>
        <w:pStyle w:val="Heading2"/>
        <w:rPr>
          <w:lang w:eastAsia="en-NZ"/>
        </w:rPr>
      </w:pPr>
      <w:bookmarkStart w:id="13" w:name="_Toc233908851"/>
      <w:r w:rsidRPr="006A6424">
        <w:rPr>
          <w:lang w:eastAsia="en-NZ"/>
        </w:rPr>
        <w:t>11. Conclusion</w:t>
      </w:r>
      <w:bookmarkEnd w:id="13"/>
    </w:p>
    <w:p w14:paraId="4E8154EC" w14:textId="77777777" w:rsidR="006A6424" w:rsidRPr="006A6424" w:rsidRDefault="006A6424" w:rsidP="006A6424">
      <w:pPr>
        <w:rPr>
          <w:sz w:val="24"/>
          <w:szCs w:val="24"/>
          <w:lang w:eastAsia="en-NZ"/>
        </w:rPr>
      </w:pPr>
      <w:r w:rsidRPr="006A6424">
        <w:rPr>
          <w:sz w:val="24"/>
          <w:szCs w:val="24"/>
          <w:lang w:eastAsia="en-NZ"/>
        </w:rPr>
        <w:t>Spatial policy is a core determinant of productivity; metro performance is nationally binding.</w:t>
      </w:r>
    </w:p>
    <w:p w14:paraId="52A3B2CE" w14:textId="759C7309" w:rsidR="006A6424" w:rsidRPr="006A6424" w:rsidRDefault="006A6424" w:rsidP="006A6424">
      <w:pPr>
        <w:rPr>
          <w:sz w:val="24"/>
          <w:szCs w:val="24"/>
          <w:lang w:eastAsia="en-NZ"/>
        </w:rPr>
      </w:pPr>
    </w:p>
    <w:p w14:paraId="618EEDA9" w14:textId="77777777" w:rsidR="003B184F" w:rsidRDefault="003B184F">
      <w:pPr>
        <w:spacing w:after="0"/>
        <w:rPr>
          <w:lang w:eastAsia="en-NZ"/>
        </w:rPr>
      </w:pPr>
      <w:r>
        <w:rPr>
          <w:lang w:eastAsia="en-NZ"/>
        </w:rPr>
        <w:br w:type="page"/>
      </w:r>
    </w:p>
    <w:p w14:paraId="7A1633A1" w14:textId="055852D9" w:rsidR="003B184F" w:rsidRDefault="003B184F">
      <w:pPr>
        <w:spacing w:after="0"/>
        <w:rPr>
          <w:rFonts w:asciiTheme="majorHAnsi" w:eastAsiaTheme="majorEastAsia" w:hAnsiTheme="majorHAnsi" w:cstheme="majorBidi"/>
          <w:b/>
          <w:sz w:val="32"/>
          <w:szCs w:val="32"/>
          <w:lang w:eastAsia="en-NZ"/>
        </w:rPr>
      </w:pPr>
      <w:r>
        <w:rPr>
          <w:lang w:eastAsia="en-NZ"/>
        </w:rPr>
        <w:lastRenderedPageBreak/>
        <w:t xml:space="preserve">Annex One - </w:t>
      </w:r>
      <w:r>
        <w:rPr>
          <w:lang w:eastAsia="en-NZ"/>
        </w:rPr>
        <w:br w:type="page"/>
      </w:r>
    </w:p>
    <w:p w14:paraId="6D0F7734" w14:textId="3DA4E5F1" w:rsidR="006A6424" w:rsidRPr="006A6424" w:rsidRDefault="006A6424" w:rsidP="003B184F">
      <w:pPr>
        <w:pStyle w:val="Heading2"/>
        <w:rPr>
          <w:lang w:eastAsia="en-NZ"/>
        </w:rPr>
      </w:pPr>
      <w:bookmarkStart w:id="14" w:name="_Toc233908852"/>
      <w:r w:rsidRPr="006A6424">
        <w:rPr>
          <w:lang w:eastAsia="en-NZ"/>
        </w:rPr>
        <w:lastRenderedPageBreak/>
        <w:t>Bibliography</w:t>
      </w:r>
      <w:bookmarkEnd w:id="14"/>
    </w:p>
    <w:p w14:paraId="055CF517" w14:textId="77777777" w:rsidR="006A6424" w:rsidRPr="006A6424" w:rsidRDefault="006A6424" w:rsidP="006A6424">
      <w:pPr>
        <w:rPr>
          <w:sz w:val="24"/>
          <w:szCs w:val="24"/>
          <w:lang w:eastAsia="en-NZ"/>
        </w:rPr>
      </w:pPr>
      <w:r w:rsidRPr="006A6424">
        <w:rPr>
          <w:sz w:val="24"/>
          <w:szCs w:val="24"/>
          <w:lang w:eastAsia="en-NZ"/>
        </w:rPr>
        <w:t>Ahlfeldt, G.M. and Pietrostefani, E. (2019). The economic effects of density: A synthesis. </w:t>
      </w:r>
      <w:r w:rsidRPr="006A6424">
        <w:rPr>
          <w:i/>
          <w:iCs/>
          <w:sz w:val="24"/>
          <w:szCs w:val="24"/>
          <w:lang w:eastAsia="en-NZ"/>
        </w:rPr>
        <w:t>Journal of Urban Economics</w:t>
      </w:r>
      <w:r w:rsidRPr="006A6424">
        <w:rPr>
          <w:sz w:val="24"/>
          <w:szCs w:val="24"/>
          <w:lang w:eastAsia="en-NZ"/>
        </w:rPr>
        <w:t>, 111, 93–107.</w:t>
      </w:r>
    </w:p>
    <w:p w14:paraId="5A3315BF" w14:textId="77777777" w:rsidR="006A6424" w:rsidRPr="006A6424" w:rsidRDefault="006A6424" w:rsidP="006A6424">
      <w:pPr>
        <w:rPr>
          <w:sz w:val="24"/>
          <w:szCs w:val="24"/>
          <w:lang w:eastAsia="en-NZ"/>
        </w:rPr>
      </w:pPr>
      <w:r w:rsidRPr="006A6424">
        <w:rPr>
          <w:sz w:val="24"/>
          <w:szCs w:val="24"/>
          <w:lang w:eastAsia="en-NZ"/>
        </w:rPr>
        <w:t xml:space="preserve">Ahrend, R., </w:t>
      </w:r>
      <w:proofErr w:type="spellStart"/>
      <w:r w:rsidRPr="006A6424">
        <w:rPr>
          <w:sz w:val="24"/>
          <w:szCs w:val="24"/>
          <w:lang w:eastAsia="en-NZ"/>
        </w:rPr>
        <w:t>Farchy</w:t>
      </w:r>
      <w:proofErr w:type="spellEnd"/>
      <w:r w:rsidRPr="006A6424">
        <w:rPr>
          <w:sz w:val="24"/>
          <w:szCs w:val="24"/>
          <w:lang w:eastAsia="en-NZ"/>
        </w:rPr>
        <w:t>, E., Kaplanis, I. and Lembcke, A.C. (2015). </w:t>
      </w:r>
      <w:r w:rsidRPr="006A6424">
        <w:rPr>
          <w:i/>
          <w:iCs/>
          <w:sz w:val="24"/>
          <w:szCs w:val="24"/>
          <w:lang w:eastAsia="en-NZ"/>
        </w:rPr>
        <w:t>What Makes Cities More Productive? Agglomeration Economies and the Role of Urban Governance: Evidence from 5 OECD Countries</w:t>
      </w:r>
      <w:r w:rsidRPr="006A6424">
        <w:rPr>
          <w:sz w:val="24"/>
          <w:szCs w:val="24"/>
          <w:lang w:eastAsia="en-NZ"/>
        </w:rPr>
        <w:t>. SERC Discussion Paper 178. London: LSE Spatial Economics Research Centre.</w:t>
      </w:r>
    </w:p>
    <w:p w14:paraId="74D62889" w14:textId="77777777" w:rsidR="006A6424" w:rsidRPr="006A6424" w:rsidRDefault="006A6424" w:rsidP="006A6424">
      <w:pPr>
        <w:rPr>
          <w:sz w:val="24"/>
          <w:szCs w:val="24"/>
          <w:lang w:eastAsia="en-NZ"/>
        </w:rPr>
      </w:pPr>
      <w:r w:rsidRPr="006A6424">
        <w:rPr>
          <w:sz w:val="24"/>
          <w:szCs w:val="24"/>
          <w:lang w:eastAsia="en-NZ"/>
        </w:rPr>
        <w:t>Audretsch, D.B. and Feldman, M.P. (2004). Knowledge spillovers and the geography of innovation. In Henderson, J.V. and Thisse, J.-F. (eds.), </w:t>
      </w:r>
      <w:r w:rsidRPr="006A6424">
        <w:rPr>
          <w:i/>
          <w:iCs/>
          <w:sz w:val="24"/>
          <w:szCs w:val="24"/>
          <w:lang w:eastAsia="en-NZ"/>
        </w:rPr>
        <w:t>Handbook of Regional and Urban Economics</w:t>
      </w:r>
      <w:r w:rsidRPr="006A6424">
        <w:rPr>
          <w:sz w:val="24"/>
          <w:szCs w:val="24"/>
          <w:lang w:eastAsia="en-NZ"/>
        </w:rPr>
        <w:t>, vol. 4, pp. 2713–2739. Amsterdam: Elsevier.</w:t>
      </w:r>
    </w:p>
    <w:p w14:paraId="56DDFC0A" w14:textId="77777777" w:rsidR="006A6424" w:rsidRPr="006A6424" w:rsidRDefault="006A6424" w:rsidP="006A6424">
      <w:pPr>
        <w:rPr>
          <w:sz w:val="24"/>
          <w:szCs w:val="24"/>
          <w:lang w:eastAsia="en-NZ"/>
        </w:rPr>
      </w:pPr>
      <w:r w:rsidRPr="006A6424">
        <w:rPr>
          <w:sz w:val="24"/>
          <w:szCs w:val="24"/>
          <w:lang w:eastAsia="en-NZ"/>
        </w:rPr>
        <w:t>Blick, G. and Stewart, J. (2025). </w:t>
      </w:r>
      <w:r w:rsidRPr="006A6424">
        <w:rPr>
          <w:i/>
          <w:iCs/>
          <w:sz w:val="24"/>
          <w:szCs w:val="24"/>
          <w:lang w:eastAsia="en-NZ"/>
        </w:rPr>
        <w:t>Auckland Economic Quarterly: Boosting Auckland's Productivity — Drivers, Barriers, and Policy Directions for Impact</w:t>
      </w:r>
      <w:r w:rsidRPr="006A6424">
        <w:rPr>
          <w:sz w:val="24"/>
          <w:szCs w:val="24"/>
          <w:lang w:eastAsia="en-NZ"/>
        </w:rPr>
        <w:t>. Q1–Q2 2025. Auckland: Auckland Council Chief Economist Unit.</w:t>
      </w:r>
    </w:p>
    <w:p w14:paraId="1D1AF79B" w14:textId="77777777" w:rsidR="006A6424" w:rsidRPr="006A6424" w:rsidRDefault="006A6424" w:rsidP="006A6424">
      <w:pPr>
        <w:rPr>
          <w:sz w:val="24"/>
          <w:szCs w:val="24"/>
          <w:lang w:eastAsia="en-NZ"/>
        </w:rPr>
      </w:pPr>
      <w:r w:rsidRPr="006A6424">
        <w:rPr>
          <w:sz w:val="24"/>
          <w:szCs w:val="24"/>
          <w:lang w:eastAsia="en-NZ"/>
        </w:rPr>
        <w:t>Coleman, A., Maré, D.C. and Zheng, W. (2019). </w:t>
      </w:r>
      <w:r w:rsidRPr="006A6424">
        <w:rPr>
          <w:i/>
          <w:iCs/>
          <w:sz w:val="24"/>
          <w:szCs w:val="24"/>
          <w:lang w:eastAsia="en-NZ"/>
        </w:rPr>
        <w:t>New jobs, old jobs: the evolution of work in New Zealand's cities and towns</w:t>
      </w:r>
      <w:r w:rsidRPr="006A6424">
        <w:rPr>
          <w:sz w:val="24"/>
          <w:szCs w:val="24"/>
          <w:lang w:eastAsia="en-NZ"/>
        </w:rPr>
        <w:t>. Productivity Commission Working Paper 2019/1. Wellington: New Zealand Productivity Commission.</w:t>
      </w:r>
    </w:p>
    <w:p w14:paraId="2E99C555" w14:textId="77777777" w:rsidR="006A6424" w:rsidRPr="006A6424" w:rsidRDefault="006A6424" w:rsidP="006A6424">
      <w:pPr>
        <w:rPr>
          <w:sz w:val="24"/>
          <w:szCs w:val="24"/>
          <w:lang w:eastAsia="en-NZ"/>
        </w:rPr>
      </w:pPr>
      <w:r w:rsidRPr="006A6424">
        <w:rPr>
          <w:sz w:val="24"/>
          <w:szCs w:val="24"/>
          <w:lang w:eastAsia="en-NZ"/>
        </w:rPr>
        <w:t xml:space="preserve">Collier, P., Jones, P. and </w:t>
      </w:r>
      <w:proofErr w:type="spellStart"/>
      <w:r w:rsidRPr="006A6424">
        <w:rPr>
          <w:sz w:val="24"/>
          <w:szCs w:val="24"/>
          <w:lang w:eastAsia="en-NZ"/>
        </w:rPr>
        <w:t>Spijkerman</w:t>
      </w:r>
      <w:proofErr w:type="spellEnd"/>
      <w:r w:rsidRPr="006A6424">
        <w:rPr>
          <w:sz w:val="24"/>
          <w:szCs w:val="24"/>
          <w:lang w:eastAsia="en-NZ"/>
        </w:rPr>
        <w:t>, D. (2018). </w:t>
      </w:r>
      <w:r w:rsidRPr="006A6424">
        <w:rPr>
          <w:i/>
          <w:iCs/>
          <w:sz w:val="24"/>
          <w:szCs w:val="24"/>
          <w:lang w:eastAsia="en-NZ"/>
        </w:rPr>
        <w:t>Cities as Engines of Growth: Evidence from a New Global Sample of Cities</w:t>
      </w:r>
      <w:r w:rsidRPr="006A6424">
        <w:rPr>
          <w:sz w:val="24"/>
          <w:szCs w:val="24"/>
          <w:lang w:eastAsia="en-NZ"/>
        </w:rPr>
        <w:t>. Working paper, 28 March 2018. University of Oxford / World Bank Global Research Program on Spatial Development of Cities.</w:t>
      </w:r>
    </w:p>
    <w:p w14:paraId="5C34276B" w14:textId="77777777" w:rsidR="006A6424" w:rsidRPr="006A6424" w:rsidRDefault="006A6424" w:rsidP="006A6424">
      <w:pPr>
        <w:rPr>
          <w:sz w:val="24"/>
          <w:szCs w:val="24"/>
          <w:lang w:eastAsia="en-NZ"/>
        </w:rPr>
      </w:pPr>
      <w:r w:rsidRPr="006A6424">
        <w:rPr>
          <w:sz w:val="24"/>
          <w:szCs w:val="24"/>
          <w:lang w:eastAsia="en-NZ"/>
        </w:rPr>
        <w:t>Committee for Auckland, Deloitte and Auckland Council. (2025). </w:t>
      </w:r>
      <w:r w:rsidRPr="006A6424">
        <w:rPr>
          <w:i/>
          <w:iCs/>
          <w:sz w:val="24"/>
          <w:szCs w:val="24"/>
          <w:lang w:eastAsia="en-NZ"/>
        </w:rPr>
        <w:t xml:space="preserve">The State of the City 2025: Benchmarking </w:t>
      </w:r>
      <w:proofErr w:type="spellStart"/>
      <w:r w:rsidRPr="006A6424">
        <w:rPr>
          <w:i/>
          <w:iCs/>
          <w:sz w:val="24"/>
          <w:szCs w:val="24"/>
          <w:lang w:eastAsia="en-NZ"/>
        </w:rPr>
        <w:t>Tāmaki</w:t>
      </w:r>
      <w:proofErr w:type="spellEnd"/>
      <w:r w:rsidRPr="006A6424">
        <w:rPr>
          <w:i/>
          <w:iCs/>
          <w:sz w:val="24"/>
          <w:szCs w:val="24"/>
          <w:lang w:eastAsia="en-NZ"/>
        </w:rPr>
        <w:t xml:space="preserve"> Makaurau Auckland's international performance</w:t>
      </w:r>
      <w:r w:rsidRPr="006A6424">
        <w:rPr>
          <w:sz w:val="24"/>
          <w:szCs w:val="24"/>
          <w:lang w:eastAsia="en-NZ"/>
        </w:rPr>
        <w:t> (3rd ed.). Auckland: Committee for Auckland.</w:t>
      </w:r>
    </w:p>
    <w:p w14:paraId="57D91008" w14:textId="77777777" w:rsidR="006A6424" w:rsidRPr="006A6424" w:rsidRDefault="006A6424" w:rsidP="006A6424">
      <w:pPr>
        <w:rPr>
          <w:sz w:val="24"/>
          <w:szCs w:val="24"/>
          <w:lang w:eastAsia="en-NZ"/>
        </w:rPr>
      </w:pPr>
      <w:r w:rsidRPr="006A6424">
        <w:rPr>
          <w:sz w:val="24"/>
          <w:szCs w:val="24"/>
          <w:lang w:eastAsia="en-NZ"/>
        </w:rPr>
        <w:t>Donovan, S. (2019). </w:t>
      </w:r>
      <w:r w:rsidRPr="006A6424">
        <w:rPr>
          <w:i/>
          <w:iCs/>
          <w:sz w:val="24"/>
          <w:szCs w:val="24"/>
          <w:lang w:eastAsia="en-NZ"/>
        </w:rPr>
        <w:t>Triumph of the high-amenity city?</w:t>
      </w:r>
      <w:r w:rsidRPr="006A6424">
        <w:rPr>
          <w:sz w:val="24"/>
          <w:szCs w:val="24"/>
          <w:lang w:eastAsia="en-NZ"/>
        </w:rPr>
        <w:t> Presentation at Te Pūnaha Matatini, funded by NZ National Science Challenge 11 (Building Better Homes, Towns and Cities), 3 October 2019.</w:t>
      </w:r>
    </w:p>
    <w:p w14:paraId="3D48ECC8" w14:textId="77777777" w:rsidR="006A6424" w:rsidRPr="006A6424" w:rsidRDefault="006A6424" w:rsidP="006A6424">
      <w:pPr>
        <w:rPr>
          <w:sz w:val="24"/>
          <w:szCs w:val="24"/>
          <w:lang w:eastAsia="en-NZ"/>
        </w:rPr>
      </w:pPr>
      <w:r w:rsidRPr="006A6424">
        <w:rPr>
          <w:sz w:val="24"/>
          <w:szCs w:val="24"/>
          <w:lang w:val="fr-FR" w:eastAsia="en-NZ"/>
        </w:rPr>
        <w:t xml:space="preserve">Donovan, S., de </w:t>
      </w:r>
      <w:proofErr w:type="spellStart"/>
      <w:r w:rsidRPr="006A6424">
        <w:rPr>
          <w:sz w:val="24"/>
          <w:szCs w:val="24"/>
          <w:lang w:val="fr-FR" w:eastAsia="en-NZ"/>
        </w:rPr>
        <w:t>Graaff</w:t>
      </w:r>
      <w:proofErr w:type="spellEnd"/>
      <w:r w:rsidRPr="006A6424">
        <w:rPr>
          <w:sz w:val="24"/>
          <w:szCs w:val="24"/>
          <w:lang w:val="fr-FR" w:eastAsia="en-NZ"/>
        </w:rPr>
        <w:t>, T., de Groot, H.L.F. and Koopmans, C.C. (2021). </w:t>
      </w:r>
      <w:r w:rsidRPr="006A6424">
        <w:rPr>
          <w:i/>
          <w:iCs/>
          <w:sz w:val="24"/>
          <w:szCs w:val="24"/>
          <w:lang w:eastAsia="en-NZ"/>
        </w:rPr>
        <w:t>Unravelling urban advantages — A meta-analysis of agglomeration economies</w:t>
      </w:r>
      <w:r w:rsidRPr="006A6424">
        <w:rPr>
          <w:sz w:val="24"/>
          <w:szCs w:val="24"/>
          <w:lang w:eastAsia="en-NZ"/>
        </w:rPr>
        <w:t>. Tinbergen Institute Discussion Paper TI 2021-024/VIII. Amsterdam: Tinbergen Institute.</w:t>
      </w:r>
    </w:p>
    <w:p w14:paraId="31B08162" w14:textId="77777777" w:rsidR="006A6424" w:rsidRPr="006A6424" w:rsidRDefault="006A6424" w:rsidP="006A6424">
      <w:pPr>
        <w:rPr>
          <w:sz w:val="24"/>
          <w:szCs w:val="24"/>
          <w:lang w:eastAsia="en-NZ"/>
        </w:rPr>
      </w:pPr>
      <w:r w:rsidRPr="006A6424">
        <w:rPr>
          <w:sz w:val="24"/>
          <w:szCs w:val="24"/>
          <w:lang w:eastAsia="en-NZ"/>
        </w:rPr>
        <w:t>Donovan, S., de Graaff, T., de Groot, H.L.F., Grimes, A. and Maré, D.C. (2022). Cities with forking paths? Agglomeration economies in New Zealand 1976–2018. </w:t>
      </w:r>
      <w:r w:rsidRPr="006A6424">
        <w:rPr>
          <w:i/>
          <w:iCs/>
          <w:sz w:val="24"/>
          <w:szCs w:val="24"/>
          <w:lang w:eastAsia="en-NZ"/>
        </w:rPr>
        <w:t>Regional Science and Urban Economics</w:t>
      </w:r>
      <w:r w:rsidRPr="006A6424">
        <w:rPr>
          <w:sz w:val="24"/>
          <w:szCs w:val="24"/>
          <w:lang w:eastAsia="en-NZ"/>
        </w:rPr>
        <w:t>, 95, Article 103779.</w:t>
      </w:r>
    </w:p>
    <w:p w14:paraId="5B606670" w14:textId="77777777" w:rsidR="006A6424" w:rsidRPr="006A6424" w:rsidRDefault="006A6424" w:rsidP="006A6424">
      <w:pPr>
        <w:rPr>
          <w:sz w:val="24"/>
          <w:szCs w:val="24"/>
          <w:lang w:eastAsia="en-NZ"/>
        </w:rPr>
      </w:pPr>
      <w:r w:rsidRPr="006A6424">
        <w:rPr>
          <w:sz w:val="24"/>
          <w:szCs w:val="24"/>
          <w:lang w:eastAsia="en-NZ"/>
        </w:rPr>
        <w:t>Gluckman, P., Clyne, M. and Bardsley, A. (2022). </w:t>
      </w:r>
      <w:r w:rsidRPr="006A6424">
        <w:rPr>
          <w:i/>
          <w:iCs/>
          <w:sz w:val="24"/>
          <w:szCs w:val="24"/>
          <w:lang w:eastAsia="en-NZ"/>
        </w:rPr>
        <w:t xml:space="preserve">Reimagining </w:t>
      </w:r>
      <w:proofErr w:type="spellStart"/>
      <w:r w:rsidRPr="006A6424">
        <w:rPr>
          <w:i/>
          <w:iCs/>
          <w:sz w:val="24"/>
          <w:szCs w:val="24"/>
          <w:lang w:eastAsia="en-NZ"/>
        </w:rPr>
        <w:t>Tāmaki</w:t>
      </w:r>
      <w:proofErr w:type="spellEnd"/>
      <w:r w:rsidRPr="006A6424">
        <w:rPr>
          <w:i/>
          <w:iCs/>
          <w:sz w:val="24"/>
          <w:szCs w:val="24"/>
          <w:lang w:eastAsia="en-NZ"/>
        </w:rPr>
        <w:t xml:space="preserve"> Makaurau Auckland: Harnessing the Region's Potential</w:t>
      </w:r>
      <w:r w:rsidRPr="006A6424">
        <w:rPr>
          <w:sz w:val="24"/>
          <w:szCs w:val="24"/>
          <w:lang w:eastAsia="en-NZ"/>
        </w:rPr>
        <w:t>. Auckland: Koi Tū — The Centre for Informed Futures, University of Auckland.</w:t>
      </w:r>
    </w:p>
    <w:p w14:paraId="1C46CEBA" w14:textId="77777777" w:rsidR="006A6424" w:rsidRPr="006A6424" w:rsidRDefault="006A6424" w:rsidP="006A6424">
      <w:pPr>
        <w:rPr>
          <w:sz w:val="24"/>
          <w:szCs w:val="24"/>
          <w:lang w:eastAsia="en-NZ"/>
        </w:rPr>
      </w:pPr>
      <w:r w:rsidRPr="006A6424">
        <w:rPr>
          <w:sz w:val="24"/>
          <w:szCs w:val="24"/>
          <w:lang w:eastAsia="en-NZ"/>
        </w:rPr>
        <w:t>Jaffe, A.B., Trajtenberg, M. and Henderson, R. (1993). Geographic localization of knowledge spillovers as evidenced by patent citations. </w:t>
      </w:r>
      <w:r w:rsidRPr="006A6424">
        <w:rPr>
          <w:i/>
          <w:iCs/>
          <w:sz w:val="24"/>
          <w:szCs w:val="24"/>
          <w:lang w:eastAsia="en-NZ"/>
        </w:rPr>
        <w:t>Quarterly Journal of Economics</w:t>
      </w:r>
      <w:r w:rsidRPr="006A6424">
        <w:rPr>
          <w:sz w:val="24"/>
          <w:szCs w:val="24"/>
          <w:lang w:eastAsia="en-NZ"/>
        </w:rPr>
        <w:t>, 108(3), 577–598.</w:t>
      </w:r>
    </w:p>
    <w:p w14:paraId="63756898" w14:textId="77777777" w:rsidR="006A6424" w:rsidRPr="006A6424" w:rsidRDefault="006A6424" w:rsidP="006A6424">
      <w:pPr>
        <w:rPr>
          <w:sz w:val="24"/>
          <w:szCs w:val="24"/>
          <w:lang w:eastAsia="en-NZ"/>
        </w:rPr>
      </w:pPr>
      <w:r w:rsidRPr="006A6424">
        <w:rPr>
          <w:sz w:val="24"/>
          <w:szCs w:val="24"/>
          <w:lang w:eastAsia="en-NZ"/>
        </w:rPr>
        <w:t>Javed, N., Power, I. and Richardson, A. (2026). </w:t>
      </w:r>
      <w:r w:rsidRPr="006A6424">
        <w:rPr>
          <w:i/>
          <w:iCs/>
          <w:sz w:val="24"/>
          <w:szCs w:val="24"/>
          <w:lang w:eastAsia="en-NZ"/>
        </w:rPr>
        <w:t>Migration and the New Zealand economy: Evidence from sign-restricted SVARs</w:t>
      </w:r>
      <w:r w:rsidRPr="006A6424">
        <w:rPr>
          <w:sz w:val="24"/>
          <w:szCs w:val="24"/>
          <w:lang w:eastAsia="en-NZ"/>
        </w:rPr>
        <w:t>. Reserve Bank of New Zealand Discussion Paper DP2026-04.</w:t>
      </w:r>
    </w:p>
    <w:p w14:paraId="2A3A83CF" w14:textId="77777777" w:rsidR="006A6424" w:rsidRPr="006A6424" w:rsidRDefault="006A6424" w:rsidP="006A6424">
      <w:pPr>
        <w:rPr>
          <w:sz w:val="24"/>
          <w:szCs w:val="24"/>
          <w:lang w:eastAsia="en-NZ"/>
        </w:rPr>
      </w:pPr>
      <w:r w:rsidRPr="006A6424">
        <w:rPr>
          <w:sz w:val="24"/>
          <w:szCs w:val="24"/>
          <w:lang w:eastAsia="en-NZ"/>
        </w:rPr>
        <w:lastRenderedPageBreak/>
        <w:t>Kānoa RD. (2026, February). </w:t>
      </w:r>
      <w:r w:rsidRPr="006A6424">
        <w:rPr>
          <w:i/>
          <w:iCs/>
          <w:sz w:val="24"/>
          <w:szCs w:val="24"/>
          <w:lang w:eastAsia="en-NZ"/>
        </w:rPr>
        <w:t>Changes in population across Aotearoa/New Zealand</w:t>
      </w:r>
      <w:r w:rsidRPr="006A6424">
        <w:rPr>
          <w:sz w:val="24"/>
          <w:szCs w:val="24"/>
          <w:lang w:eastAsia="en-NZ"/>
        </w:rPr>
        <w:t>. Kānoa — Regional Economic Development &amp; Investment Unit, Ministry of Business, Innovation &amp; Employment. Internal presentation.</w:t>
      </w:r>
    </w:p>
    <w:p w14:paraId="21DF67F4" w14:textId="77777777" w:rsidR="006A6424" w:rsidRPr="006A6424" w:rsidRDefault="006A6424" w:rsidP="006A6424">
      <w:pPr>
        <w:rPr>
          <w:sz w:val="24"/>
          <w:szCs w:val="24"/>
          <w:lang w:eastAsia="en-NZ"/>
        </w:rPr>
      </w:pPr>
      <w:r w:rsidRPr="006A6424">
        <w:rPr>
          <w:sz w:val="24"/>
          <w:szCs w:val="24"/>
          <w:lang w:eastAsia="en-NZ"/>
        </w:rPr>
        <w:t xml:space="preserve">Lall, S.V., </w:t>
      </w:r>
      <w:proofErr w:type="spellStart"/>
      <w:r w:rsidRPr="006A6424">
        <w:rPr>
          <w:sz w:val="24"/>
          <w:szCs w:val="24"/>
          <w:lang w:eastAsia="en-NZ"/>
        </w:rPr>
        <w:t>Lebrand</w:t>
      </w:r>
      <w:proofErr w:type="spellEnd"/>
      <w:r w:rsidRPr="006A6424">
        <w:rPr>
          <w:sz w:val="24"/>
          <w:szCs w:val="24"/>
          <w:lang w:eastAsia="en-NZ"/>
        </w:rPr>
        <w:t>, M., Park, H.G., Sturm, D. and Venables, A.J. (2021). </w:t>
      </w:r>
      <w:r w:rsidRPr="006A6424">
        <w:rPr>
          <w:i/>
          <w:iCs/>
          <w:sz w:val="24"/>
          <w:szCs w:val="24"/>
          <w:lang w:eastAsia="en-NZ"/>
        </w:rPr>
        <w:t>Pancakes to Pyramids: City Form to Promote Sustainable Growth</w:t>
      </w:r>
      <w:r w:rsidRPr="006A6424">
        <w:rPr>
          <w:sz w:val="24"/>
          <w:szCs w:val="24"/>
          <w:lang w:eastAsia="en-NZ"/>
        </w:rPr>
        <w:t>. Washington, DC: World Bank.</w:t>
      </w:r>
    </w:p>
    <w:p w14:paraId="12A3C79F" w14:textId="77777777" w:rsidR="006A6424" w:rsidRPr="006A6424" w:rsidRDefault="006A6424" w:rsidP="006A6424">
      <w:pPr>
        <w:rPr>
          <w:sz w:val="24"/>
          <w:szCs w:val="24"/>
          <w:lang w:eastAsia="en-NZ"/>
        </w:rPr>
      </w:pPr>
      <w:r w:rsidRPr="006A6424">
        <w:rPr>
          <w:sz w:val="24"/>
          <w:szCs w:val="24"/>
          <w:lang w:eastAsia="en-NZ"/>
        </w:rPr>
        <w:t>Li, Y.A. (2014). Borders and distance in knowledge spillovers: Dying over time or dying with age? Evidence from patent citations. </w:t>
      </w:r>
      <w:r w:rsidRPr="006A6424">
        <w:rPr>
          <w:i/>
          <w:iCs/>
          <w:sz w:val="24"/>
          <w:szCs w:val="24"/>
          <w:lang w:eastAsia="en-NZ"/>
        </w:rPr>
        <w:t>European Economic Review</w:t>
      </w:r>
      <w:r w:rsidRPr="006A6424">
        <w:rPr>
          <w:sz w:val="24"/>
          <w:szCs w:val="24"/>
          <w:lang w:eastAsia="en-NZ"/>
        </w:rPr>
        <w:t>, 71, 152–172.</w:t>
      </w:r>
    </w:p>
    <w:p w14:paraId="302DD948" w14:textId="77777777" w:rsidR="006A6424" w:rsidRPr="006A6424" w:rsidRDefault="006A6424" w:rsidP="006A6424">
      <w:pPr>
        <w:rPr>
          <w:sz w:val="24"/>
          <w:szCs w:val="24"/>
          <w:lang w:eastAsia="en-NZ"/>
        </w:rPr>
      </w:pPr>
      <w:r w:rsidRPr="006A6424">
        <w:rPr>
          <w:sz w:val="24"/>
          <w:szCs w:val="24"/>
          <w:lang w:eastAsia="en-NZ"/>
        </w:rPr>
        <w:t>Maré, D.C. and Graham, D.J. (2009). </w:t>
      </w:r>
      <w:r w:rsidRPr="006A6424">
        <w:rPr>
          <w:i/>
          <w:iCs/>
          <w:sz w:val="24"/>
          <w:szCs w:val="24"/>
          <w:lang w:eastAsia="en-NZ"/>
        </w:rPr>
        <w:t>Agglomeration Elasticities in New Zealand</w:t>
      </w:r>
      <w:r w:rsidRPr="006A6424">
        <w:rPr>
          <w:sz w:val="24"/>
          <w:szCs w:val="24"/>
          <w:lang w:eastAsia="en-NZ"/>
        </w:rPr>
        <w:t>. Motu Working Paper 09-06 / NZ Transport Agency Research Report 376. Wellington: Motu Economic and Public Policy Research.</w:t>
      </w:r>
    </w:p>
    <w:p w14:paraId="69F573AC" w14:textId="77777777" w:rsidR="006A6424" w:rsidRPr="006A6424" w:rsidRDefault="006A6424" w:rsidP="006A6424">
      <w:pPr>
        <w:rPr>
          <w:sz w:val="24"/>
          <w:szCs w:val="24"/>
          <w:lang w:eastAsia="en-NZ"/>
        </w:rPr>
      </w:pPr>
      <w:r w:rsidRPr="006A6424">
        <w:rPr>
          <w:sz w:val="24"/>
          <w:szCs w:val="24"/>
          <w:lang w:eastAsia="en-NZ"/>
        </w:rPr>
        <w:t>Ministry of Housing and Urban Development. (2024). </w:t>
      </w:r>
      <w:r w:rsidRPr="006A6424">
        <w:rPr>
          <w:i/>
          <w:iCs/>
          <w:sz w:val="24"/>
          <w:szCs w:val="24"/>
          <w:lang w:eastAsia="en-NZ"/>
        </w:rPr>
        <w:t>Research on housing as an enabler of economic growth and productivity</w:t>
      </w:r>
      <w:r w:rsidRPr="006A6424">
        <w:rPr>
          <w:sz w:val="24"/>
          <w:szCs w:val="24"/>
          <w:lang w:eastAsia="en-NZ"/>
        </w:rPr>
        <w:t> (Aide-memoire HUD2024-003621, 8 March 2024). Wellington: New Zealand Government.</w:t>
      </w:r>
    </w:p>
    <w:p w14:paraId="0863897F" w14:textId="77777777" w:rsidR="006A6424" w:rsidRPr="006A6424" w:rsidRDefault="006A6424" w:rsidP="006A6424">
      <w:pPr>
        <w:rPr>
          <w:sz w:val="24"/>
          <w:szCs w:val="24"/>
          <w:lang w:eastAsia="en-NZ"/>
        </w:rPr>
      </w:pPr>
      <w:r w:rsidRPr="006A6424">
        <w:rPr>
          <w:sz w:val="24"/>
          <w:szCs w:val="24"/>
          <w:lang w:eastAsia="en-NZ"/>
        </w:rPr>
        <w:t>New Zealand Government. (2026, June). </w:t>
      </w:r>
      <w:r w:rsidRPr="006A6424">
        <w:rPr>
          <w:i/>
          <w:iCs/>
          <w:sz w:val="24"/>
          <w:szCs w:val="24"/>
          <w:lang w:eastAsia="en-NZ"/>
        </w:rPr>
        <w:t>Government Response to the National Infrastructure Plan 2026</w:t>
      </w:r>
      <w:r w:rsidRPr="006A6424">
        <w:rPr>
          <w:sz w:val="24"/>
          <w:szCs w:val="24"/>
          <w:lang w:eastAsia="en-NZ"/>
        </w:rPr>
        <w:t> (J.23). Wellington: New Zealand Treasury.</w:t>
      </w:r>
    </w:p>
    <w:p w14:paraId="6D9E71D9" w14:textId="77777777" w:rsidR="006A6424" w:rsidRPr="006A6424" w:rsidRDefault="006A6424" w:rsidP="006A6424">
      <w:pPr>
        <w:rPr>
          <w:sz w:val="24"/>
          <w:szCs w:val="24"/>
          <w:lang w:eastAsia="en-NZ"/>
        </w:rPr>
      </w:pPr>
      <w:r w:rsidRPr="006A6424">
        <w:rPr>
          <w:sz w:val="24"/>
          <w:szCs w:val="24"/>
          <w:lang w:eastAsia="en-NZ"/>
        </w:rPr>
        <w:t>New Zealand Infrastructure Commission, Te Waihanga. (2022, March). </w:t>
      </w:r>
      <w:r w:rsidRPr="006A6424">
        <w:rPr>
          <w:i/>
          <w:iCs/>
          <w:sz w:val="24"/>
          <w:szCs w:val="24"/>
          <w:lang w:eastAsia="en-NZ"/>
        </w:rPr>
        <w:t>The decline of housing supply in New Zealand: Why it happened and how to reverse it</w:t>
      </w:r>
      <w:r w:rsidRPr="006A6424">
        <w:rPr>
          <w:sz w:val="24"/>
          <w:szCs w:val="24"/>
          <w:lang w:eastAsia="en-NZ"/>
        </w:rPr>
        <w:t>. Te Waihanga Research Insights series. Wellington: New Zealand Infrastructure Commission.</w:t>
      </w:r>
    </w:p>
    <w:p w14:paraId="7282922E" w14:textId="77777777" w:rsidR="006A6424" w:rsidRPr="006A6424" w:rsidRDefault="006A6424" w:rsidP="006A6424">
      <w:pPr>
        <w:rPr>
          <w:sz w:val="24"/>
          <w:szCs w:val="24"/>
          <w:lang w:eastAsia="en-NZ"/>
        </w:rPr>
      </w:pPr>
      <w:r w:rsidRPr="006A6424">
        <w:rPr>
          <w:sz w:val="24"/>
          <w:szCs w:val="24"/>
          <w:lang w:val="fr-FR" w:eastAsia="en-NZ"/>
        </w:rPr>
        <w:t>New Zealand Infrastructure Commission, Te Waihanga. (2026). </w:t>
      </w:r>
      <w:r w:rsidRPr="006A6424">
        <w:rPr>
          <w:i/>
          <w:iCs/>
          <w:sz w:val="24"/>
          <w:szCs w:val="24"/>
          <w:lang w:val="fr-FR" w:eastAsia="en-NZ"/>
        </w:rPr>
        <w:t>National Infrastructure Plan 2026 / Mahere Tūāhanga ā-Motu</w:t>
      </w:r>
      <w:r w:rsidRPr="006A6424">
        <w:rPr>
          <w:sz w:val="24"/>
          <w:szCs w:val="24"/>
          <w:lang w:val="fr-FR" w:eastAsia="en-NZ"/>
        </w:rPr>
        <w:t xml:space="preserve">. </w:t>
      </w:r>
      <w:r w:rsidRPr="006A6424">
        <w:rPr>
          <w:sz w:val="24"/>
          <w:szCs w:val="24"/>
          <w:lang w:eastAsia="en-NZ"/>
        </w:rPr>
        <w:t>ISBN 978-1-0671325-0-7. Wellington: New Zealand Infrastructure Commission.</w:t>
      </w:r>
    </w:p>
    <w:p w14:paraId="162EF4C3" w14:textId="77777777" w:rsidR="006A6424" w:rsidRPr="006A6424" w:rsidRDefault="006A6424" w:rsidP="006A6424">
      <w:pPr>
        <w:rPr>
          <w:sz w:val="24"/>
          <w:szCs w:val="24"/>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162EF4C3" w14:textId="77777777" w:rsidR="006A6424" w:rsidRPr="006A6424" w:rsidRDefault="006A6424" w:rsidP="006A6424">
      <w:pPr>
        <w:rPr>
          <w:sz w:val="24"/>
          <w:szCs w:val="24"/>
          <w:lang w:eastAsia="en-NZ"/>
        </w:rPr>
      </w:pPr>
      <w:r w:rsidRPr="006A6424">
        <w:rPr>
          <w:sz w:val="24"/>
          <w:szCs w:val="24"/>
          <w:lang w:eastAsia="en-NZ"/>
        </w:rPr>
        <w:t>New Zealand Productivity Commission. (2022, April). </w:t>
      </w:r>
      <w:r w:rsidRPr="006A6424">
        <w:rPr>
          <w:i/>
          <w:iCs/>
          <w:sz w:val="24"/>
          <w:szCs w:val="24"/>
          <w:lang w:eastAsia="en-NZ"/>
        </w:rPr>
        <w:t>Immigration: Fit for the future</w:t>
      </w:r>
      <w:r w:rsidRPr="006A6424">
        <w:rPr>
          <w:sz w:val="24"/>
          <w:szCs w:val="24"/>
          <w:lang w:eastAsia="en-NZ"/>
        </w:rPr>
        <w:t>. ISBN 978-1-98-851981-4. Wellington: New Zealand Productivity Commission.</w:t>
      </w:r>
    </w:p>
    <w:p w14:paraId="22708EAB" w14:textId="77777777" w:rsidR="006A6424" w:rsidRPr="006A6424" w:rsidRDefault="006A6424" w:rsidP="006A6424">
      <w:pPr>
        <w:rPr>
          <w:sz w:val="24"/>
          <w:szCs w:val="24"/>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22708EAB" w14:textId="77777777" w:rsidR="006A6424" w:rsidRPr="006A6424" w:rsidRDefault="006A6424" w:rsidP="006A6424">
      <w:pPr>
        <w:rPr>
          <w:sz w:val="24"/>
          <w:szCs w:val="24"/>
          <w:lang w:eastAsia="en-NZ"/>
        </w:rPr>
      </w:pPr>
      <w:r w:rsidRPr="006A6424">
        <w:rPr>
          <w:sz w:val="24"/>
          <w:szCs w:val="24"/>
          <w:lang w:eastAsia="en-NZ"/>
        </w:rPr>
        <w:t>OECD. (2015). </w:t>
      </w:r>
      <w:r w:rsidRPr="006A6424">
        <w:rPr>
          <w:i/>
          <w:iCs/>
          <w:sz w:val="24"/>
          <w:szCs w:val="24"/>
          <w:lang w:eastAsia="en-NZ"/>
        </w:rPr>
        <w:t>The Metropolitan Century: Understanding Urbanisation and its Consequences</w:t>
      </w:r>
      <w:r w:rsidRPr="006A6424">
        <w:rPr>
          <w:sz w:val="24"/>
          <w:szCs w:val="24"/>
          <w:lang w:eastAsia="en-NZ"/>
        </w:rPr>
        <w:t>. Paris: OECD Publishing.</w:t>
      </w:r>
    </w:p>
    <w:p w14:paraId="531E07F1" w14:textId="77777777" w:rsidR="006A6424" w:rsidRPr="006A6424" w:rsidRDefault="006A6424" w:rsidP="006A6424">
      <w:pPr>
        <w:rPr>
          <w:sz w:val="24"/>
          <w:szCs w:val="24"/>
          <w:lang w:eastAsia="en-NZ"/>
        </w:rPr>
      </w:pPr>
      <w:r>
        <w:t xml:space="preserve">OECD. (2016). </w:t>
      </w:r>
      <w:r>
        <w:rPr>
          <w:i/>
        </w:rPr>
        <w:t>Skills Matter: Further Results from the Survey of Adult Skills</w:t>
      </w:r>
      <w:r>
        <w:t>. OECD Skills Studies. Paris: OECD Publishing.</w:t>
      </w:r>
    </w:p>
    <w:p w14:paraId="531E07F1" w14:textId="77777777" w:rsidR="006A6424" w:rsidRPr="006A6424" w:rsidRDefault="006A6424" w:rsidP="006A6424">
      <w:pPr>
        <w:rPr>
          <w:sz w:val="24"/>
          <w:szCs w:val="24"/>
          <w:lang w:eastAsia="en-NZ"/>
        </w:rPr>
      </w:pPr>
      <w:r w:rsidRPr="006A6424">
        <w:rPr>
          <w:sz w:val="24"/>
          <w:szCs w:val="24"/>
          <w:lang w:eastAsia="en-NZ"/>
        </w:rPr>
        <w:t>Preston, I., Maré, D.C., Grimes, A. and Donovan, S. (2018). </w:t>
      </w:r>
      <w:r w:rsidRPr="006A6424">
        <w:rPr>
          <w:i/>
          <w:iCs/>
          <w:sz w:val="24"/>
          <w:szCs w:val="24"/>
          <w:lang w:eastAsia="en-NZ"/>
        </w:rPr>
        <w:t>Amenities and the attractiveness of New Zealand cities</w:t>
      </w:r>
      <w:r w:rsidRPr="006A6424">
        <w:rPr>
          <w:sz w:val="24"/>
          <w:szCs w:val="24"/>
          <w:lang w:eastAsia="en-NZ"/>
        </w:rPr>
        <w:t>. Motu Working Paper 18-14. Wellington: Motu Economic and Public Policy Research.</w:t>
      </w:r>
    </w:p>
    <w:p w14:paraId="695370B8" w14:textId="77777777" w:rsidR="006A6424" w:rsidRPr="006A6424" w:rsidRDefault="006A6424" w:rsidP="006A6424">
      <w:pPr>
        <w:rPr>
          <w:sz w:val="24"/>
          <w:szCs w:val="24"/>
          <w:lang w:eastAsia="en-NZ"/>
        </w:rPr>
      </w:pPr>
      <w:r w:rsidRPr="006A6424">
        <w:rPr>
          <w:sz w:val="24"/>
          <w:szCs w:val="24"/>
          <w:lang w:eastAsia="en-NZ"/>
        </w:rPr>
        <w:t>Winter, R., Devine, G., Janssen, J. and Thompson, S. (2025, October). </w:t>
      </w:r>
      <w:r w:rsidRPr="006A6424">
        <w:rPr>
          <w:i/>
          <w:iCs/>
          <w:sz w:val="24"/>
          <w:szCs w:val="24"/>
          <w:lang w:eastAsia="en-NZ"/>
        </w:rPr>
        <w:t>Why not both? The effects of innovation and capital on productivity in New Zealand</w:t>
      </w:r>
      <w:r w:rsidRPr="006A6424">
        <w:rPr>
          <w:sz w:val="24"/>
          <w:szCs w:val="24"/>
          <w:lang w:eastAsia="en-NZ"/>
        </w:rPr>
        <w:t> (Analytical Note AN 25/12). Wellington: New Zealand Treasury.</w:t>
      </w:r>
    </w:p>
    <w:p w14:paraId="411835B6" w14:textId="77777777" w:rsidR="006A6424" w:rsidRPr="006A6424" w:rsidRDefault="006A6424" w:rsidP="006A6424">
      <w:pPr>
        <w:rPr>
          <w:sz w:val="24"/>
          <w:szCs w:val="24"/>
          <w:lang w:eastAsia="en-NZ"/>
        </w:rPr>
      </w:pPr>
      <w:r w:rsidRPr="006A6424">
        <w:rPr>
          <w:sz w:val="24"/>
          <w:szCs w:val="24"/>
          <w:lang w:eastAsia="en-NZ"/>
        </w:rPr>
        <w:t>World Bank. (2009). </w:t>
      </w:r>
      <w:r w:rsidRPr="006A6424">
        <w:rPr>
          <w:i/>
          <w:iCs/>
          <w:sz w:val="24"/>
          <w:szCs w:val="24"/>
          <w:lang w:eastAsia="en-NZ"/>
        </w:rPr>
        <w:t>World Development Report 2009: Reshaping Economic Geography</w:t>
      </w:r>
      <w:r w:rsidRPr="006A6424">
        <w:rPr>
          <w:sz w:val="24"/>
          <w:szCs w:val="24"/>
          <w:lang w:eastAsia="en-NZ"/>
        </w:rPr>
        <w:t> (Chapter 7: Concentration without Congestion — Policies for an Inclusive Urbanisation). Washington, DC: World Bank.</w:t>
      </w:r>
    </w:p>
    <w:p w14:paraId="5AC2332E" w14:textId="77777777" w:rsidR="0017741E" w:rsidRPr="00B22259" w:rsidRDefault="0017741E" w:rsidP="006A6424">
      <w:pPr>
        <w:pStyle w:val="Heading1"/>
      </w:pPr>
    </w:p>
    <w:sectPr w:rsidR="0017741E" w:rsidRPr="00B22259" w:rsidSect="00D2741D">
      <w:headerReference w:type="default" r:id="rId18"/>
      <w:footerReference w:type="default" r:id="rId19"/>
      <w:footerReference w:type="first" r:id="rId20"/>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4CB4" w14:textId="77777777" w:rsidR="006A6424" w:rsidRPr="006A6424" w:rsidRDefault="006A6424" w:rsidP="004434DB">
      <w:r w:rsidRPr="006A6424">
        <w:separator/>
      </w:r>
    </w:p>
  </w:endnote>
  <w:endnote w:type="continuationSeparator" w:id="0">
    <w:p w14:paraId="590198AB" w14:textId="77777777" w:rsidR="006A6424" w:rsidRPr="006A6424" w:rsidRDefault="006A6424"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7215DEFD" w14:textId="77777777" w:rsidTr="00556981">
      <w:tc>
        <w:tcPr>
          <w:tcW w:w="7938" w:type="dxa"/>
        </w:tcPr>
        <w:p w14:paraId="28CA5750" w14:textId="77777777" w:rsidR="00556981" w:rsidRPr="006A6424" w:rsidRDefault="006A6424" w:rsidP="004434DB">
          <w:pPr>
            <w:pStyle w:val="Footer"/>
          </w:pPr>
          <w:fldSimple w:instr=" FILENAME  \* FirstCap  \* MERGEFORMAT ">
            <w:r w:rsidRPr="006A6424">
              <w:t>Document4</w:t>
            </w:r>
          </w:fldSimple>
          <w:r w:rsidR="00556981" w:rsidRPr="006A6424">
            <w:t xml:space="preserve"> – edit on one page should update all pages</w:t>
          </w:r>
        </w:p>
      </w:tc>
      <w:tc>
        <w:tcPr>
          <w:tcW w:w="1694" w:type="dxa"/>
        </w:tcPr>
        <w:p w14:paraId="75845DF8"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4C187F54"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09FCB63" w14:textId="77777777" w:rsidTr="00C93AFC">
      <w:tc>
        <w:tcPr>
          <w:tcW w:w="7938" w:type="dxa"/>
        </w:tcPr>
        <w:p w14:paraId="230D7EEC" w14:textId="14E0EFE8" w:rsidR="003C54FF" w:rsidRPr="006A6424" w:rsidRDefault="005A2AAB" w:rsidP="003C54FF">
          <w:pPr>
            <w:pStyle w:val="Footer"/>
          </w:pPr>
          <w:r>
            <w:t>Cities and Spatial Policy</w:t>
          </w:r>
          <w:fldSimple w:instr=" FILENAME  \* FirstCap  \* MERGEFORMAT "/>
          <w:r w:rsidR="003C54FF" w:rsidRPr="006A6424">
            <w:t xml:space="preserve"> – edit on one page should update all pages</w:t>
          </w:r>
        </w:p>
      </w:tc>
      <w:tc>
        <w:tcPr>
          <w:tcW w:w="1694" w:type="dxa"/>
        </w:tcPr>
        <w:p w14:paraId="57CAF82D"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2D4A642A"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2E47CE02" w14:textId="77777777" w:rsidTr="00556981">
      <w:tc>
        <w:tcPr>
          <w:tcW w:w="8222" w:type="dxa"/>
        </w:tcPr>
        <w:p w14:paraId="3FA362CE" w14:textId="570B1EEA" w:rsidR="006002A4" w:rsidRPr="006A6424" w:rsidRDefault="005A2AAB" w:rsidP="004434DB">
          <w:pPr>
            <w:pStyle w:val="Footer"/>
          </w:pPr>
          <w:r>
            <w:t>Cities and Spatial Policy</w:t>
          </w:r>
        </w:p>
      </w:tc>
      <w:tc>
        <w:tcPr>
          <w:tcW w:w="1410" w:type="dxa"/>
        </w:tcPr>
        <w:p w14:paraId="7A126208"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13B6FB5F"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60EC420B" w14:textId="77777777" w:rsidTr="00E258CF">
      <w:tc>
        <w:tcPr>
          <w:tcW w:w="8217" w:type="dxa"/>
        </w:tcPr>
        <w:p w14:paraId="49C04978" w14:textId="77777777" w:rsidR="00066273" w:rsidRPr="006A6424" w:rsidRDefault="006A6424" w:rsidP="004434DB">
          <w:pPr>
            <w:pStyle w:val="Footer"/>
          </w:pPr>
          <w:fldSimple w:instr=" FILENAME  \* FirstCap  \* MERGEFORMAT ">
            <w:r w:rsidRPr="006A6424">
              <w:t>Document4</w:t>
            </w:r>
          </w:fldSimple>
          <w:r w:rsidR="00066273" w:rsidRPr="006A6424">
            <w:t xml:space="preserve"> – edit on one page should update all pages</w:t>
          </w:r>
        </w:p>
      </w:tc>
      <w:tc>
        <w:tcPr>
          <w:tcW w:w="1139" w:type="dxa"/>
        </w:tcPr>
        <w:p w14:paraId="70CF6F43"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2AE7EA1"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687B" w14:textId="77777777" w:rsidR="006A6424" w:rsidRPr="006A6424" w:rsidRDefault="006A6424" w:rsidP="004434DB">
      <w:bookmarkStart w:id="0" w:name="_Hlk104460753"/>
      <w:bookmarkEnd w:id="0"/>
      <w:r w:rsidRPr="006A6424">
        <w:separator/>
      </w:r>
    </w:p>
  </w:footnote>
  <w:footnote w:type="continuationSeparator" w:id="0">
    <w:p w14:paraId="4AE82A57" w14:textId="77777777" w:rsidR="006A6424" w:rsidRPr="006A6424" w:rsidRDefault="006A6424" w:rsidP="004434DB">
      <w:r w:rsidRPr="006A6424">
        <w:continuationSeparator/>
      </w:r>
    </w:p>
  </w:footnote>
  <w:footnote w:id="1">
    <w:p w14:paraId="5B7263B9" w14:textId="6821DCBD" w:rsidR="005262F0" w:rsidRDefault="005262F0">
      <w:pPr>
        <w:pStyle w:val="FootnoteText"/>
      </w:pPr>
      <w:r>
        <w:rPr>
          <w:rStyle w:val="FootnoteReference"/>
        </w:rPr>
        <w:footnoteRef/>
      </w:r>
      <w:r>
        <w:t xml:space="preserve"> Or sometimes, even more destructively, between Auckland and Wellington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5501"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73C3"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9"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1"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0"/>
  </w:num>
  <w:num w:numId="2" w16cid:durableId="1571312470">
    <w:abstractNumId w:val="18"/>
  </w:num>
  <w:num w:numId="3" w16cid:durableId="600454666">
    <w:abstractNumId w:val="14"/>
  </w:num>
  <w:num w:numId="4" w16cid:durableId="476336255">
    <w:abstractNumId w:val="22"/>
  </w:num>
  <w:num w:numId="5" w16cid:durableId="487594335">
    <w:abstractNumId w:val="11"/>
  </w:num>
  <w:num w:numId="6" w16cid:durableId="414589779">
    <w:abstractNumId w:val="21"/>
  </w:num>
  <w:num w:numId="7" w16cid:durableId="1650479044">
    <w:abstractNumId w:val="17"/>
  </w:num>
  <w:num w:numId="8" w16cid:durableId="1546677858">
    <w:abstractNumId w:val="9"/>
  </w:num>
  <w:num w:numId="9" w16cid:durableId="1431968696">
    <w:abstractNumId w:val="25"/>
  </w:num>
  <w:num w:numId="10" w16cid:durableId="554244891">
    <w:abstractNumId w:val="24"/>
  </w:num>
  <w:num w:numId="11" w16cid:durableId="1851675462">
    <w:abstractNumId w:val="19"/>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5"/>
  </w:num>
  <w:num w:numId="22" w16cid:durableId="1060977792">
    <w:abstractNumId w:val="16"/>
  </w:num>
  <w:num w:numId="23" w16cid:durableId="513807504">
    <w:abstractNumId w:val="13"/>
  </w:num>
  <w:num w:numId="24" w16cid:durableId="1222789080">
    <w:abstractNumId w:val="27"/>
  </w:num>
  <w:num w:numId="25" w16cid:durableId="983045635">
    <w:abstractNumId w:val="23"/>
  </w:num>
  <w:num w:numId="26" w16cid:durableId="1369450177">
    <w:abstractNumId w:val="26"/>
  </w:num>
  <w:num w:numId="27" w16cid:durableId="183596903">
    <w:abstractNumId w:val="10"/>
  </w:num>
  <w:num w:numId="28" w16cid:durableId="535775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2C99"/>
    <w:rsid w:val="00044EE9"/>
    <w:rsid w:val="00060260"/>
    <w:rsid w:val="00066273"/>
    <w:rsid w:val="00067197"/>
    <w:rsid w:val="00070339"/>
    <w:rsid w:val="00074C18"/>
    <w:rsid w:val="000909B1"/>
    <w:rsid w:val="000A6A27"/>
    <w:rsid w:val="000B35AE"/>
    <w:rsid w:val="000C766A"/>
    <w:rsid w:val="000E07AB"/>
    <w:rsid w:val="000E3420"/>
    <w:rsid w:val="000E6C2A"/>
    <w:rsid w:val="000F3A64"/>
    <w:rsid w:val="001073F6"/>
    <w:rsid w:val="001308F8"/>
    <w:rsid w:val="00131B89"/>
    <w:rsid w:val="00144669"/>
    <w:rsid w:val="00172EC2"/>
    <w:rsid w:val="0017398A"/>
    <w:rsid w:val="0017741E"/>
    <w:rsid w:val="00177B4A"/>
    <w:rsid w:val="001927B5"/>
    <w:rsid w:val="001B6714"/>
    <w:rsid w:val="001D7310"/>
    <w:rsid w:val="00205378"/>
    <w:rsid w:val="002268F7"/>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95F"/>
    <w:rsid w:val="003E67A7"/>
    <w:rsid w:val="003F57E3"/>
    <w:rsid w:val="004069EE"/>
    <w:rsid w:val="0041099D"/>
    <w:rsid w:val="00415A50"/>
    <w:rsid w:val="00421EA3"/>
    <w:rsid w:val="00432247"/>
    <w:rsid w:val="00432CCD"/>
    <w:rsid w:val="004434DB"/>
    <w:rsid w:val="00450F36"/>
    <w:rsid w:val="004555C1"/>
    <w:rsid w:val="0047013B"/>
    <w:rsid w:val="0047724A"/>
    <w:rsid w:val="004827E2"/>
    <w:rsid w:val="004A3E71"/>
    <w:rsid w:val="004C253F"/>
    <w:rsid w:val="004C2E47"/>
    <w:rsid w:val="004C6FAC"/>
    <w:rsid w:val="004D02DD"/>
    <w:rsid w:val="004D0AAC"/>
    <w:rsid w:val="004D2A61"/>
    <w:rsid w:val="004F4B85"/>
    <w:rsid w:val="00506C99"/>
    <w:rsid w:val="00525B62"/>
    <w:rsid w:val="005262F0"/>
    <w:rsid w:val="00532577"/>
    <w:rsid w:val="005457A5"/>
    <w:rsid w:val="00546B8F"/>
    <w:rsid w:val="00556981"/>
    <w:rsid w:val="00585A8E"/>
    <w:rsid w:val="00587391"/>
    <w:rsid w:val="00587E81"/>
    <w:rsid w:val="00592D3D"/>
    <w:rsid w:val="0059550F"/>
    <w:rsid w:val="005A2082"/>
    <w:rsid w:val="005A2AAB"/>
    <w:rsid w:val="005C021F"/>
    <w:rsid w:val="005D4A0E"/>
    <w:rsid w:val="005E4A30"/>
    <w:rsid w:val="005E7A89"/>
    <w:rsid w:val="006002A4"/>
    <w:rsid w:val="00641B21"/>
    <w:rsid w:val="0065533B"/>
    <w:rsid w:val="006606F0"/>
    <w:rsid w:val="00661336"/>
    <w:rsid w:val="0066185C"/>
    <w:rsid w:val="00694235"/>
    <w:rsid w:val="006A53F6"/>
    <w:rsid w:val="006A6424"/>
    <w:rsid w:val="006C5C32"/>
    <w:rsid w:val="006D3167"/>
    <w:rsid w:val="006E526C"/>
    <w:rsid w:val="00703900"/>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7008"/>
    <w:rsid w:val="00820C81"/>
    <w:rsid w:val="00830B3A"/>
    <w:rsid w:val="00841C29"/>
    <w:rsid w:val="008467D7"/>
    <w:rsid w:val="008522B6"/>
    <w:rsid w:val="0085384F"/>
    <w:rsid w:val="008666F9"/>
    <w:rsid w:val="00891B2B"/>
    <w:rsid w:val="008A3C9F"/>
    <w:rsid w:val="008B3D67"/>
    <w:rsid w:val="008E6DE5"/>
    <w:rsid w:val="00920D09"/>
    <w:rsid w:val="009238E1"/>
    <w:rsid w:val="009346E9"/>
    <w:rsid w:val="00940330"/>
    <w:rsid w:val="009421A7"/>
    <w:rsid w:val="00970ECB"/>
    <w:rsid w:val="00991D37"/>
    <w:rsid w:val="0099269E"/>
    <w:rsid w:val="009A444D"/>
    <w:rsid w:val="009C05CE"/>
    <w:rsid w:val="009C61D5"/>
    <w:rsid w:val="009E2A10"/>
    <w:rsid w:val="00A11B95"/>
    <w:rsid w:val="00A17B8B"/>
    <w:rsid w:val="00A204B0"/>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741D"/>
    <w:rsid w:val="00D4476D"/>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D5A80"/>
    <w:rsid w:val="00F10D62"/>
    <w:rsid w:val="00F228A1"/>
    <w:rsid w:val="00F45E78"/>
    <w:rsid w:val="00F50E83"/>
    <w:rsid w:val="00F5642A"/>
    <w:rsid w:val="00F57B20"/>
    <w:rsid w:val="00F605E6"/>
    <w:rsid w:val="00F71685"/>
    <w:rsid w:val="00F75D50"/>
    <w:rsid w:val="00F77967"/>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396402B"/>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7505B2"/>
    <w:pPr>
      <w:tabs>
        <w:tab w:val="right" w:pos="9622"/>
      </w:tabs>
      <w:spacing w:after="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916</TotalTime>
  <Pages>27</Pages>
  <Words>7469</Words>
  <Characters>42578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3</cp:revision>
  <cp:lastPrinted>2022-05-31T02:02:00Z</cp:lastPrinted>
  <dcterms:created xsi:type="dcterms:W3CDTF">2026-07-02T06:22:00Z</dcterms:created>
  <dcterms:modified xsi:type="dcterms:W3CDTF">2026-07-02T21:42:00Z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2026-07-02T05:04:33Z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5ba5aada-8bf0-413e-9206-ebf9d76fc2f9</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