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8517"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0903708"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79C14DB"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0903708"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79C14DB"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6DAAB34C"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5554FAAB"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48AD52D6"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3C4FA8B2"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57077D0B"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339CB961"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38214CA3" w14:textId="77777777" w:rsidR="009421A7" w:rsidRPr="006A6424" w:rsidRDefault="009421A7" w:rsidP="004434DB">
            <w:r w:rsidRPr="006A6424">
              <w:t>Status</w:t>
            </w:r>
          </w:p>
        </w:tc>
        <w:tc>
          <w:tcPr>
            <w:tcW w:w="1666" w:type="pct"/>
            <w:tcBorders>
              <w:top w:val="nil"/>
            </w:tcBorders>
          </w:tcPr>
          <w:p w14:paraId="7085CCDF"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58118809"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4CEB15A2"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E809E99" w14:textId="77777777" w:rsidR="009421A7" w:rsidRPr="006A6424" w:rsidRDefault="009421A7" w:rsidP="004434DB">
            <w:r w:rsidRPr="006A6424">
              <w:t xml:space="preserve">Version </w:t>
            </w:r>
            <w:r w:rsidR="006A6424">
              <w:t>0.</w:t>
            </w:r>
            <w:r w:rsidR="004C2E47">
              <w:t>6</w:t>
            </w:r>
          </w:p>
        </w:tc>
        <w:tc>
          <w:tcPr>
            <w:tcW w:w="1666" w:type="pct"/>
          </w:tcPr>
          <w:p w14:paraId="47511DB0" w14:textId="77777777"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0DECB511" w14:textId="791843C9" w:rsidR="009421A7" w:rsidRPr="006A6424" w:rsidRDefault="00EB68C4" w:rsidP="004434DB">
            <w:pPr>
              <w:cnfStyle w:val="000000000000" w:firstRow="0" w:lastRow="0" w:firstColumn="0" w:lastColumn="0" w:oddVBand="0" w:evenVBand="0" w:oddHBand="0" w:evenHBand="0" w:firstRowFirstColumn="0" w:firstRowLastColumn="0" w:lastRowFirstColumn="0" w:lastRowLastColumn="0"/>
            </w:pPr>
            <w:r>
              <w:t>Version control established</w:t>
            </w:r>
          </w:p>
        </w:tc>
      </w:tr>
      <w:tr w:rsidR="003B184F" w:rsidRPr="006A6424" w14:paraId="49C1773A"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71A9B420" w14:textId="77777777" w:rsidR="003B184F" w:rsidRPr="006A6424" w:rsidRDefault="003B184F" w:rsidP="004434DB">
            <w:r>
              <w:t>Version 0.7</w:t>
            </w:r>
          </w:p>
        </w:tc>
        <w:tc>
          <w:tcPr>
            <w:tcW w:w="1666" w:type="pct"/>
          </w:tcPr>
          <w:p w14:paraId="16702C62" w14:textId="77777777" w:rsidR="003B184F" w:rsidRDefault="003B184F"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68636FB6" w14:textId="77777777" w:rsidR="003B184F" w:rsidRPr="006A6424" w:rsidRDefault="003B184F" w:rsidP="004434DB">
            <w:pPr>
              <w:cnfStyle w:val="000000000000" w:firstRow="0" w:lastRow="0" w:firstColumn="0" w:lastColumn="0" w:oddVBand="0" w:evenVBand="0" w:oddHBand="0" w:evenHBand="0" w:firstRowFirstColumn="0" w:firstRowLastColumn="0" w:lastRowFirstColumn="0" w:lastRowLastColumn="0"/>
            </w:pPr>
            <w:r>
              <w:t>Central evidence section restructured</w:t>
            </w:r>
          </w:p>
        </w:tc>
      </w:tr>
      <w:tr w:rsidR="00CB06EC" w:rsidRPr="006A6424" w14:paraId="7773AFBF"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E07CB4E" w14:textId="77777777" w:rsidR="00265A65" w:rsidRDefault="00505D4B">
            <w:r>
              <w:t>Version 0.8</w:t>
            </w:r>
          </w:p>
        </w:tc>
        <w:tc>
          <w:tcPr>
            <w:tcW w:w="1666" w:type="pct"/>
          </w:tcPr>
          <w:p w14:paraId="2C0F4402" w14:textId="77777777" w:rsidR="00265A65" w:rsidRDefault="00505D4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60B0BDF1" w14:textId="77777777" w:rsidR="00265A65" w:rsidRDefault="00505D4B">
            <w:pPr>
              <w:cnfStyle w:val="000000000000" w:firstRow="0" w:lastRow="0" w:firstColumn="0" w:lastColumn="0" w:oddVBand="0" w:evenVBand="0" w:oddHBand="0" w:evenHBand="0" w:firstRowFirstColumn="0" w:firstRowLastColumn="0" w:lastRowFirstColumn="0" w:lastRowLastColumn="0"/>
            </w:pPr>
            <w: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209B930E"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1D992D7" w14:textId="1AA0BA4D" w:rsidR="00EB68C4" w:rsidRDefault="00EB68C4">
            <w:r>
              <w:t>Version 0.9</w:t>
            </w:r>
          </w:p>
        </w:tc>
        <w:tc>
          <w:tcPr>
            <w:tcW w:w="1666" w:type="pct"/>
          </w:tcPr>
          <w:p w14:paraId="62E2F8E0" w14:textId="0C4259EC" w:rsidR="00EB68C4" w:rsidRDefault="00EB68C4">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r>
              <w:t>Sections 8, 9, exec summary drafted; reference sweep — citations resolved in 3.7, 3.9, 5.5, 5.8; Nunns &amp; Dodge (2022) bibliography entry corrected to match in-text citations; Combes et al. (2012) ingested — firm selection bullet corrected (S2), dilation evidence added (S7)</w:t>
            </w:r>
          </w:p>
        </w:tc>
      </w:tr>
    </w:tbl>
    <w:p w14:paraId="2C2A337D" w14:textId="77777777" w:rsidR="009421A7" w:rsidRPr="006A6424" w:rsidRDefault="009421A7" w:rsidP="004434DB"/>
    <w:p w14:paraId="6A061B0C" w14:textId="77777777" w:rsidR="006A6424" w:rsidRPr="006A6424" w:rsidRDefault="006A6424">
      <w:pPr>
        <w:spacing w:after="0"/>
        <w:rPr>
          <w:b/>
          <w:bCs/>
          <w:sz w:val="56"/>
          <w:szCs w:val="56"/>
        </w:rPr>
      </w:pPr>
      <w:bookmarkStart w:id="2" w:name="_Toc189460583"/>
      <w:r w:rsidRPr="006A6424">
        <w:rPr>
          <w:b/>
          <w:bCs/>
          <w:sz w:val="56"/>
          <w:szCs w:val="56"/>
        </w:rPr>
        <w:br w:type="page"/>
      </w:r>
    </w:p>
    <w:p w14:paraId="074896FF" w14:textId="77777777" w:rsidR="009421A7" w:rsidRPr="006A6424" w:rsidRDefault="009421A7" w:rsidP="004434DB">
      <w:pPr>
        <w:rPr>
          <w:b/>
          <w:bCs/>
          <w:sz w:val="56"/>
          <w:szCs w:val="56"/>
        </w:rPr>
      </w:pPr>
      <w:r w:rsidRPr="006A6424">
        <w:rPr>
          <w:b/>
          <w:bCs/>
          <w:sz w:val="56"/>
          <w:szCs w:val="56"/>
        </w:rPr>
        <w:lastRenderedPageBreak/>
        <w:t>Contents</w:t>
      </w:r>
      <w:bookmarkEnd w:id="2"/>
    </w:p>
    <w:p w14:paraId="1DE00BDE" w14:textId="7BAA16C8" w:rsidR="00F11AA7"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3982877" w:history="1">
        <w:r w:rsidR="00F11AA7" w:rsidRPr="00700448">
          <w:rPr>
            <w:rStyle w:val="Hyperlink"/>
            <w:rFonts w:eastAsia="Times New Roman"/>
            <w:lang w:eastAsia="en-NZ"/>
          </w:rPr>
          <w:t>Executive Summary</w:t>
        </w:r>
        <w:r w:rsidR="00F11AA7">
          <w:rPr>
            <w:webHidden/>
          </w:rPr>
          <w:tab/>
        </w:r>
        <w:r w:rsidR="00F11AA7">
          <w:rPr>
            <w:webHidden/>
          </w:rPr>
          <w:fldChar w:fldCharType="begin"/>
        </w:r>
        <w:r w:rsidR="00F11AA7">
          <w:rPr>
            <w:webHidden/>
          </w:rPr>
          <w:instrText xml:space="preserve"> PAGEREF _Toc233982877 \h </w:instrText>
        </w:r>
        <w:r w:rsidR="00F11AA7">
          <w:rPr>
            <w:webHidden/>
          </w:rPr>
        </w:r>
        <w:r w:rsidR="00F11AA7">
          <w:rPr>
            <w:webHidden/>
          </w:rPr>
          <w:fldChar w:fldCharType="separate"/>
        </w:r>
        <w:r w:rsidR="00F11AA7">
          <w:rPr>
            <w:webHidden/>
          </w:rPr>
          <w:t>4</w:t>
        </w:r>
        <w:r w:rsidR="00F11AA7">
          <w:rPr>
            <w:webHidden/>
          </w:rPr>
          <w:fldChar w:fldCharType="end"/>
        </w:r>
      </w:hyperlink>
    </w:p>
    <w:p w14:paraId="373409A2" w14:textId="6BDC9046"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8" w:history="1">
        <w:r w:rsidRPr="00700448">
          <w:rPr>
            <w:rStyle w:val="Hyperlink"/>
            <w:rFonts w:eastAsia="Times New Roman"/>
            <w:lang w:eastAsia="en-NZ"/>
          </w:rPr>
          <w:t>1. Purpose</w:t>
        </w:r>
        <w:r>
          <w:rPr>
            <w:webHidden/>
          </w:rPr>
          <w:tab/>
        </w:r>
        <w:r>
          <w:rPr>
            <w:webHidden/>
          </w:rPr>
          <w:fldChar w:fldCharType="begin"/>
        </w:r>
        <w:r>
          <w:rPr>
            <w:webHidden/>
          </w:rPr>
          <w:instrText xml:space="preserve"> PAGEREF _Toc233982878 \h </w:instrText>
        </w:r>
        <w:r>
          <w:rPr>
            <w:webHidden/>
          </w:rPr>
        </w:r>
        <w:r>
          <w:rPr>
            <w:webHidden/>
          </w:rPr>
          <w:fldChar w:fldCharType="separate"/>
        </w:r>
        <w:r>
          <w:rPr>
            <w:webHidden/>
          </w:rPr>
          <w:t>5</w:t>
        </w:r>
        <w:r>
          <w:rPr>
            <w:webHidden/>
          </w:rPr>
          <w:fldChar w:fldCharType="end"/>
        </w:r>
      </w:hyperlink>
    </w:p>
    <w:p w14:paraId="6262585A" w14:textId="6525F81E"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9" w:history="1">
        <w:r w:rsidRPr="00700448">
          <w:rPr>
            <w:rStyle w:val="Hyperlink"/>
            <w:rFonts w:eastAsia="Times New Roman"/>
            <w:lang w:eastAsia="en-NZ"/>
          </w:rPr>
          <w:t>2. What We Expect from Cities (Evidence Base)</w:t>
        </w:r>
        <w:r>
          <w:rPr>
            <w:webHidden/>
          </w:rPr>
          <w:tab/>
        </w:r>
        <w:r>
          <w:rPr>
            <w:webHidden/>
          </w:rPr>
          <w:fldChar w:fldCharType="begin"/>
        </w:r>
        <w:r>
          <w:rPr>
            <w:webHidden/>
          </w:rPr>
          <w:instrText xml:space="preserve"> PAGEREF _Toc233982879 \h </w:instrText>
        </w:r>
        <w:r>
          <w:rPr>
            <w:webHidden/>
          </w:rPr>
        </w:r>
        <w:r>
          <w:rPr>
            <w:webHidden/>
          </w:rPr>
          <w:fldChar w:fldCharType="separate"/>
        </w:r>
        <w:r>
          <w:rPr>
            <w:webHidden/>
          </w:rPr>
          <w:t>6</w:t>
        </w:r>
        <w:r>
          <w:rPr>
            <w:webHidden/>
          </w:rPr>
          <w:fldChar w:fldCharType="end"/>
        </w:r>
      </w:hyperlink>
    </w:p>
    <w:p w14:paraId="71E45FFD" w14:textId="011CD56D"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0" w:history="1">
        <w:r w:rsidRPr="00700448">
          <w:rPr>
            <w:rStyle w:val="Hyperlink"/>
          </w:rPr>
          <w:t>3. Core Diagnosis: Growth, Capital Pressure, and Productivity</w:t>
        </w:r>
        <w:r>
          <w:rPr>
            <w:webHidden/>
          </w:rPr>
          <w:tab/>
        </w:r>
        <w:r>
          <w:rPr>
            <w:webHidden/>
          </w:rPr>
          <w:fldChar w:fldCharType="begin"/>
        </w:r>
        <w:r>
          <w:rPr>
            <w:webHidden/>
          </w:rPr>
          <w:instrText xml:space="preserve"> PAGEREF _Toc233982880 \h </w:instrText>
        </w:r>
        <w:r>
          <w:rPr>
            <w:webHidden/>
          </w:rPr>
        </w:r>
        <w:r>
          <w:rPr>
            <w:webHidden/>
          </w:rPr>
          <w:fldChar w:fldCharType="separate"/>
        </w:r>
        <w:r>
          <w:rPr>
            <w:webHidden/>
          </w:rPr>
          <w:t>8</w:t>
        </w:r>
        <w:r>
          <w:rPr>
            <w:webHidden/>
          </w:rPr>
          <w:fldChar w:fldCharType="end"/>
        </w:r>
      </w:hyperlink>
    </w:p>
    <w:p w14:paraId="6143714F" w14:textId="59A7D7A0"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1" w:history="1">
        <w:r w:rsidRPr="00700448">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_Toc233982881 \h </w:instrText>
        </w:r>
        <w:r>
          <w:rPr>
            <w:webHidden/>
          </w:rPr>
        </w:r>
        <w:r>
          <w:rPr>
            <w:webHidden/>
          </w:rPr>
          <w:fldChar w:fldCharType="separate"/>
        </w:r>
        <w:r>
          <w:rPr>
            <w:webHidden/>
          </w:rPr>
          <w:t>12</w:t>
        </w:r>
        <w:r>
          <w:rPr>
            <w:webHidden/>
          </w:rPr>
          <w:fldChar w:fldCharType="end"/>
        </w:r>
      </w:hyperlink>
    </w:p>
    <w:p w14:paraId="735EBC09" w14:textId="25BDB309"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2" w:history="1">
        <w:r w:rsidRPr="00700448">
          <w:rPr>
            <w:rStyle w:val="Hyperlink"/>
          </w:rPr>
          <w:t>5. The New Zealand Spatial System — Evidence and Mechanisms</w:t>
        </w:r>
        <w:r>
          <w:rPr>
            <w:webHidden/>
          </w:rPr>
          <w:tab/>
        </w:r>
        <w:r>
          <w:rPr>
            <w:webHidden/>
          </w:rPr>
          <w:fldChar w:fldCharType="begin"/>
        </w:r>
        <w:r>
          <w:rPr>
            <w:webHidden/>
          </w:rPr>
          <w:instrText xml:space="preserve"> PAGEREF _Toc233982882 \h </w:instrText>
        </w:r>
        <w:r>
          <w:rPr>
            <w:webHidden/>
          </w:rPr>
        </w:r>
        <w:r>
          <w:rPr>
            <w:webHidden/>
          </w:rPr>
          <w:fldChar w:fldCharType="separate"/>
        </w:r>
        <w:r>
          <w:rPr>
            <w:webHidden/>
          </w:rPr>
          <w:t>13</w:t>
        </w:r>
        <w:r>
          <w:rPr>
            <w:webHidden/>
          </w:rPr>
          <w:fldChar w:fldCharType="end"/>
        </w:r>
      </w:hyperlink>
    </w:p>
    <w:p w14:paraId="1460AB65" w14:textId="43046276"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3" w:history="1">
        <w:r w:rsidRPr="00700448">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_Toc233982883 \h </w:instrText>
        </w:r>
        <w:r>
          <w:rPr>
            <w:webHidden/>
          </w:rPr>
        </w:r>
        <w:r>
          <w:rPr>
            <w:webHidden/>
          </w:rPr>
          <w:fldChar w:fldCharType="separate"/>
        </w:r>
        <w:r>
          <w:rPr>
            <w:webHidden/>
          </w:rPr>
          <w:t>19</w:t>
        </w:r>
        <w:r>
          <w:rPr>
            <w:webHidden/>
          </w:rPr>
          <w:fldChar w:fldCharType="end"/>
        </w:r>
      </w:hyperlink>
    </w:p>
    <w:p w14:paraId="5B9BFA90" w14:textId="7685080F"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4" w:history="1">
        <w:r w:rsidRPr="00700448">
          <w:rPr>
            <w:rStyle w:val="Hyperlink"/>
          </w:rPr>
          <w:t>7. New Zealand's Final Frontier</w:t>
        </w:r>
        <w:r>
          <w:rPr>
            <w:webHidden/>
          </w:rPr>
          <w:tab/>
        </w:r>
        <w:r>
          <w:rPr>
            <w:webHidden/>
          </w:rPr>
          <w:fldChar w:fldCharType="begin"/>
        </w:r>
        <w:r>
          <w:rPr>
            <w:webHidden/>
          </w:rPr>
          <w:instrText xml:space="preserve"> PAGEREF _Toc233982884 \h </w:instrText>
        </w:r>
        <w:r>
          <w:rPr>
            <w:webHidden/>
          </w:rPr>
        </w:r>
        <w:r>
          <w:rPr>
            <w:webHidden/>
          </w:rPr>
          <w:fldChar w:fldCharType="separate"/>
        </w:r>
        <w:r>
          <w:rPr>
            <w:webHidden/>
          </w:rPr>
          <w:t>21</w:t>
        </w:r>
        <w:r>
          <w:rPr>
            <w:webHidden/>
          </w:rPr>
          <w:fldChar w:fldCharType="end"/>
        </w:r>
      </w:hyperlink>
    </w:p>
    <w:p w14:paraId="09E83AFC" w14:textId="7184767B"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5" w:history="1">
        <w:r w:rsidRPr="00700448">
          <w:rPr>
            <w:rStyle w:val="Hyperlink"/>
            <w:rFonts w:eastAsia="Times New Roman"/>
            <w:lang w:eastAsia="en-NZ"/>
          </w:rPr>
          <w:t>8. Implications for Policy</w:t>
        </w:r>
        <w:r>
          <w:rPr>
            <w:webHidden/>
          </w:rPr>
          <w:tab/>
        </w:r>
        <w:r>
          <w:rPr>
            <w:webHidden/>
          </w:rPr>
          <w:fldChar w:fldCharType="begin"/>
        </w:r>
        <w:r>
          <w:rPr>
            <w:webHidden/>
          </w:rPr>
          <w:instrText xml:space="preserve"> PAGEREF _Toc233982885 \h </w:instrText>
        </w:r>
        <w:r>
          <w:rPr>
            <w:webHidden/>
          </w:rPr>
        </w:r>
        <w:r>
          <w:rPr>
            <w:webHidden/>
          </w:rPr>
          <w:fldChar w:fldCharType="separate"/>
        </w:r>
        <w:r>
          <w:rPr>
            <w:webHidden/>
          </w:rPr>
          <w:t>23</w:t>
        </w:r>
        <w:r>
          <w:rPr>
            <w:webHidden/>
          </w:rPr>
          <w:fldChar w:fldCharType="end"/>
        </w:r>
      </w:hyperlink>
    </w:p>
    <w:p w14:paraId="2D2B92C4" w14:textId="12C2382F"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6" w:history="1">
        <w:r w:rsidRPr="00700448">
          <w:rPr>
            <w:rStyle w:val="Hyperlink"/>
            <w:rFonts w:eastAsia="Times New Roman"/>
            <w:lang w:eastAsia="en-NZ"/>
          </w:rPr>
          <w:t>9. What MBIE should do next</w:t>
        </w:r>
        <w:r>
          <w:rPr>
            <w:webHidden/>
          </w:rPr>
          <w:tab/>
        </w:r>
        <w:r>
          <w:rPr>
            <w:webHidden/>
          </w:rPr>
          <w:fldChar w:fldCharType="begin"/>
        </w:r>
        <w:r>
          <w:rPr>
            <w:webHidden/>
          </w:rPr>
          <w:instrText xml:space="preserve"> PAGEREF _Toc233982886 \h </w:instrText>
        </w:r>
        <w:r>
          <w:rPr>
            <w:webHidden/>
          </w:rPr>
        </w:r>
        <w:r>
          <w:rPr>
            <w:webHidden/>
          </w:rPr>
          <w:fldChar w:fldCharType="separate"/>
        </w:r>
        <w:r>
          <w:rPr>
            <w:webHidden/>
          </w:rPr>
          <w:t>24</w:t>
        </w:r>
        <w:r>
          <w:rPr>
            <w:webHidden/>
          </w:rPr>
          <w:fldChar w:fldCharType="end"/>
        </w:r>
      </w:hyperlink>
    </w:p>
    <w:p w14:paraId="7BAA2C09" w14:textId="44583368"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7" w:history="1">
        <w:r w:rsidRPr="00700448">
          <w:rPr>
            <w:rStyle w:val="Hyperlink"/>
            <w:lang w:val="fr-FR" w:eastAsia="en-NZ"/>
          </w:rPr>
          <w:t>Bibliography</w:t>
        </w:r>
        <w:r>
          <w:rPr>
            <w:webHidden/>
          </w:rPr>
          <w:tab/>
        </w:r>
        <w:r>
          <w:rPr>
            <w:webHidden/>
          </w:rPr>
          <w:fldChar w:fldCharType="begin"/>
        </w:r>
        <w:r>
          <w:rPr>
            <w:webHidden/>
          </w:rPr>
          <w:instrText xml:space="preserve"> PAGEREF _Toc233982887 \h </w:instrText>
        </w:r>
        <w:r>
          <w:rPr>
            <w:webHidden/>
          </w:rPr>
        </w:r>
        <w:r>
          <w:rPr>
            <w:webHidden/>
          </w:rPr>
          <w:fldChar w:fldCharType="separate"/>
        </w:r>
        <w:r>
          <w:rPr>
            <w:webHidden/>
          </w:rPr>
          <w:t>25</w:t>
        </w:r>
        <w:r>
          <w:rPr>
            <w:webHidden/>
          </w:rPr>
          <w:fldChar w:fldCharType="end"/>
        </w:r>
      </w:hyperlink>
    </w:p>
    <w:p w14:paraId="3921EB06" w14:textId="4A68565F"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05709522" w14:textId="77777777" w:rsidR="006E34E0" w:rsidRDefault="006E34E0" w:rsidP="006E34E0">
      <w:pPr>
        <w:pStyle w:val="Heading2"/>
        <w:rPr>
          <w:rFonts w:eastAsia="Times New Roman"/>
          <w:lang w:eastAsia="en-NZ"/>
        </w:rPr>
      </w:pPr>
      <w:bookmarkStart w:id="3" w:name="_Toc233982877"/>
      <w:r>
        <w:rPr>
          <w:rFonts w:eastAsia="Times New Roman"/>
          <w:lang w:eastAsia="en-NZ"/>
        </w:rPr>
        <w:lastRenderedPageBreak/>
        <w:t>Executive Summary</w:t>
      </w:r>
      <w:bookmarkEnd w:id="3"/>
    </w:p>
    <w:p w14:paraId="417F0976" w14:textId="7578C1C1"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358444A3" w14:textId="13353F59"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4CF19463"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5544D94A" w14:textId="356B317B"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3DF7180F" w14:textId="3B7B2B2D"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74332A9D" w14:textId="56EF9D94"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AFFE172" w14:textId="77777777" w:rsidR="00F11AA7" w:rsidRDefault="00F11AA7">
      <w:pPr>
        <w:rPr>
          <w:kern w:val="2"/>
          <w:lang w:eastAsia="en-NZ"/>
          <w14:ligatures w14:val="standardContextual"/>
        </w:rPr>
      </w:pPr>
      <w:r>
        <w:t>MBIE does not need to run the spatial system, but it does need to stop pretending it sits outside it. Its immediate task is to apply a spatial productivity lens to its own advice and to show up consistently across government as the economic voice for productive spatial outcomes. The key test should be simple: does this decision help New Zealand convert growth into productivity?</w:t>
      </w:r>
    </w:p>
    <w:p w14:paraId="4F38C8CA" w14:textId="3DA887DA" w:rsidR="006E34E0" w:rsidRDefault="006E34E0" w:rsidP="006E34E0">
      <w:pPr>
        <w:pStyle w:val="Heading2"/>
        <w:rPr>
          <w:rFonts w:eastAsia="Times New Roman"/>
          <w:lang w:eastAsia="en-NZ"/>
        </w:rPr>
      </w:pPr>
      <w:r>
        <w:rPr>
          <w:rFonts w:eastAsia="Times New Roman"/>
          <w:lang w:eastAsia="en-NZ"/>
        </w:rPr>
        <w:lastRenderedPageBreak/>
        <w:br w:type="page"/>
      </w:r>
    </w:p>
    <w:p w14:paraId="6542126E" w14:textId="76B9C147" w:rsidR="006A6424" w:rsidRPr="006A6424" w:rsidRDefault="006A6424" w:rsidP="006A6424">
      <w:pPr>
        <w:pStyle w:val="Heading2"/>
        <w:rPr>
          <w:rFonts w:eastAsia="Times New Roman"/>
          <w:lang w:eastAsia="en-NZ"/>
        </w:rPr>
      </w:pPr>
      <w:bookmarkStart w:id="4" w:name="_Toc233982878"/>
      <w:r w:rsidRPr="006A6424">
        <w:rPr>
          <w:rFonts w:eastAsia="Times New Roman"/>
          <w:lang w:eastAsia="en-NZ"/>
        </w:rPr>
        <w:lastRenderedPageBreak/>
        <w:t>1. Purpose</w:t>
      </w:r>
      <w:bookmarkEnd w:id="4"/>
    </w:p>
    <w:p w14:paraId="32C9EA37" w14:textId="283A8F43"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72B1B2C"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1BBE1CA3"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675D4EC9" w14:textId="044B9199"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195106BC" w14:textId="71CEC98F"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01A4705B"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1C7705CA" w14:textId="77777777" w:rsidR="006A6424" w:rsidRPr="006A6424" w:rsidRDefault="006A6424" w:rsidP="006A6424">
      <w:pPr>
        <w:pStyle w:val="Heading2"/>
        <w:rPr>
          <w:rFonts w:eastAsia="Times New Roman"/>
          <w:lang w:eastAsia="en-NZ"/>
        </w:rPr>
      </w:pPr>
      <w:bookmarkStart w:id="5" w:name="_Toc233982879"/>
      <w:r w:rsidRPr="006A6424">
        <w:rPr>
          <w:rFonts w:eastAsia="Times New Roman"/>
          <w:lang w:eastAsia="en-NZ"/>
        </w:rPr>
        <w:lastRenderedPageBreak/>
        <w:t>2. What We Expect from Cities (Evidence Base)</w:t>
      </w:r>
      <w:bookmarkEnd w:id="5"/>
    </w:p>
    <w:p w14:paraId="1D25C8BD"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4D92BC09"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11447E66"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0BB1D80A"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40B9A7F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2D6D6847"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9463273"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50A4AA1" w14:textId="77777777" w:rsidR="00FF2A7E" w:rsidRPr="006A6424" w:rsidRDefault="00FF2A7E" w:rsidP="00FF2A7E">
      <w:pPr>
        <w:pStyle w:val="ListParagraph"/>
        <w:numPr>
          <w:ilvl w:val="0"/>
          <w:numId w:val="0"/>
        </w:numPr>
        <w:ind w:left="720"/>
        <w:rPr>
          <w:lang w:eastAsia="en-NZ"/>
        </w:rPr>
      </w:pPr>
    </w:p>
    <w:p w14:paraId="26DDEF10"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B28F3EF" w14:textId="77777777" w:rsidR="005A2AAB" w:rsidRPr="006A6424" w:rsidRDefault="005A2AAB" w:rsidP="005A2AAB">
      <w:pPr>
        <w:pStyle w:val="ListParagraph"/>
        <w:numPr>
          <w:ilvl w:val="0"/>
          <w:numId w:val="0"/>
        </w:numPr>
        <w:ind w:left="720"/>
        <w:rPr>
          <w:lang w:eastAsia="en-NZ"/>
        </w:rPr>
      </w:pPr>
    </w:p>
    <w:p w14:paraId="5D22D75D"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CACE5D3" w14:textId="77777777" w:rsidR="005A2AAB" w:rsidRPr="006A6424" w:rsidRDefault="005A2AAB" w:rsidP="005A2AAB">
      <w:pPr>
        <w:pStyle w:val="ListParagraph"/>
        <w:numPr>
          <w:ilvl w:val="0"/>
          <w:numId w:val="0"/>
        </w:numPr>
        <w:ind w:left="283"/>
        <w:rPr>
          <w:lang w:eastAsia="en-NZ"/>
        </w:rPr>
      </w:pPr>
    </w:p>
    <w:p w14:paraId="2FF99DBB"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624CCC1" w14:textId="77777777" w:rsidR="005A2AAB" w:rsidRPr="006A6424" w:rsidRDefault="005A2AAB" w:rsidP="005A2AAB">
      <w:pPr>
        <w:pStyle w:val="ListParagraph"/>
        <w:numPr>
          <w:ilvl w:val="0"/>
          <w:numId w:val="0"/>
        </w:numPr>
        <w:ind w:left="283"/>
        <w:rPr>
          <w:lang w:eastAsia="en-NZ"/>
        </w:rPr>
      </w:pPr>
    </w:p>
    <w:p w14:paraId="1CCFB5F9" w14:textId="77777777" w:rsidR="006A6424" w:rsidRPr="005A2AAB" w:rsidRDefault="006A6424" w:rsidP="005A2AAB">
      <w:pPr>
        <w:pStyle w:val="ListParagraph"/>
        <w:numPr>
          <w:ilvl w:val="0"/>
          <w:numId w:val="27"/>
        </w:numPr>
        <w:rPr>
          <w:lang w:eastAsia="en-NZ"/>
        </w:rPr>
      </w:pPr>
      <w:r>
        <w:t>Firm competition and selection – denser markets increase competitive pressure. Careful testing, however, finds that 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6784CB3A" w14:textId="77777777" w:rsidR="005A2AAB" w:rsidRPr="006A6424" w:rsidRDefault="005A2AAB" w:rsidP="005A2AAB">
      <w:pPr>
        <w:pStyle w:val="ListParagraph"/>
        <w:numPr>
          <w:ilvl w:val="0"/>
          <w:numId w:val="0"/>
        </w:numPr>
        <w:ind w:left="283"/>
        <w:rPr>
          <w:lang w:eastAsia="en-NZ"/>
        </w:rPr>
      </w:pPr>
    </w:p>
    <w:p w14:paraId="6C754BA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6AE35E5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FA71D60"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391EC9C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F082B" w14:textId="77777777" w:rsidR="006A6424" w:rsidRPr="00FF2A7E" w:rsidRDefault="006A6424" w:rsidP="00FF2A7E">
      <w:pPr>
        <w:pStyle w:val="Heading2"/>
      </w:pPr>
      <w:bookmarkStart w:id="6" w:name="_Toc233982880"/>
      <w:r w:rsidRPr="00FF2A7E">
        <w:lastRenderedPageBreak/>
        <w:t>3. Core Diagnosis: Growth, Capital Pressure, and Productivity</w:t>
      </w:r>
      <w:bookmarkEnd w:id="6"/>
    </w:p>
    <w:p w14:paraId="40593AA7" w14:textId="77777777" w:rsidR="006A6424" w:rsidRPr="006A6424" w:rsidRDefault="006A6424" w:rsidP="006A6424">
      <w:pPr>
        <w:rPr>
          <w:lang w:eastAsia="en-NZ"/>
        </w:rPr>
      </w:pPr>
      <w:r w:rsidRPr="006A6424">
        <w:rPr>
          <w:lang w:eastAsia="en-NZ"/>
        </w:rPr>
        <w:t>New Zealand's productivity problem is, in part, a spatial allocation problem.</w:t>
      </w:r>
    </w:p>
    <w:p w14:paraId="3A2BFB33"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4450A7E6" w14:textId="77777777" w:rsidR="006A6424" w:rsidRPr="006A6424" w:rsidRDefault="006A6424" w:rsidP="006A6424">
      <w:pPr>
        <w:rPr>
          <w:lang w:eastAsia="en-NZ"/>
        </w:rPr>
      </w:pPr>
      <w:r w:rsidRPr="006A6424">
        <w:rPr>
          <w:lang w:eastAsia="en-NZ"/>
        </w:rPr>
        <w:t>This can be understood as a sequence of empirically observable developments.</w:t>
      </w:r>
    </w:p>
    <w:p w14:paraId="6545EA4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4638DFA9" w14:textId="77777777"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0EE92FA3"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22D54081" w14:textId="0B3D361B"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6A1868DB"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57B8B26"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F9618BB"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2C3F954D"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E4F7CDF" w14:textId="77777777" w:rsidR="006A6424" w:rsidRDefault="006A6424" w:rsidP="0080550B">
      <w:pPr>
        <w:pStyle w:val="Caption"/>
      </w:pPr>
      <w:r w:rsidRPr="006A6424">
        <w:t>Figure 2: Components of population growth (migration vs natural increase, 1990–present)</w:t>
      </w:r>
    </w:p>
    <w:p w14:paraId="6A763EF1"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5598BC6"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67541E2B" w14:textId="77777777"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21163F66"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6D8AF57B"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6F87030"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03F4A8B3" w14:textId="77777777" w:rsidR="006A6424" w:rsidRPr="006A6424" w:rsidRDefault="006A6424" w:rsidP="00AF0C1E">
      <w:pPr>
        <w:rPr>
          <w:lang w:eastAsia="en-NZ"/>
        </w:rPr>
      </w:pPr>
      <w:r w:rsidRPr="006A6424">
        <w:rPr>
          <w:lang w:eastAsia="en-NZ"/>
        </w:rPr>
        <w:t xml:space="preserve">Population growth in New Zealand is highly uneven in its spatial incidence. Metro areas (especially Auckland) absorb most growth. Internal migration redistributes population domestically, but </w:t>
      </w:r>
      <w:r w:rsidRPr="006A6424">
        <w:rPr>
          <w:lang w:eastAsia="en-NZ"/>
        </w:rPr>
        <w:lastRenderedPageBreak/>
        <w:t>international migration continues to drive metro expansion. This creates persistent, place-specific demand shocks, rather than evenly distributed national growth.</w:t>
      </w:r>
    </w:p>
    <w:p w14:paraId="5BF884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68016DBC"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19DBA9B4" w14:textId="77777777" w:rsidR="006A6424" w:rsidRDefault="006A6424" w:rsidP="00AF0C1E">
      <w:pPr>
        <w:pStyle w:val="Caption"/>
      </w:pPr>
      <w:r w:rsidRPr="00AF0C1E">
        <w:t>Figure 4: Infrastructure investment vs estimated demand / gap</w:t>
      </w:r>
      <w:r w:rsidR="00AF0C1E">
        <w:t xml:space="preserve"> (Te Waihanga 2026)</w:t>
      </w:r>
    </w:p>
    <w:p w14:paraId="1B0A2128"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EA6A8EF"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0AABDBE1"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7E1EEE5F"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03ABB617" w14:textId="77777777" w:rsidR="006A6424" w:rsidRPr="00AF0C1E" w:rsidRDefault="006A6424" w:rsidP="006A6424">
      <w:pPr>
        <w:rPr>
          <w:lang w:eastAsia="en-NZ"/>
        </w:rPr>
      </w:pPr>
      <w:r w:rsidRPr="00AF0C1E">
        <w:rPr>
          <w:lang w:eastAsia="en-NZ"/>
        </w:rPr>
        <w:t>These pressures are not cyclical—they are systemic features of the growth model.</w:t>
      </w:r>
    </w:p>
    <w:p w14:paraId="6D754255"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467E96A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0165CA74"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39147272" w14:textId="77777777"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607762FE" w14:textId="77777777" w:rsidR="006A6424" w:rsidRPr="006A6424" w:rsidRDefault="006A6424" w:rsidP="0066185C">
      <w:pPr>
        <w:rPr>
          <w:lang w:eastAsia="en-NZ"/>
        </w:rPr>
      </w:pPr>
      <w:r w:rsidRPr="006A6424">
        <w:rPr>
          <w:lang w:eastAsia="en-NZ"/>
        </w:rPr>
        <w:t xml:space="preserve">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w:t>
      </w:r>
      <w:r w:rsidRPr="006A6424">
        <w:rPr>
          <w:lang w:eastAsia="en-NZ"/>
        </w:rPr>
        <w:lastRenderedPageBreak/>
        <w:t>provision reinforces inefficient urban form (World Bank, 2009), and firms face higher costs and reduced ability to scale.</w:t>
      </w:r>
    </w:p>
    <w:p w14:paraId="5F1D9EEF"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0E672FE9"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Nunns, 2019; Ministry of Housing and Urban Development, 2024</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27A5C581"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D96A0C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36A2037A"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06C205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F22365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E8CC941" w14:textId="77777777" w:rsidR="006A6424" w:rsidRPr="006A6424" w:rsidRDefault="006A6424" w:rsidP="005A2AAB">
      <w:pPr>
        <w:pStyle w:val="Heading2"/>
        <w:rPr>
          <w:rFonts w:eastAsia="Times New Roman"/>
          <w:lang w:eastAsia="en-NZ"/>
        </w:rPr>
      </w:pPr>
      <w:bookmarkStart w:id="7" w:name="_Toc233982881"/>
      <w:r w:rsidRPr="006A6424">
        <w:rPr>
          <w:rFonts w:eastAsia="Times New Roman"/>
          <w:lang w:eastAsia="en-NZ"/>
        </w:rPr>
        <w:lastRenderedPageBreak/>
        <w:t>4. Spatial Policy as a System Lever</w:t>
      </w:r>
      <w:bookmarkEnd w:id="7"/>
    </w:p>
    <w:p w14:paraId="2A11B9C0"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050FCD66"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A4782F1"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4773CEE"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5D694715" w14:textId="77777777" w:rsidR="00920D09" w:rsidRPr="005A2AAB" w:rsidRDefault="00920D09" w:rsidP="00920D09">
      <w:pPr>
        <w:pStyle w:val="ListParagraph"/>
        <w:numPr>
          <w:ilvl w:val="0"/>
          <w:numId w:val="0"/>
        </w:numPr>
        <w:ind w:left="720"/>
        <w:rPr>
          <w:lang w:eastAsia="en-NZ"/>
        </w:rPr>
      </w:pPr>
    </w:p>
    <w:p w14:paraId="2AD8DB8E"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C6B91C7" w14:textId="77777777" w:rsidR="00920D09" w:rsidRPr="005A2AAB" w:rsidRDefault="00920D09" w:rsidP="00920D09">
      <w:pPr>
        <w:pStyle w:val="ListParagraph"/>
        <w:numPr>
          <w:ilvl w:val="0"/>
          <w:numId w:val="0"/>
        </w:numPr>
        <w:ind w:left="283"/>
        <w:rPr>
          <w:lang w:eastAsia="en-NZ"/>
        </w:rPr>
      </w:pPr>
    </w:p>
    <w:p w14:paraId="25C46C2A"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7B765E2C" w14:textId="77777777" w:rsidR="00920D09" w:rsidRPr="005A2AAB" w:rsidRDefault="00920D09" w:rsidP="00920D09">
      <w:pPr>
        <w:pStyle w:val="ListParagraph"/>
        <w:numPr>
          <w:ilvl w:val="0"/>
          <w:numId w:val="0"/>
        </w:numPr>
        <w:ind w:left="283"/>
        <w:rPr>
          <w:lang w:eastAsia="en-NZ"/>
        </w:rPr>
      </w:pPr>
    </w:p>
    <w:p w14:paraId="0707B2CD"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4D631CD7" w14:textId="77777777" w:rsidR="00920D09" w:rsidRPr="005A2AAB" w:rsidRDefault="00920D09" w:rsidP="00920D09">
      <w:pPr>
        <w:pStyle w:val="ListParagraph"/>
        <w:numPr>
          <w:ilvl w:val="0"/>
          <w:numId w:val="0"/>
        </w:numPr>
        <w:ind w:left="283"/>
        <w:rPr>
          <w:lang w:eastAsia="en-NZ"/>
        </w:rPr>
      </w:pPr>
    </w:p>
    <w:p w14:paraId="6E56510C"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00703D9D" w14:textId="77777777" w:rsidR="00920D09" w:rsidRPr="005A2AAB" w:rsidRDefault="00920D09" w:rsidP="00920D09">
      <w:pPr>
        <w:pStyle w:val="ListParagraph"/>
        <w:numPr>
          <w:ilvl w:val="0"/>
          <w:numId w:val="0"/>
        </w:numPr>
        <w:ind w:left="283"/>
        <w:rPr>
          <w:lang w:eastAsia="en-NZ"/>
        </w:rPr>
      </w:pPr>
    </w:p>
    <w:p w14:paraId="6CF85413"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0DBE44E8"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7663BC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0810A77A"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01F5A6C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480CB1C8" w14:textId="77777777" w:rsidR="00920D09" w:rsidRDefault="00920D09" w:rsidP="00920D09">
      <w:pPr>
        <w:rPr>
          <w:lang w:eastAsia="en-NZ"/>
        </w:rPr>
      </w:pPr>
    </w:p>
    <w:p w14:paraId="2A0D1F0D" w14:textId="77777777" w:rsidR="00920D09" w:rsidRPr="006A6424" w:rsidRDefault="00920D09" w:rsidP="00920D09">
      <w:pPr>
        <w:rPr>
          <w:lang w:eastAsia="en-NZ"/>
        </w:rPr>
      </w:pPr>
    </w:p>
    <w:p w14:paraId="546CF496" w14:textId="77777777" w:rsidR="006A6424" w:rsidRPr="006A6424" w:rsidRDefault="006A6424" w:rsidP="00920D09">
      <w:pPr>
        <w:pStyle w:val="Heading2"/>
        <w:rPr>
          <w:rFonts w:eastAsia="Times New Roman"/>
          <w:lang w:eastAsia="en-NZ"/>
        </w:rPr>
      </w:pPr>
      <w:bookmarkStart w:id="8" w:name="_Toc233982882"/>
      <w:r>
        <w:lastRenderedPageBreak/>
        <w:t>5. The New Zealand Spatial System — Evidence and Mechanisms</w:t>
      </w:r>
      <w:bookmarkEnd w:id="8"/>
    </w:p>
    <w:p w14:paraId="72F0078A"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7D5E2C4B"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20D6407E"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5674F65E"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56939FC4" w14:textId="77777777" w:rsidTr="002C3C6F">
        <w:tc>
          <w:tcPr>
            <w:tcW w:w="9622" w:type="dxa"/>
            <w:shd w:val="clear" w:color="auto" w:fill="D0EBB3"/>
            <w:tcMar>
              <w:top w:w="170" w:type="dxa"/>
              <w:left w:w="170" w:type="dxa"/>
              <w:bottom w:w="170" w:type="dxa"/>
              <w:right w:w="170" w:type="dxa"/>
            </w:tcMar>
          </w:tcPr>
          <w:p w14:paraId="601C50C2" w14:textId="77777777" w:rsidR="0066185C" w:rsidRPr="0066185C" w:rsidRDefault="0066185C" w:rsidP="00920D09">
            <w:pPr>
              <w:rPr>
                <w:b/>
                <w:bCs/>
                <w:lang w:eastAsia="en-NZ"/>
              </w:rPr>
            </w:pPr>
            <w:r>
              <w:rPr>
                <w:b/>
                <w:bCs/>
                <w:lang w:eastAsia="en-NZ"/>
              </w:rPr>
              <w:t>The Auckland Productivity Premium</w:t>
            </w:r>
          </w:p>
          <w:p w14:paraId="39530FCC"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4291DF79"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7137010B"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662FE5E6"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tc>
      </w:tr>
    </w:tbl>
    <w:p w14:paraId="7864FBAA" w14:textId="77777777" w:rsidR="002C3C6F" w:rsidRPr="006A6424" w:rsidRDefault="002C3C6F" w:rsidP="00920D09">
      <w:pPr>
        <w:rPr>
          <w:lang w:eastAsia="en-NZ"/>
        </w:rPr>
      </w:pPr>
    </w:p>
    <w:p w14:paraId="5517A450"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07077F23"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land use, infrastructure, transport, governance, and capital allocation interact. Together, they prevent </w:t>
      </w:r>
      <w:r w:rsidRPr="006A6424">
        <w:rPr>
          <w:lang w:eastAsia="en-NZ"/>
        </w:rPr>
        <w:lastRenderedPageBreak/>
        <w:t xml:space="preserve">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6DAC2394" w14:textId="54956489" w:rsidR="00030984" w:rsidRDefault="00030984" w:rsidP="00030984">
      <w:pPr>
        <w:pStyle w:val="Caption"/>
      </w:pPr>
      <w:r w:rsidRPr="00AF0C1E">
        <w:t xml:space="preserve">Figure </w:t>
      </w:r>
      <w:r>
        <w:t>5</w:t>
      </w:r>
      <w:r w:rsidRPr="00AF0C1E">
        <w:t xml:space="preserve">: </w:t>
      </w:r>
      <w:r>
        <w:t>City Productivity Premia (%) versus City GDP/Capita (USD PPP)</w:t>
      </w:r>
    </w:p>
    <w:p w14:paraId="7E27AA9D" w14:textId="063A8C5B"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3CCB6386" w14:textId="7D52F01B" w:rsidR="00030984" w:rsidRDefault="00F94108" w:rsidP="003F57E3">
      <w:pPr>
        <w:rPr>
          <w:lang w:eastAsia="en-NZ"/>
        </w:rPr>
      </w:pPr>
      <w:r w:rsidRPr="00030984">
        <w:rPr>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xmlns:a="http://schemas.openxmlformats.org/drawingml/2006/main"/>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F6B4A37"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6C8BAA2B"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6C8BAA2B"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71CB07D6"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063111C"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063111C"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xmlns:a="http://schemas.openxmlformats.org/drawingml/2006/main"/>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11D11465"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7FFFDE6"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7FFFDE6"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8C021AD" w14:textId="77777777" w:rsidR="00030984" w:rsidRPr="006A6424" w:rsidRDefault="00030984" w:rsidP="003F57E3">
      <w:pPr>
        <w:rPr>
          <w:lang w:eastAsia="en-NZ"/>
        </w:rPr>
      </w:pPr>
    </w:p>
    <w:p w14:paraId="45A50EAC"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6830B5B9"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2FB860DC"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4F68ABEA"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7D982198"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w:t>
      </w:r>
      <w:r>
        <w:t>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504DD282"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1BFE35A8" w14:textId="3B4BCFD5" w:rsidR="00F94108" w:rsidRDefault="00F94108" w:rsidP="00AC6638">
      <w:pPr>
        <w:pStyle w:val="Caption"/>
      </w:pPr>
      <w:r w:rsidRPr="00AF0C1E">
        <w:t xml:space="preserve">Figure </w:t>
      </w:r>
      <w:r>
        <w:t>6</w:t>
      </w:r>
      <w:r w:rsidRPr="00AF0C1E">
        <w:t>:</w:t>
      </w:r>
      <w:r>
        <w:t xml:space="preserve"> taken from Auckland City Council planning material June 2026</w:t>
      </w:r>
    </w:p>
    <w:p w14:paraId="568395AE" w14:textId="30E6A96B" w:rsidR="00F94108" w:rsidRPr="006A6424" w:rsidRDefault="00F94108" w:rsidP="00AC6638">
      <w:pPr>
        <w:jc w:val="center"/>
        <w:rPr>
          <w:lang w:eastAsia="en-NZ"/>
        </w:rPr>
      </w:pPr>
      <w:r w:rsidRPr="00F94108">
        <w:rPr>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54919CAB"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13424FC"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787BC1B8"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3EC39885"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0BEF6B6"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690BA07F"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7E19160E"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237002D6"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1B298703" w14:textId="7AEA8154"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232D4B91"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75485185"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6BAA101A" w14:textId="798E50D2"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1BB8CC79" w14:textId="3A57B0EA" w:rsidR="006A6424" w:rsidRPr="006A6424" w:rsidRDefault="00F94108" w:rsidP="00AC6638">
      <w:pPr>
        <w:jc w:val="center"/>
        <w:rPr>
          <w:lang w:eastAsia="en-NZ"/>
        </w:rPr>
      </w:pPr>
      <w:r w:rsidRPr="00F94108">
        <w:rPr>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B890CC9"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73BC31CA"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15CF0A1F"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42C404E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FDE4BE"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4B3D3566" w14:textId="77777777" w:rsidR="006A6424" w:rsidRPr="006A6424" w:rsidRDefault="006A6424" w:rsidP="003F57E3">
      <w:pPr>
        <w:rPr>
          <w:lang w:eastAsia="en-NZ"/>
        </w:rPr>
      </w:pPr>
      <w:r w:rsidRPr="006A6424">
        <w:rPr>
          <w:lang w:eastAsia="en-NZ"/>
        </w:rP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w:t>
      </w:r>
      <w:proofErr w:type="gramStart"/>
      <w:r w:rsidRPr="006A6424">
        <w:rPr>
          <w:lang w:eastAsia="en-NZ"/>
        </w:rPr>
        <w:t>the vast majority of</w:t>
      </w:r>
      <w:proofErr w:type="gramEnd"/>
      <w:r w:rsidRPr="006A6424">
        <w:rPr>
          <w:lang w:eastAsia="en-NZ"/>
        </w:rPr>
        <w:t xml:space="preserve">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063664F2"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6FCB580D"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66FDD724"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333379FD"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w:t>
      </w:r>
      <w:r>
        <w:t xml:space="preserve">kills requires deep, accessible labour markets, and the housing and transport constraints described above thin out exactly those markets. A skilled migrant who cannot </w:t>
      </w:r>
      <w:r>
        <w:lastRenderedPageBreak/>
        <w:t>afford to live within reach of the specialised jobs that match their qualifications becomes part of the mismatch statistics.</w:t>
      </w:r>
    </w:p>
    <w:p w14:paraId="58DBA6B1"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7D96AE96"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18B4ABFA" w14:textId="0A001E13"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6636567B"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4DA0A385"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26AE024E"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7C9B2DC5"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D63C608" w14:textId="6CF6C131" w:rsidR="004C268F" w:rsidRPr="006A6424" w:rsidRDefault="004C268F" w:rsidP="003F57E3">
      <w:pPr>
        <w:rPr>
          <w:lang w:eastAsia="en-NZ"/>
        </w:rPr>
      </w:pPr>
      <w:r>
        <w:rPr>
          <w:lang w:eastAsia="en-NZ"/>
        </w:rPr>
        <w:t xml:space="preserve">The ‘super city’ reforms, and subsequent spatial plan, were both </w:t>
      </w:r>
      <w:r>
        <w:rPr>
          <w:lang w:eastAsia="en-NZ"/>
        </w:rPr>
        <w:t>extremely important steps in the right direction</w:t>
      </w:r>
      <w:r>
        <w:rPr>
          <w:lang w:eastAsia="en-NZ"/>
        </w:rPr>
        <w:t>, but there is some way still to go</w:t>
      </w:r>
      <w:r>
        <w:rPr>
          <w:lang w:eastAsia="en-NZ"/>
        </w:rPr>
        <w:t>, and</w:t>
      </w:r>
      <w:r>
        <w:rPr>
          <w:lang w:eastAsia="en-NZ"/>
        </w:rPr>
        <w:t xml:space="preserve"> </w:t>
      </w:r>
      <w:r>
        <w:rPr>
          <w:lang w:eastAsia="en-NZ"/>
        </w:rPr>
        <w:t xml:space="preserve">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6837CAB0"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3F679FF9"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0570EBBA" w14:textId="77777777" w:rsidR="006A6424" w:rsidRPr="006A6424" w:rsidRDefault="006A6424" w:rsidP="00891B2B">
      <w:pPr>
        <w:rPr>
          <w:lang w:eastAsia="en-NZ"/>
        </w:rPr>
      </w:pPr>
      <w:r w:rsidRPr="006A6424">
        <w:rPr>
          <w:lang w:eastAsia="en-NZ"/>
        </w:rPr>
        <w:t xml:space="preserve">As set out in Section 3, a significant share of investment is directed toward housing, land, and infrastructure required to accommodate population growth. (Ministry of Housing and Urban </w:t>
      </w:r>
      <w:r w:rsidRPr="006A6424">
        <w:rPr>
          <w:lang w:eastAsia="en-NZ"/>
        </w:rPr>
        <w:lastRenderedPageBreak/>
        <w:t>Development, 2024; Winter et al., 2025) This reflects both strong demand pressures in metropolitan areas and the constraints on land and infrastructure that raise the cost of accommodating that growth.</w:t>
      </w:r>
    </w:p>
    <w:p w14:paraId="580FF0FF"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769D49D7"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0B26A9D4"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654DF312"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7A72D732" w14:textId="77777777" w:rsidR="006A6424" w:rsidRPr="006A6424" w:rsidRDefault="00AF1867" w:rsidP="00AF1867">
      <w:pPr>
        <w:pStyle w:val="Heading4"/>
        <w:rPr>
          <w:rFonts w:eastAsia="Times New Roman"/>
          <w:lang w:eastAsia="en-NZ"/>
        </w:rPr>
      </w:pPr>
      <w:r>
        <w:rPr>
          <w:rFonts w:eastAsia="Times New Roman"/>
          <w:lang w:eastAsia="en-NZ"/>
        </w:rPr>
        <w:t xml:space="preserve">5.7 </w:t>
      </w:r>
      <w:r w:rsidR="006A6424" w:rsidRPr="006A6424">
        <w:rPr>
          <w:rFonts w:eastAsia="Times New Roman"/>
          <w:lang w:eastAsia="en-NZ"/>
        </w:rPr>
        <w:t>Weak secondary city system</w:t>
      </w:r>
    </w:p>
    <w:p w14:paraId="22B69B51"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52713988"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5CB8FEB4"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40103999"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497E863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15F09BF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4A9C2959" w14:textId="77777777" w:rsidR="006A6424" w:rsidRPr="006A6424" w:rsidRDefault="006A6424" w:rsidP="00920D09">
      <w:pPr>
        <w:rPr>
          <w:lang w:eastAsia="en-NZ"/>
        </w:rPr>
      </w:pPr>
      <w:r w:rsidRPr="006A6424">
        <w:rPr>
          <w:lang w:eastAsia="en-NZ"/>
        </w:rPr>
        <w:lastRenderedPageBreak/>
        <w:t>Over time, this produces a spatial pattern in which metropolitan areas concentrate growth and opportunity, while non-metropolitan areas experience more volatile and constrained development.</w:t>
      </w:r>
    </w:p>
    <w:p w14:paraId="63EB1445"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4C758C35" w14:textId="77777777" w:rsidR="00920D09" w:rsidRDefault="00920D09">
      <w:pPr>
        <w:spacing w:after="0"/>
        <w:rPr>
          <w:lang w:eastAsia="en-NZ"/>
        </w:rPr>
      </w:pPr>
      <w:r>
        <w:rPr>
          <w:lang w:eastAsia="en-NZ"/>
        </w:rPr>
        <w:br w:type="page"/>
      </w:r>
    </w:p>
    <w:p w14:paraId="5490B1BB" w14:textId="77777777" w:rsidR="006A6424" w:rsidRPr="006A6424" w:rsidRDefault="006A6424" w:rsidP="003F57E3">
      <w:pPr>
        <w:pStyle w:val="Heading2"/>
        <w:rPr>
          <w:rFonts w:eastAsia="Times New Roman"/>
          <w:lang w:eastAsia="en-NZ"/>
        </w:rPr>
      </w:pPr>
      <w:bookmarkStart w:id="9" w:name="_Toc233982883"/>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4DFF4307"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54BB3331"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w:t>
      </w:r>
      <w:r>
        <w:t>ing and metropolitan growth.</w:t>
      </w:r>
    </w:p>
    <w:p w14:paraId="2CA7BBDD"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w:t>
      </w:r>
      <w:r>
        <w:t>eking to sustain opportunity across the wider regions.</w:t>
      </w:r>
    </w:p>
    <w:p w14:paraId="39DED7B1"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350562F0"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2AB16F86"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74103574"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w:t>
      </w:r>
      <w:r>
        <w:t>ly important and uniquely ours. The relationship between people and place is nowhere more evident than in the name ‘tangata whenua’; the indivisibility of iwi and rohe is a central part of this national character.</w:t>
      </w:r>
    </w:p>
    <w:p w14:paraId="2CDF91D0"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w:t>
      </w:r>
      <w:r>
        <w:t>shared values.</w:t>
      </w:r>
    </w:p>
    <w:p w14:paraId="17E996FB"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0F60FDE8" w14:textId="77777777" w:rsidR="004C268F" w:rsidRDefault="004C268F">
      <w:pPr>
        <w:spacing w:after="0"/>
        <w:rPr>
          <w:rFonts w:asciiTheme="majorHAnsi" w:eastAsiaTheme="majorEastAsia" w:hAnsiTheme="majorHAnsi" w:cstheme="majorBidi"/>
          <w:b/>
          <w:sz w:val="32"/>
          <w:szCs w:val="32"/>
        </w:rPr>
      </w:pPr>
      <w:r>
        <w:br w:type="page"/>
      </w:r>
    </w:p>
    <w:p w14:paraId="7751DA6C" w14:textId="76EA2381" w:rsidR="00AF1867" w:rsidRDefault="00AF1867" w:rsidP="00AF1867">
      <w:pPr>
        <w:pStyle w:val="Heading2"/>
        <w:rPr>
          <w:rFonts w:eastAsia="Times New Roman"/>
          <w:lang w:eastAsia="en-NZ"/>
        </w:rPr>
      </w:pPr>
      <w:bookmarkStart w:id="10" w:name="_Toc233982884"/>
      <w:r>
        <w:lastRenderedPageBreak/>
        <w:t>7. New Zealand's Final Frontier</w:t>
      </w:r>
      <w:bookmarkEnd w:id="10"/>
    </w:p>
    <w:p w14:paraId="08E8857A"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5B555C9B" w14:textId="77777777" w:rsidR="00265A65" w:rsidRDefault="00505D4B">
      <w:r>
        <w:t>A more provocative interpretation is possible.</w:t>
      </w:r>
    </w:p>
    <w:p w14:paraId="74CE847E" w14:textId="008B2A3C" w:rsidR="00265A65" w:rsidRDefault="00505D4B">
      <w:r>
        <w:rPr>
          <w:b/>
        </w:rPr>
        <w:t>New Zealand's productivity problem is an Auckland frontier</w:t>
      </w:r>
      <w:r w:rsidR="000424AB">
        <w:rPr>
          <w:b/>
        </w:rPr>
        <w:t xml:space="preserve"> </w:t>
      </w:r>
      <w:r>
        <w:rPr>
          <w:b/>
        </w:rPr>
        <w:t>firm problem.</w:t>
      </w:r>
    </w:p>
    <w:p w14:paraId="31BDBBFA"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w:t>
      </w:r>
      <w:r>
        <w:t>ier is weak.</w:t>
      </w:r>
    </w:p>
    <w:p w14:paraId="56E1365E"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18EF981B"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3AAB0320"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4DA3A8C2" w14:textId="77777777" w:rsidR="00265A65" w:rsidRDefault="00505D4B">
      <w:r>
        <w:t>Viewed through a spatial lens, these are eye-opening descriptions. Almost every ingredient identified by the Productivity Commission is also an urban phenomenon.</w:t>
      </w:r>
    </w:p>
    <w:p w14:paraId="1A8DF4EB"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pPr/>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52F99810" w14:textId="77777777" w:rsidR="00265A65" w:rsidRDefault="00505D4B">
      <w:r>
        <w:t>If this is true, then the frontier firm question becomes spatial. More specifically, in the New Zealand context it becomes metropolitan, and in New Zealand, metropolitan means Auckland.</w:t>
      </w:r>
    </w:p>
    <w:p w14:paraId="4C4B7C99"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w:t>
      </w:r>
      <w:r>
        <w:lastRenderedPageBreak/>
        <w:t>share of them will emerge from Auckland or depend on Auckland-based systems and networks to reach scale.</w:t>
      </w:r>
    </w:p>
    <w:p w14:paraId="1572B73F"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CECB58A"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w:t>
      </w:r>
      <w:r>
        <w:t xml:space="preserve"> therefore a credible, if unproven, hypothesis that it is Auckland that is leading New Zealand’s poor skills matching performance. And frontier firms rely heavily on deep labour markets with fast and sophisticated skills matching.</w:t>
      </w:r>
    </w:p>
    <w:p w14:paraId="4612C5AE" w14:textId="36884FF5" w:rsidR="00265A65" w:rsidRDefault="00505D4B">
      <w:r>
        <w:t>Under this interpretation, Auckland's weak productivit</w:t>
      </w:r>
      <w:r>
        <w:t>y</w:t>
      </w:r>
      <w:r>
        <w:t xml:space="preserve">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w:t>
      </w:r>
      <w:r w:rsidR="000424AB">
        <w:t>But that means that it also provides one of the best opportunities New Zealand has to close its productivity gap.</w:t>
      </w:r>
    </w:p>
    <w:p w14:paraId="59367C2D" w14:textId="77777777" w:rsidR="00265A65" w:rsidRDefault="00505D4B">
      <w:r>
        <w:t>This hypothesis remains speculative and requires further testing. The Productivity Commission does not make this argument directly. However, the logic is sufficiently compelling to warrant investigation. If frontier firms depend on metropolitan ecosystems, and Auckland is New Zealand's only metropolitan ecosystem of international scale, then the performance of Auckland is unlikely to be merely one productivity issue among many. It is the most important one.</w:t>
      </w:r>
    </w:p>
    <w:p w14:paraId="1A46ADA1" w14:textId="77777777" w:rsidR="00265A65" w:rsidRDefault="00505D4B">
      <w:r>
        <w:t>Under that interpretation, improving Auckland's performance is not principally a regional policy objective. It is a national productivity strategy.</w:t>
      </w:r>
    </w:p>
    <w:p w14:paraId="2D5454CA"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247FC6D1" w14:textId="515E64F8" w:rsidR="006A6424" w:rsidRPr="006A6424" w:rsidRDefault="00AF1867" w:rsidP="003F57E3">
      <w:pPr>
        <w:pStyle w:val="Heading2"/>
        <w:rPr>
          <w:rFonts w:eastAsia="Times New Roman"/>
          <w:lang w:eastAsia="en-NZ"/>
        </w:rPr>
      </w:pPr>
      <w:bookmarkStart w:id="11" w:name="_Toc233982885"/>
      <w:r>
        <w:rPr>
          <w:rFonts w:eastAsia="Times New Roman"/>
          <w:lang w:eastAsia="en-NZ"/>
        </w:rPr>
        <w:lastRenderedPageBreak/>
        <w:t>8</w:t>
      </w:r>
      <w:r w:rsidR="006A6424" w:rsidRPr="006A6424">
        <w:rPr>
          <w:rFonts w:eastAsia="Times New Roman"/>
          <w:lang w:eastAsia="en-NZ"/>
        </w:rPr>
        <w:t>. Implications for Policy</w:t>
      </w:r>
      <w:bookmarkEnd w:id="11"/>
    </w:p>
    <w:p w14:paraId="37D17A7B"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1E8A09A2"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265F30B0"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3F23AE92"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0D6EB878" w14:textId="2E785E6D"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547F7706" w14:textId="274A6D45"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24AE5B81"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4FF93B4E" w14:textId="7982EAD8" w:rsidR="006A6424" w:rsidRPr="006A6424" w:rsidRDefault="00AF1867" w:rsidP="004C2E47">
      <w:pPr>
        <w:pStyle w:val="Heading2"/>
        <w:rPr>
          <w:rFonts w:eastAsia="Times New Roman"/>
          <w:lang w:eastAsia="en-NZ"/>
        </w:rPr>
      </w:pPr>
      <w:bookmarkStart w:id="12" w:name="_Toc233982886"/>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FA2F22E" w14:textId="21AA02BF" w:rsidR="00425772" w:rsidRDefault="00425772" w:rsidP="00425772">
      <w:r>
        <w:t xml:space="preserve">The implications of this paper are somewhat subtle, but can be boiled down to a </w:t>
      </w:r>
      <w:r w:rsidR="00D6114E">
        <w:t xml:space="preserve">couple of </w:t>
      </w:r>
      <w:r>
        <w:t xml:space="preserve">simple propositions – </w:t>
      </w:r>
    </w:p>
    <w:p w14:paraId="0566B73A" w14:textId="67F3146A"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14EFF0B" w14:textId="77777777" w:rsidR="00717D67" w:rsidRDefault="00717D67" w:rsidP="00717D67">
      <w:pPr>
        <w:pStyle w:val="ListParagraph"/>
        <w:numPr>
          <w:ilvl w:val="0"/>
          <w:numId w:val="0"/>
        </w:numPr>
        <w:ind w:left="720"/>
      </w:pPr>
    </w:p>
    <w:p w14:paraId="43BCF8DD" w14:textId="2B630DA8"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791A70DB" w14:textId="77777777" w:rsidR="00717D67" w:rsidRDefault="00717D67" w:rsidP="00717D67">
      <w:pPr>
        <w:pStyle w:val="ListParagraph"/>
        <w:numPr>
          <w:ilvl w:val="0"/>
          <w:numId w:val="0"/>
        </w:numPr>
        <w:ind w:left="283"/>
      </w:pPr>
    </w:p>
    <w:p w14:paraId="42BA8D1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134AF59D" w14:textId="77777777" w:rsidR="006E34E0" w:rsidRDefault="006E34E0">
      <w:pPr>
        <w:rPr>
          <w:kern w:val="2"/>
          <w:lang w:eastAsia="en-NZ"/>
          <w14:ligatures w14:val="standardContextual"/>
        </w:rPr>
      </w:pPr>
      <w:r>
        <w:t>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policy deepens labour markets, improves access to productive locations, supports frontier-firm ecosystems and reduces the frictions that currently turn scale into cost.</w:t>
      </w:r>
    </w:p>
    <w:p w14:paraId="5CD59210"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1B4D00"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2B050998"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799819E3" w14:textId="1402D6E4" w:rsidR="00425772" w:rsidRDefault="00425772" w:rsidP="00425772"/>
    <w:p w14:paraId="5DB0A1CD" w14:textId="77777777" w:rsidR="00425772" w:rsidRPr="00425772" w:rsidRDefault="00425772" w:rsidP="00425772"/>
    <w:p w14:paraId="229C582F" w14:textId="4A54EFEB" w:rsidR="006A6424" w:rsidRPr="00425772" w:rsidRDefault="003B184F" w:rsidP="00425772">
      <w:pPr>
        <w:pStyle w:val="Heading2"/>
        <w:rPr>
          <w:rFonts w:eastAsia="Times New Roman"/>
          <w:lang w:val="fr-FR" w:eastAsia="en-NZ"/>
        </w:rPr>
      </w:pPr>
      <w:r w:rsidRPr="00425772">
        <w:rPr>
          <w:rFonts w:eastAsia="Times New Roman"/>
          <w:lang w:eastAsia="en-NZ"/>
        </w:rPr>
        <w:br w:type="page"/>
      </w:r>
      <w:bookmarkStart w:id="13" w:name="_Toc233982887"/>
      <w:r w:rsidR="006A6424" w:rsidRPr="00425772">
        <w:rPr>
          <w:lang w:val="fr-FR" w:eastAsia="en-NZ"/>
        </w:rPr>
        <w:lastRenderedPageBreak/>
        <w:t>Bibliography</w:t>
      </w:r>
      <w:bookmarkEnd w:id="13"/>
    </w:p>
    <w:p w14:paraId="62EFC203"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22F2DD1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5A1943DA"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164CE361"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1EBBCA45"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54B7E3A"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5C3643A5" w14:textId="77777777" w:rsidR="006A6424" w:rsidRPr="006A6424" w:rsidRDefault="006A6424" w:rsidP="00425772">
      <w:pPr>
        <w:rPr>
          <w:lang w:eastAsia="en-NZ"/>
        </w:rPr>
      </w:pPr>
      <w:proofErr w:type="spellStart"/>
      <w:proofErr w:type="spellEnd"/>
      <w:r>
        <w:t xml:space="preserve">Combes, P.-P., Duranton, G., Gobillon, L., Puga, D. and Roux, S. (2012). The productivity advantages of large cities: Distinguishing agglomeration from firm selection. </w:t>
      </w:r>
      <w:r>
        <w:rPr>
          <w:i/>
        </w:rPr>
        <w:t>Econometrica</w:t>
      </w:r>
      <w:r>
        <w:t>, 80(6), 2211–2244.</w:t>
      </w:r>
    </w:p>
    <w:p w14:paraId="5C3643A5"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28CE0335"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025DE22C"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2021-024/VIII. Amsterdam: Tinbergen Institute.</w:t>
      </w:r>
    </w:p>
    <w:p w14:paraId="66BA6442" w14:textId="77777777" w:rsidR="006A6424" w:rsidRPr="006A6424" w:rsidRDefault="006A6424" w:rsidP="00425772">
      <w:pPr>
        <w:rPr>
          <w:lang w:eastAsia="en-NZ"/>
        </w:rPr>
      </w:pPr>
      <w:r w:rsidRPr="006A6424">
        <w:rPr>
          <w:lang w:eastAsia="en-NZ"/>
        </w:rPr>
        <w:t>Donovan, S., de Graaff, T., de Groot, H.L.F., Grimes, A. and Maré, D.C. (2022). Cities with forking paths? Agglomeration economies in New Zealand 1976–2018. </w:t>
      </w:r>
      <w:r w:rsidRPr="006A6424">
        <w:rPr>
          <w:i/>
          <w:iCs/>
          <w:lang w:eastAsia="en-NZ"/>
        </w:rPr>
        <w:t>Regional Science and Urban Economics</w:t>
      </w:r>
      <w:r w:rsidRPr="006A6424">
        <w:rPr>
          <w:lang w:eastAsia="en-NZ"/>
        </w:rPr>
        <w:t>, 95, Article 103779.</w:t>
      </w:r>
    </w:p>
    <w:p w14:paraId="17A5339D"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7B9CD47"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6E04DBF4"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4B772490" w14:textId="77777777" w:rsidR="006A6424" w:rsidRPr="006A6424" w:rsidRDefault="006A6424" w:rsidP="00425772">
      <w:pPr>
        <w:rPr>
          <w:lang w:eastAsia="en-NZ"/>
        </w:rPr>
      </w:pPr>
      <w:r w:rsidRPr="006A6424">
        <w:rPr>
          <w:lang w:eastAsia="en-NZ"/>
        </w:rPr>
        <w:t>Kānoa RD. (2026, February). </w:t>
      </w:r>
      <w:r w:rsidRPr="006A6424">
        <w:rPr>
          <w:i/>
          <w:iCs/>
          <w:lang w:eastAsia="en-NZ"/>
        </w:rPr>
        <w:t>Changes in population across Aotearoa/New Zealand</w:t>
      </w:r>
      <w:r w:rsidRPr="006A6424">
        <w:rPr>
          <w:lang w:eastAsia="en-NZ"/>
        </w:rPr>
        <w:t>. Kānoa — Regional Economic Development &amp; Investment Unit, Ministry of Business, Innovation &amp; Employment. Internal presentation.</w:t>
      </w:r>
    </w:p>
    <w:p w14:paraId="34C28B25"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2660D453" w14:textId="77777777" w:rsidR="006A6424" w:rsidRPr="006A6424" w:rsidRDefault="006A6424" w:rsidP="00425772">
      <w:pPr>
        <w:rPr>
          <w:lang w:eastAsia="en-NZ"/>
        </w:rPr>
      </w:pPr>
      <w:r w:rsidRPr="006A6424">
        <w:rPr>
          <w:lang w:eastAsia="en-NZ"/>
        </w:rPr>
        <w:lastRenderedPageBreak/>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6BBE2B5F"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7992D6B1" w14:textId="77777777" w:rsidR="006A6424" w:rsidRPr="006A6424" w:rsidRDefault="006A6424" w:rsidP="00425772">
      <w:pPr>
        <w:rPr>
          <w:lang w:eastAsia="en-NZ"/>
        </w:rPr>
      </w:pPr>
      <w:r w:rsidRPr="006A6424">
        <w:rPr>
          <w:lang w:eastAsia="en-NZ"/>
        </w:rPr>
        <w:t>Ministry of Housing and Urban Development. (2024). </w:t>
      </w:r>
      <w:r w:rsidRPr="006A6424">
        <w:rPr>
          <w:i/>
          <w:iCs/>
          <w:lang w:eastAsia="en-NZ"/>
        </w:rPr>
        <w:t>Research on housing as an enabler of economic growth and productivity</w:t>
      </w:r>
      <w:r w:rsidRPr="006A6424">
        <w:rPr>
          <w:lang w:eastAsia="en-NZ"/>
        </w:rPr>
        <w:t> (Aide-memoire HUD2024-003621, 8 March 2024). Wellington: New Zealand Government.</w:t>
      </w:r>
    </w:p>
    <w:p w14:paraId="114335D2"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40916076" w14:textId="77777777" w:rsidR="006A6424" w:rsidRPr="006A6424" w:rsidRDefault="006A6424" w:rsidP="00425772">
      <w:pPr>
        <w:rPr>
          <w:lang w:eastAsia="en-NZ"/>
        </w:rPr>
      </w:pPr>
      <w:r w:rsidRPr="006A6424">
        <w:rPr>
          <w:lang w:val="fr-FR" w:eastAsia="en-NZ"/>
        </w:rPr>
        <w:t>New Zealand Infrastructure Commission, Te Waihanga. (2026).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242E5C45"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21968EE5"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27F4BA24"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7295AD79"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7295AD79"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732CF636"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1EEE6E2E"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3C05983A"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DADC7C8" w14:textId="77777777" w:rsidR="006A6424" w:rsidRPr="006A6424" w:rsidRDefault="006A6424" w:rsidP="00425772">
      <w:pPr>
        <w:rPr>
          <w:lang w:eastAsia="en-NZ"/>
        </w:rPr>
      </w:pPr>
      <w:r w:rsidRPr="006A6424">
        <w:rPr>
          <w:lang w:eastAsia="en-NZ"/>
        </w:rPr>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4ED60DE9" w14:textId="77777777" w:rsidR="0017741E" w:rsidRPr="00B22259" w:rsidRDefault="0017741E" w:rsidP="006A6424">
      <w:pPr>
        <w:pStyle w:val="Heading1"/>
      </w:pPr>
    </w:p>
    <w:sectPr w:rsidR="0017741E" w:rsidRPr="00B22259" w:rsidSect="00D2741D">
      <w:headerReference w:type="default" r:id="rId21"/>
      <w:footerReference w:type="default" r:id="rId22"/>
      <w:footerReference w:type="first" r:id="rId23"/>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7430" w14:textId="77777777" w:rsidR="00505D4B" w:rsidRPr="006A6424" w:rsidRDefault="00505D4B" w:rsidP="004434DB">
      <w:r w:rsidRPr="006A6424">
        <w:separator/>
      </w:r>
    </w:p>
  </w:endnote>
  <w:endnote w:type="continuationSeparator" w:id="0">
    <w:p w14:paraId="3D7E4E79" w14:textId="77777777" w:rsidR="00505D4B" w:rsidRPr="006A6424" w:rsidRDefault="00505D4B"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1AF4E6BA" w14:textId="77777777" w:rsidTr="00556981">
      <w:tc>
        <w:tcPr>
          <w:tcW w:w="7938" w:type="dxa"/>
        </w:tcPr>
        <w:p w14:paraId="63277F85" w14:textId="77777777" w:rsidR="00556981" w:rsidRPr="006A6424" w:rsidRDefault="006A6424" w:rsidP="004434DB">
          <w:pPr>
            <w:pStyle w:val="Footer"/>
          </w:pPr>
          <w:fldSimple w:instr=" FILENAME  \* FirstCap  \* MERGEFORMAT ">
            <w:r w:rsidRPr="006A6424">
              <w:t>Document4</w:t>
            </w:r>
          </w:fldSimple>
          <w:r w:rsidR="00556981" w:rsidRPr="006A6424">
            <w:t xml:space="preserve"> – edit on one page should update all pages</w:t>
          </w:r>
        </w:p>
      </w:tc>
      <w:tc>
        <w:tcPr>
          <w:tcW w:w="1694" w:type="dxa"/>
        </w:tcPr>
        <w:p w14:paraId="7D54029B"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0442F22"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6BCD1F74" w14:textId="77777777" w:rsidTr="00C93AFC">
      <w:tc>
        <w:tcPr>
          <w:tcW w:w="7938" w:type="dxa"/>
        </w:tcPr>
        <w:p w14:paraId="26DD46DE" w14:textId="77777777"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11F47F87"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373C94EF"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130E4C04" w14:textId="77777777" w:rsidTr="00556981">
      <w:tc>
        <w:tcPr>
          <w:tcW w:w="8222" w:type="dxa"/>
        </w:tcPr>
        <w:p w14:paraId="0AC575BC" w14:textId="77777777" w:rsidR="006002A4" w:rsidRPr="006A6424" w:rsidRDefault="005A2AAB" w:rsidP="004434DB">
          <w:pPr>
            <w:pStyle w:val="Footer"/>
          </w:pPr>
          <w:r>
            <w:t>Cities and Spatial Policy</w:t>
          </w:r>
        </w:p>
      </w:tc>
      <w:tc>
        <w:tcPr>
          <w:tcW w:w="1410" w:type="dxa"/>
        </w:tcPr>
        <w:p w14:paraId="54426AF6"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2686F778"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46D37096" w14:textId="77777777" w:rsidTr="00E258CF">
      <w:tc>
        <w:tcPr>
          <w:tcW w:w="8217" w:type="dxa"/>
        </w:tcPr>
        <w:p w14:paraId="30A76488" w14:textId="77777777" w:rsidR="00066273" w:rsidRPr="006A6424" w:rsidRDefault="006A6424" w:rsidP="004434DB">
          <w:pPr>
            <w:pStyle w:val="Footer"/>
          </w:pPr>
          <w:fldSimple w:instr=" FILENAME  \* FirstCap  \* MERGEFORMAT ">
            <w:r w:rsidRPr="006A6424">
              <w:t>Document4</w:t>
            </w:r>
          </w:fldSimple>
          <w:r w:rsidR="00066273" w:rsidRPr="006A6424">
            <w:t xml:space="preserve"> – edit on one page should update all pages</w:t>
          </w:r>
        </w:p>
      </w:tc>
      <w:tc>
        <w:tcPr>
          <w:tcW w:w="1139" w:type="dxa"/>
        </w:tcPr>
        <w:p w14:paraId="20C87F96"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3893153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81940" w14:textId="77777777" w:rsidR="00505D4B" w:rsidRPr="006A6424" w:rsidRDefault="00505D4B" w:rsidP="004434DB">
      <w:bookmarkStart w:id="0" w:name="_Hlk104460753"/>
      <w:bookmarkEnd w:id="0"/>
      <w:r w:rsidRPr="006A6424">
        <w:separator/>
      </w:r>
    </w:p>
  </w:footnote>
  <w:footnote w:type="continuationSeparator" w:id="0">
    <w:p w14:paraId="72E0DC4C" w14:textId="77777777" w:rsidR="00505D4B" w:rsidRPr="006A6424" w:rsidRDefault="00505D4B"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1EBD"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C0EA"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927B5"/>
    <w:rsid w:val="001B6714"/>
    <w:rsid w:val="001D3A83"/>
    <w:rsid w:val="001D7310"/>
    <w:rsid w:val="00205378"/>
    <w:rsid w:val="002268F7"/>
    <w:rsid w:val="00265A65"/>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95F"/>
    <w:rsid w:val="003E67A7"/>
    <w:rsid w:val="003F57E3"/>
    <w:rsid w:val="004069EE"/>
    <w:rsid w:val="0041099D"/>
    <w:rsid w:val="00415A50"/>
    <w:rsid w:val="00421EA3"/>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57A5"/>
    <w:rsid w:val="00546B8F"/>
    <w:rsid w:val="00556981"/>
    <w:rsid w:val="00585A8E"/>
    <w:rsid w:val="00587391"/>
    <w:rsid w:val="00587E81"/>
    <w:rsid w:val="00592D3D"/>
    <w:rsid w:val="0059550F"/>
    <w:rsid w:val="005A2082"/>
    <w:rsid w:val="005A2AAB"/>
    <w:rsid w:val="005C021F"/>
    <w:rsid w:val="005D4A0E"/>
    <w:rsid w:val="005E4A30"/>
    <w:rsid w:val="005E7A89"/>
    <w:rsid w:val="006002A4"/>
    <w:rsid w:val="00641B21"/>
    <w:rsid w:val="0065533B"/>
    <w:rsid w:val="006606F0"/>
    <w:rsid w:val="00661336"/>
    <w:rsid w:val="0066185C"/>
    <w:rsid w:val="00694235"/>
    <w:rsid w:val="006A53F6"/>
    <w:rsid w:val="006A6424"/>
    <w:rsid w:val="006C5C32"/>
    <w:rsid w:val="006D3167"/>
    <w:rsid w:val="006E34E0"/>
    <w:rsid w:val="006E526C"/>
    <w:rsid w:val="00703900"/>
    <w:rsid w:val="00705DFD"/>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91B2B"/>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741D"/>
    <w:rsid w:val="00D4476D"/>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D5A80"/>
    <w:rsid w:val="00F10D62"/>
    <w:rsid w:val="00F11AA7"/>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E1E19"/>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F859EB20-C25E-4B7A-BA14-E2B8299DC4F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A6F9358-F7E4-464B-BB23-6EF219A0C4C1}"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2698FC35-9C4A-43D7-94EC-92EADA0773BC}"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76EFF29-8129-4A7D-AEE3-0A5ACC06AB2D}"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EA1EFFF9-E267-4F5A-9CE3-22B6820F413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111D4E52-A3A1-4677-BC02-87F1F8D2863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DAD05DF-F03D-4513-A158-E5154FA864FC}"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366F2250-324C-40F7-953B-FB56F4DF09A1}"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DD6E22CB-F81A-4CB7-9B7B-E43705E1B509}"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5F5F5952-7076-4DAF-9B5F-568CAA7029E7}"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7EAD81D3-21FA-4DC8-8B25-36666CD5840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22F677C2-2281-4D66-B80B-73E63F6845EA}"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861452A0-F26B-4D5E-9B52-234A1265A8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EA515579-F34C-4621-80F8-916E464FD0A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25AF8C82-79BE-4ABE-9EF5-12AFB2828E5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48022CAC-373B-48A5-B554-056DB0277C7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4E4057A0-5E44-4DD5-B520-9E98BB91950B}"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F105F931-20A9-46AB-A250-F7F8A98F58F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10A5FEF6-0F92-458A-8FCC-05A5F5345A3E}"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E8B8B896-D61B-40F6-A78E-401C3E4CC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73</TotalTime>
  <Pages>29</Pages>
  <Words>10105</Words>
  <Characters>59823</Characters>
  <Application>Microsoft Office Word</Application>
  <DocSecurity>0</DocSecurity>
  <Lines>920</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4</cp:revision>
  <cp:lastPrinted>2022-05-31T02:02:00Z</cp:lastPrinted>
  <dcterms:created xsi:type="dcterms:W3CDTF">2026-07-03T01:59:00Z</dcterms:created>
  <dcterms:modified xsi:type="dcterms:W3CDTF">2026-07-03T03:11:00Z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2ea8f-33a2-4d89-bc10-4ca73b1a3f73_Enabled">
    <vt:lpwstr>true</vt:lpwstr>
  </property>
  <property fmtid="{D5CDD505-2E9C-101B-9397-08002B2CF9AE}" pid="3" name="MSIP_Label_ffa2ea8f-33a2-4d89-bc10-4ca73b1a3f73_SetDate">
    <vt:lpwstr>2026-07-03T02:15:23Z</vt:lpwstr>
  </property>
  <property fmtid="{D5CDD505-2E9C-101B-9397-08002B2CF9AE}" pid="4" name="MSIP_Label_ffa2ea8f-33a2-4d89-bc10-4ca73b1a3f73_Method">
    <vt:lpwstr>Standard</vt:lpwstr>
  </property>
  <property fmtid="{D5CDD505-2E9C-101B-9397-08002B2CF9AE}" pid="5" name="MSIP_Label_ffa2ea8f-33a2-4d89-bc10-4ca73b1a3f73_Name">
    <vt:lpwstr>IN-CONFIDENCE</vt:lpwstr>
  </property>
  <property fmtid="{D5CDD505-2E9C-101B-9397-08002B2CF9AE}" pid="6" name="MSIP_Label_ffa2ea8f-33a2-4d89-bc10-4ca73b1a3f73_SiteId">
    <vt:lpwstr>78b2bd11-e42b-47ea-b011-2e04c3af5ec1</vt:lpwstr>
  </property>
  <property fmtid="{D5CDD505-2E9C-101B-9397-08002B2CF9AE}" pid="7" name="MSIP_Label_ffa2ea8f-33a2-4d89-bc10-4ca73b1a3f73_ActionId">
    <vt:lpwstr>ce0726dd-7207-4f1e-aace-107b2604774c</vt:lpwstr>
  </property>
  <property fmtid="{D5CDD505-2E9C-101B-9397-08002B2CF9AE}" pid="8" name="MSIP_Label_ffa2ea8f-33a2-4d89-bc10-4ca73b1a3f73_ContentBits">
    <vt:lpwstr>0</vt:lpwstr>
  </property>
  <property fmtid="{D5CDD505-2E9C-101B-9397-08002B2CF9AE}" pid="9" name="MSIP_Label_ffa2ea8f-33a2-4d89-bc10-4ca73b1a3f73_Tag">
    <vt:lpwstr>10, 1, 2, 1</vt:lpwstr>
  </property>
</Properties>
</file>