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tc>
          <w:tcPr>
            <w:tcW w:type="dxa" w:w="1696"/>
          </w:tcPr>
          <w:p>
            <w:r>
              <w:t>Version 1.2</w:t>
            </w:r>
          </w:p>
        </w:tc>
        <w:tc>
          <w:tcPr>
            <w:tcW w:type="dxa" w:w="1701"/>
          </w:tcPr>
          <w:p>
            <w:r>
              <w:t>July 2026</w:t>
            </w:r>
          </w:p>
        </w:tc>
        <w:tc>
          <w:tcPr>
            <w:tcW w:type="dxa" w:w="6225"/>
          </w:tcPr>
          <w:p>
            <w: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p>
            <w:r>
              <w:t>None of this is a new observation. Treasury's internal assessment reached the same conclusion in 2017: Auckland ‘is not performing as well as you would expect from its size and in comparison to other primary cities around the world’, with a productivity premium that had been shrinking over time (The Treasury, 2017).</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8: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is not merely inference. Treasury analysis of firm-level data finds that most of New Zealand's national frontier firms — the most productive firms in each industry — are already located in Auckland, and that these firms are the principal conduit through which new technology and knowledge spread to the rest of the economy (The Treasury, 2017, relaying analysis by Zheng, 2016). The frontier is not hypothetically metropolitan; it is measurably concentrated in Auckland.</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Parts of this hypothesis require further testing, and the Productivity Commission does not make the argument directly. But its central premise is no longer speculative: the national productivity frontier is measurably concentrated in Auckland (The Treasury, 2017).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42A703F5"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607F07AA" w14:textId="77777777" w:rsidR="006A6424" w:rsidRPr="006A6424" w:rsidRDefault="006A6424" w:rsidP="00425772">
      <w:pPr>
        <w:rPr>
          <w:lang w:eastAsia="en-NZ"/>
        </w:rPr>
      </w:pPr>
      <w:r w:rsidRPr="006A6424">
        <w:rPr>
          <w:lang w:eastAsia="en-NZ"/>
        </w:rPr>
        <w:lastRenderedPageBreak/>
        <w:t>Kānoa RD. (2026, February). </w:t>
      </w:r>
      <w:r w:rsidRPr="006A6424">
        <w:rPr>
          <w:i/>
          <w:iCs/>
          <w:lang w:eastAsia="en-NZ"/>
        </w:rPr>
        <w:t>Changes in population across Aotearoa/New Zealand</w:t>
      </w:r>
      <w:r w:rsidRPr="006A6424">
        <w:rPr>
          <w:lang w:eastAsia="en-NZ"/>
        </w:rPr>
        <w:t>. Kānoa — Regional Economic Development &amp; Investment Unit, Ministry of Business, Innovation &amp; Employment. Internal presentation.</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sidRPr="006A6424">
        <w:rPr>
          <w:lang w:eastAsia="en-NZ"/>
        </w:rPr>
        <w:t>Ministry of Housing and Urban Development. (2024). </w:t>
      </w:r>
      <w:r w:rsidRPr="006A6424">
        <w:rPr>
          <w:i/>
          <w:iCs/>
          <w:lang w:eastAsia="en-NZ"/>
        </w:rPr>
        <w:t>Research on housing as an enabler of economic growth and productivity</w:t>
      </w:r>
      <w:r w:rsidRPr="006A6424">
        <w:rPr>
          <w:lang w:eastAsia="en-NZ"/>
        </w:rPr>
        <w:t> (Aide-memoire HUD2024-003621, 8 March 2024). Wellington: New Zealand Government.</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t xml:space="preserve">The Treasury. (2017). </w:t>
      </w:r>
      <w:r>
        <w:rPr>
          <w:i/>
        </w:rPr>
        <w:t>Auckland Story</w:t>
      </w:r>
      <w:r>
        <w:t xml:space="preserve"> (draft working document, v2.0, 26 July 2017). Wellington: New Zealand Treasury.</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