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7D41"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436E1531" w14:textId="546D4ACB"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436E1531" w14:textId="546D4ACB"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3CC2FF54"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1696"/>
        <w:gridCol w:w="1701"/>
        <w:gridCol w:w="6225"/>
      </w:tblGrid>
      <w:tr w:rsidR="00D12DA8" w:rsidRPr="006A6424" w14:paraId="75C9BADD" w14:textId="77777777" w:rsidTr="009B2F01">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81" w:type="pct"/>
            <w:tcBorders>
              <w:bottom w:val="nil"/>
            </w:tcBorders>
            <w:shd w:val="clear" w:color="auto" w:fill="006171" w:themeFill="text2"/>
            <w:vAlign w:val="center"/>
            <w:hideMark/>
          </w:tcPr>
          <w:p w14:paraId="1FCA15C1" w14:textId="77777777" w:rsidR="00D12DA8" w:rsidRPr="009B2F01" w:rsidRDefault="00D12DA8" w:rsidP="004434DB">
            <w:pPr>
              <w:rPr>
                <w:b w:val="0"/>
                <w:bCs w:val="0"/>
                <w:sz w:val="18"/>
                <w:szCs w:val="18"/>
              </w:rPr>
            </w:pPr>
            <w:r w:rsidRPr="009B2F01">
              <w:rPr>
                <w:color w:val="FFFFFF" w:themeColor="background1"/>
                <w:sz w:val="18"/>
                <w:szCs w:val="18"/>
              </w:rPr>
              <w:t>Document history</w:t>
            </w:r>
          </w:p>
        </w:tc>
        <w:tc>
          <w:tcPr>
            <w:tcW w:w="884" w:type="pct"/>
            <w:tcBorders>
              <w:bottom w:val="nil"/>
            </w:tcBorders>
            <w:shd w:val="clear" w:color="auto" w:fill="006171" w:themeFill="text2"/>
            <w:vAlign w:val="center"/>
          </w:tcPr>
          <w:p w14:paraId="26B15798"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b w:val="0"/>
                <w:bCs w:val="0"/>
                <w:sz w:val="18"/>
                <w:szCs w:val="18"/>
              </w:rPr>
            </w:pPr>
          </w:p>
        </w:tc>
        <w:tc>
          <w:tcPr>
            <w:tcW w:w="3235" w:type="pct"/>
            <w:tcBorders>
              <w:bottom w:val="nil"/>
            </w:tcBorders>
            <w:shd w:val="clear" w:color="auto" w:fill="006171" w:themeFill="text2"/>
            <w:vAlign w:val="center"/>
          </w:tcPr>
          <w:p w14:paraId="7C7A2AD2"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sz w:val="18"/>
                <w:szCs w:val="18"/>
              </w:rPr>
            </w:pPr>
          </w:p>
        </w:tc>
      </w:tr>
      <w:tr w:rsidR="009421A7" w:rsidRPr="006A6424" w14:paraId="6238E04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Borders>
              <w:top w:val="nil"/>
            </w:tcBorders>
            <w:shd w:val="clear" w:color="auto" w:fill="D9D9D9" w:themeFill="background1" w:themeFillShade="D9"/>
          </w:tcPr>
          <w:p w14:paraId="5712A4CC" w14:textId="77777777" w:rsidR="009421A7" w:rsidRPr="009B2F01" w:rsidRDefault="009421A7" w:rsidP="004434DB">
            <w:pPr>
              <w:rPr>
                <w:b w:val="0"/>
                <w:bCs w:val="0"/>
                <w:sz w:val="18"/>
                <w:szCs w:val="18"/>
              </w:rPr>
            </w:pPr>
            <w:r w:rsidRPr="009B2F01">
              <w:rPr>
                <w:b w:val="0"/>
                <w:bCs w:val="0"/>
                <w:sz w:val="18"/>
                <w:szCs w:val="18"/>
              </w:rPr>
              <w:t>Status</w:t>
            </w:r>
          </w:p>
        </w:tc>
        <w:tc>
          <w:tcPr>
            <w:tcW w:w="884" w:type="pct"/>
            <w:tcBorders>
              <w:top w:val="nil"/>
            </w:tcBorders>
            <w:shd w:val="clear" w:color="auto" w:fill="D9D9D9" w:themeFill="background1" w:themeFillShade="D9"/>
          </w:tcPr>
          <w:p w14:paraId="01491156"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Commencement date</w:t>
            </w:r>
          </w:p>
        </w:tc>
        <w:tc>
          <w:tcPr>
            <w:tcW w:w="3235" w:type="pct"/>
            <w:tcBorders>
              <w:top w:val="nil"/>
            </w:tcBorders>
            <w:shd w:val="clear" w:color="auto" w:fill="D9D9D9" w:themeFill="background1" w:themeFillShade="D9"/>
          </w:tcPr>
          <w:p w14:paraId="6B2AC0F1"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Alterations</w:t>
            </w:r>
          </w:p>
        </w:tc>
      </w:tr>
      <w:tr w:rsidR="009421A7" w:rsidRPr="006A6424" w14:paraId="432B2A3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B01CE01" w14:textId="77777777" w:rsidR="009421A7" w:rsidRPr="009B2F01" w:rsidRDefault="009421A7" w:rsidP="004434DB">
            <w:pPr>
              <w:rPr>
                <w:b w:val="0"/>
                <w:bCs w:val="0"/>
                <w:sz w:val="18"/>
                <w:szCs w:val="18"/>
              </w:rPr>
            </w:pPr>
            <w:r w:rsidRPr="009B2F01">
              <w:rPr>
                <w:b w:val="0"/>
                <w:bCs w:val="0"/>
                <w:sz w:val="18"/>
                <w:szCs w:val="18"/>
              </w:rPr>
              <w:t xml:space="preserve">Version </w:t>
            </w:r>
            <w:r w:rsidR="006A6424" w:rsidRPr="009B2F01">
              <w:rPr>
                <w:b w:val="0"/>
                <w:bCs w:val="0"/>
                <w:sz w:val="18"/>
                <w:szCs w:val="18"/>
              </w:rPr>
              <w:t>0.</w:t>
            </w:r>
            <w:r w:rsidR="004C2E47" w:rsidRPr="009B2F01">
              <w:rPr>
                <w:b w:val="0"/>
                <w:bCs w:val="0"/>
                <w:sz w:val="18"/>
                <w:szCs w:val="18"/>
              </w:rPr>
              <w:t>6</w:t>
            </w:r>
          </w:p>
        </w:tc>
        <w:tc>
          <w:tcPr>
            <w:tcW w:w="884" w:type="pct"/>
          </w:tcPr>
          <w:p w14:paraId="4F48C2A5" w14:textId="77777777" w:rsidR="009421A7" w:rsidRPr="009B2F01" w:rsidRDefault="006A642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5601C51" w14:textId="77777777" w:rsidR="009421A7" w:rsidRPr="009B2F01" w:rsidRDefault="00EB68C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Version control established</w:t>
            </w:r>
          </w:p>
        </w:tc>
      </w:tr>
      <w:tr w:rsidR="003B184F" w:rsidRPr="006A6424" w14:paraId="54D64B02"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6A0045B1" w14:textId="77777777" w:rsidR="003B184F" w:rsidRPr="009B2F01" w:rsidRDefault="003B184F" w:rsidP="004434DB">
            <w:pPr>
              <w:rPr>
                <w:b w:val="0"/>
                <w:bCs w:val="0"/>
                <w:sz w:val="18"/>
                <w:szCs w:val="18"/>
              </w:rPr>
            </w:pPr>
            <w:r w:rsidRPr="009B2F01">
              <w:rPr>
                <w:b w:val="0"/>
                <w:bCs w:val="0"/>
                <w:sz w:val="18"/>
                <w:szCs w:val="18"/>
              </w:rPr>
              <w:t>Version 0.7</w:t>
            </w:r>
          </w:p>
        </w:tc>
        <w:tc>
          <w:tcPr>
            <w:tcW w:w="884" w:type="pct"/>
          </w:tcPr>
          <w:p w14:paraId="277E87D8"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C2E3C91"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Central evidence section restructured</w:t>
            </w:r>
          </w:p>
        </w:tc>
      </w:tr>
      <w:tr w:rsidR="00CB06EC" w:rsidRPr="006A6424" w14:paraId="685CC38F"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C087EBE" w14:textId="77777777" w:rsidR="00265A65" w:rsidRPr="009B2F01" w:rsidRDefault="00505D4B">
            <w:pPr>
              <w:rPr>
                <w:b w:val="0"/>
                <w:bCs w:val="0"/>
                <w:sz w:val="18"/>
                <w:szCs w:val="18"/>
              </w:rPr>
            </w:pPr>
            <w:r w:rsidRPr="009B2F01">
              <w:rPr>
                <w:b w:val="0"/>
                <w:bCs w:val="0"/>
                <w:sz w:val="18"/>
                <w:szCs w:val="18"/>
              </w:rPr>
              <w:t>Version 0.8</w:t>
            </w:r>
          </w:p>
        </w:tc>
        <w:tc>
          <w:tcPr>
            <w:tcW w:w="884" w:type="pct"/>
          </w:tcPr>
          <w:p w14:paraId="2CF311E5"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040253FD"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Parallel Word and Markdown versions instituted; trans-Tasman migration channel added (5.1); skills mismatch evidence added (5.4); Nunns (2019) and OECD (2016) added to bibliography; duplicate section numbering corrected (Conclusion now 11); Section 7 (New Zealand's Final Frontier) drafted and referenced; Section 6 (political economy) redrafted</w:t>
            </w:r>
          </w:p>
        </w:tc>
      </w:tr>
      <w:tr w:rsidR="00EB68C4" w:rsidRPr="006A6424" w14:paraId="640B3789"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49C73D0F" w14:textId="77777777" w:rsidR="00EB68C4" w:rsidRPr="009B2F01" w:rsidRDefault="00EB68C4">
            <w:pPr>
              <w:rPr>
                <w:b w:val="0"/>
                <w:bCs w:val="0"/>
                <w:sz w:val="18"/>
                <w:szCs w:val="18"/>
              </w:rPr>
            </w:pPr>
            <w:r w:rsidRPr="009B2F01">
              <w:rPr>
                <w:b w:val="0"/>
                <w:bCs w:val="0"/>
                <w:sz w:val="18"/>
                <w:szCs w:val="18"/>
              </w:rPr>
              <w:t>Version 0.9</w:t>
            </w:r>
          </w:p>
        </w:tc>
        <w:tc>
          <w:tcPr>
            <w:tcW w:w="884" w:type="pct"/>
          </w:tcPr>
          <w:p w14:paraId="7B7E48CE" w14:textId="77777777" w:rsidR="00EB68C4" w:rsidRPr="009B2F01" w:rsidRDefault="00EB68C4">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6BBF74E"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Sections 8, 9, exec summary drafted; reference sweep — citations resolved in 3.7, 3.9, 5.5, 5.8; Nunns &amp; Dodge (2022) bibliography entry corrected to match in-text citations; Combes et al. (2012) ingested — firm selection bullet corrected (S2), dilation evidence added (S7)</w:t>
            </w:r>
          </w:p>
        </w:tc>
      </w:tr>
      <w:tr w:rsidR="008B4DDF" w14:paraId="1423C648"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D5E788F" w14:textId="77777777" w:rsidR="008B4DDF" w:rsidRPr="009B2F01" w:rsidRDefault="0071405A">
            <w:pPr>
              <w:rPr>
                <w:b w:val="0"/>
                <w:bCs w:val="0"/>
                <w:sz w:val="18"/>
                <w:szCs w:val="18"/>
              </w:rPr>
            </w:pPr>
            <w:r w:rsidRPr="009B2F01">
              <w:rPr>
                <w:b w:val="0"/>
                <w:bCs w:val="0"/>
                <w:sz w:val="18"/>
                <w:szCs w:val="18"/>
              </w:rPr>
              <w:t>Version 1.0</w:t>
            </w:r>
          </w:p>
        </w:tc>
        <w:tc>
          <w:tcPr>
            <w:tcW w:w="884" w:type="pct"/>
          </w:tcPr>
          <w:p w14:paraId="4C43CE1B"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6046B893"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'The Missing Institution' added to Section 9; executive summary conclusion strengthened (spatial neutrality, Auckland as highest-leverage intervention); issued as complete draft</w:t>
            </w:r>
          </w:p>
        </w:tc>
      </w:tr>
      <w:tr w:rsidR="005A107C" w14:paraId="3E676C2E"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FEDA261" w14:textId="79B59096" w:rsidR="005A107C" w:rsidRPr="005A107C" w:rsidRDefault="005A107C">
            <w:pPr>
              <w:rPr>
                <w:b w:val="0"/>
                <w:bCs w:val="0"/>
                <w:sz w:val="18"/>
                <w:szCs w:val="18"/>
              </w:rPr>
            </w:pPr>
            <w:r>
              <w:rPr>
                <w:b w:val="0"/>
                <w:bCs w:val="0"/>
                <w:sz w:val="18"/>
                <w:szCs w:val="18"/>
              </w:rPr>
              <w:t>Version 1.1</w:t>
            </w:r>
          </w:p>
        </w:tc>
        <w:tc>
          <w:tcPr>
            <w:tcW w:w="884" w:type="pct"/>
          </w:tcPr>
          <w:p w14:paraId="7A7B1656" w14:textId="6D91AB0C" w:rsidR="005A107C" w:rsidRPr="009B2F01" w:rsidRDefault="005A107C">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July 2026</w:t>
            </w:r>
          </w:p>
        </w:tc>
        <w:tc>
          <w:tcPr>
            <w:tcW w:w="3235" w:type="pct"/>
          </w:tcPr>
          <w:p w14:paraId="4B9DC7E9" w14:textId="77777777" w:rsidR="00812AB0" w:rsidRPr="005C6F0C" w:rsidRDefault="000B224F">
            <w:pPr>
              <w:cnfStyle w:val="000000000000" w:firstRow="0" w:lastRow="0" w:firstColumn="0" w:lastColumn="0" w:oddVBand="0" w:evenVBand="0" w:oddHBand="0" w:evenHBand="0" w:firstRowFirstColumn="0" w:firstRowLastColumn="0" w:lastRowFirstColumn="0" w:lastRowLastColumn="0"/>
              <w:rPr>
                <w:sz w:val="18"/>
                <w:szCs w:val="18"/>
              </w:rPr>
            </w:pPr>
            <w:r w:rsidRPr="005C6F0C">
              <w:rPr>
                <w:sz w:val="18"/>
                <w:szCs w:val="18"/>
              </w:rPr>
              <w:t>References updated, inclusion of Auckland Transport strategic plan; 3.3 population concentration stat added (Auckland absorbed &gt;40% of national growth, 1991–2023 censuses)</w:t>
            </w:r>
          </w:p>
        </w:tc>
      </w:tr>
      <w:tr>
        <w:tc>
          <w:tcPr>
            <w:tcW w:type="dxa" w:w="1696"/>
          </w:tcPr>
          <w:p>
            <w:r>
              <w:t>Version 1.2</w:t>
            </w:r>
          </w:p>
        </w:tc>
        <w:tc>
          <w:tcPr>
            <w:tcW w:type="dxa" w:w="1701"/>
          </w:tcPr>
          <w:p>
            <w:r>
              <w:t>July 2026</w:t>
            </w:r>
          </w:p>
        </w:tc>
        <w:tc>
          <w:tcPr>
            <w:tcW w:type="dxa" w:w="6225"/>
          </w:tcPr>
          <w:p>
            <w:r>
              <w:t>The Treasury (2017) Auckland Story cited: frontier-firm concentration in Auckland added to Section 7 and hypothesis language strengthened; 2017 underperformance precedent added to the Auckland Productivity Premium box. Bibliography audit corrections re-applied (Donovan et al. 2021 Tinbergen number TI 2021-026/VIII; Donovan et al. 2022 article number 103799 and author order) — full 33-entry bibliography previously verified against source documents</w:t>
            </w:r>
          </w:p>
        </w:tc>
      </w:tr>
      <w:tr>
        <w:tc>
          <w:tcPr>
            <w:tcW w:type="dxa" w:w="1696"/>
          </w:tcPr>
          <w:p>
            <w:r>
              <w:t>Version 1.3</w:t>
            </w:r>
          </w:p>
        </w:tc>
        <w:tc>
          <w:tcPr>
            <w:tcW w:type="dxa" w:w="1701"/>
          </w:tcPr>
          <w:p>
            <w:r>
              <w:t>August 2026</w:t>
            </w:r>
          </w:p>
        </w:tc>
        <w:tc>
          <w:tcPr>
            <w:tcW w:type="dxa" w:w="6225"/>
          </w:tcPr>
          <w:p>
            <w:r>
              <w:t>Publication readiness: all unpublished and in-confidence sources removed. Kānoa RD (2026, internal presentation) replaced by Statistics New Zealand subnational population estimates; The Treasury (2017) Auckland Story (IN-CONFIDENCE draft) replaced by Zheng (2016), the publicly available primary analysis it relayed, and its quote removed from the Auckland Productivity Premium box; MHUD (2024) citation updated to note proactive release with URL. Every remaining source is publicly available.</w:t>
            </w:r>
          </w:p>
        </w:tc>
      </w:tr>
    </w:tbl>
    <w:p w14:paraId="3B7A7AB1" w14:textId="77777777" w:rsidR="009421A7" w:rsidRPr="006A6424" w:rsidRDefault="009421A7" w:rsidP="004434DB"/>
    <w:p w14:paraId="64C1BD87" w14:textId="1459799B" w:rsidR="006A6424" w:rsidRPr="006A6424" w:rsidRDefault="008B107F">
      <w:pPr>
        <w:spacing w:after="0"/>
        <w:rPr>
          <w:b/>
          <w:bCs/>
          <w:sz w:val="56"/>
          <w:szCs w:val="56"/>
        </w:rPr>
      </w:pPr>
      <w:bookmarkStart w:id="2" w:name="_Toc189460583"/>
      <w:r w:rsidRPr="008B107F">
        <w:rPr>
          <w:b/>
          <w:bCs/>
          <w:color w:val="FF0000"/>
        </w:rPr>
        <w:t xml:space="preserve">This version is in draft. It has not been peer reviewed. It is not government policy. It represents the thoughts and findings of the </w:t>
      </w:r>
      <w:proofErr w:type="gramStart"/>
      <w:r w:rsidRPr="008B107F">
        <w:rPr>
          <w:b/>
          <w:bCs/>
          <w:color w:val="FF0000"/>
        </w:rPr>
        <w:t>author, and</w:t>
      </w:r>
      <w:proofErr w:type="gramEnd"/>
      <w:r w:rsidRPr="008B107F">
        <w:rPr>
          <w:b/>
          <w:bCs/>
          <w:color w:val="FF0000"/>
        </w:rPr>
        <w:t xml:space="preserve"> is not an official MBIE position.  </w:t>
      </w:r>
      <w:r w:rsidR="006A6424" w:rsidRPr="006A6424">
        <w:rPr>
          <w:b/>
          <w:bCs/>
          <w:sz w:val="56"/>
          <w:szCs w:val="56"/>
        </w:rPr>
        <w:br w:type="page"/>
      </w:r>
    </w:p>
    <w:p w14:paraId="7790CD17" w14:textId="77777777" w:rsidR="009421A7" w:rsidRPr="006A6424" w:rsidRDefault="009421A7" w:rsidP="004434DB">
      <w:pPr>
        <w:rPr>
          <w:b/>
          <w:bCs/>
          <w:sz w:val="56"/>
          <w:szCs w:val="56"/>
        </w:rPr>
      </w:pPr>
      <w:r w:rsidRPr="006A6424">
        <w:rPr>
          <w:b/>
          <w:bCs/>
          <w:sz w:val="56"/>
          <w:szCs w:val="56"/>
        </w:rPr>
        <w:lastRenderedPageBreak/>
        <w:t>Contents</w:t>
      </w:r>
      <w:bookmarkEnd w:id="2"/>
    </w:p>
    <w:p w14:paraId="2FB8E6BF" w14:textId="1FAD53D6" w:rsidR="00D24853"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4827729" w:history="1">
        <w:r w:rsidR="00D24853" w:rsidRPr="00E747A1">
          <w:rPr>
            <w:rStyle w:val="Hyperlink"/>
            <w:rFonts w:eastAsia="Times New Roman"/>
            <w:lang w:eastAsia="en-NZ"/>
          </w:rPr>
          <w:t>Executive Summary</w:t>
        </w:r>
        <w:r w:rsidR="00D24853">
          <w:rPr>
            <w:webHidden/>
          </w:rPr>
          <w:tab/>
        </w:r>
        <w:r w:rsidR="00D24853">
          <w:rPr>
            <w:webHidden/>
          </w:rPr>
          <w:fldChar w:fldCharType="begin"/>
        </w:r>
        <w:r w:rsidR="00D24853">
          <w:rPr>
            <w:webHidden/>
          </w:rPr>
          <w:instrText xml:space="preserve"> PAGEREF _Toc234827729 \h </w:instrText>
        </w:r>
        <w:r w:rsidR="00D24853">
          <w:rPr>
            <w:webHidden/>
          </w:rPr>
        </w:r>
        <w:r w:rsidR="00D24853">
          <w:rPr>
            <w:webHidden/>
          </w:rPr>
          <w:fldChar w:fldCharType="separate"/>
        </w:r>
        <w:r w:rsidR="00D24853">
          <w:rPr>
            <w:webHidden/>
          </w:rPr>
          <w:t>4</w:t>
        </w:r>
        <w:r w:rsidR="00D24853">
          <w:rPr>
            <w:webHidden/>
          </w:rPr>
          <w:fldChar w:fldCharType="end"/>
        </w:r>
      </w:hyperlink>
    </w:p>
    <w:p w14:paraId="637905BA" w14:textId="641EB90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0" w:history="1">
        <w:r w:rsidRPr="00E747A1">
          <w:rPr>
            <w:rStyle w:val="Hyperlink"/>
            <w:rFonts w:eastAsia="Times New Roman"/>
            <w:lang w:eastAsia="en-NZ"/>
          </w:rPr>
          <w:t>1. Purpose</w:t>
        </w:r>
        <w:r>
          <w:rPr>
            <w:webHidden/>
          </w:rPr>
          <w:tab/>
        </w:r>
        <w:r>
          <w:rPr>
            <w:webHidden/>
          </w:rPr>
          <w:fldChar w:fldCharType="begin"/>
        </w:r>
        <w:r>
          <w:rPr>
            <w:webHidden/>
          </w:rPr>
          <w:instrText xml:space="preserve"> PAGEREF _Toc234827730 \h </w:instrText>
        </w:r>
        <w:r>
          <w:rPr>
            <w:webHidden/>
          </w:rPr>
        </w:r>
        <w:r>
          <w:rPr>
            <w:webHidden/>
          </w:rPr>
          <w:fldChar w:fldCharType="separate"/>
        </w:r>
        <w:r>
          <w:rPr>
            <w:webHidden/>
          </w:rPr>
          <w:t>5</w:t>
        </w:r>
        <w:r>
          <w:rPr>
            <w:webHidden/>
          </w:rPr>
          <w:fldChar w:fldCharType="end"/>
        </w:r>
      </w:hyperlink>
    </w:p>
    <w:p w14:paraId="34DD9054" w14:textId="7AB70FD3"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1" w:history="1">
        <w:r w:rsidRPr="00E747A1">
          <w:rPr>
            <w:rStyle w:val="Hyperlink"/>
            <w:rFonts w:eastAsia="Times New Roman"/>
            <w:lang w:eastAsia="en-NZ"/>
          </w:rPr>
          <w:t>2. What We Expect from Cities</w:t>
        </w:r>
        <w:r>
          <w:rPr>
            <w:webHidden/>
          </w:rPr>
          <w:tab/>
        </w:r>
        <w:r>
          <w:rPr>
            <w:webHidden/>
          </w:rPr>
          <w:fldChar w:fldCharType="begin"/>
        </w:r>
        <w:r>
          <w:rPr>
            <w:webHidden/>
          </w:rPr>
          <w:instrText xml:space="preserve"> PAGEREF _Toc234827731 \h </w:instrText>
        </w:r>
        <w:r>
          <w:rPr>
            <w:webHidden/>
          </w:rPr>
        </w:r>
        <w:r>
          <w:rPr>
            <w:webHidden/>
          </w:rPr>
          <w:fldChar w:fldCharType="separate"/>
        </w:r>
        <w:r>
          <w:rPr>
            <w:webHidden/>
          </w:rPr>
          <w:t>6</w:t>
        </w:r>
        <w:r>
          <w:rPr>
            <w:webHidden/>
          </w:rPr>
          <w:fldChar w:fldCharType="end"/>
        </w:r>
      </w:hyperlink>
    </w:p>
    <w:p w14:paraId="32F6C59A" w14:textId="4A2935CB"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2" w:history="1">
        <w:r w:rsidRPr="00E747A1">
          <w:rPr>
            <w:rStyle w:val="Hyperlink"/>
          </w:rPr>
          <w:t>3. Core Diagnosis: Growth, Capital Pressure, and Productivity</w:t>
        </w:r>
        <w:r>
          <w:rPr>
            <w:webHidden/>
          </w:rPr>
          <w:tab/>
        </w:r>
        <w:r>
          <w:rPr>
            <w:webHidden/>
          </w:rPr>
          <w:fldChar w:fldCharType="begin"/>
        </w:r>
        <w:r>
          <w:rPr>
            <w:webHidden/>
          </w:rPr>
          <w:instrText xml:space="preserve"> PAGEREF _Toc234827732 \h </w:instrText>
        </w:r>
        <w:r>
          <w:rPr>
            <w:webHidden/>
          </w:rPr>
        </w:r>
        <w:r>
          <w:rPr>
            <w:webHidden/>
          </w:rPr>
          <w:fldChar w:fldCharType="separate"/>
        </w:r>
        <w:r>
          <w:rPr>
            <w:webHidden/>
          </w:rPr>
          <w:t>8</w:t>
        </w:r>
        <w:r>
          <w:rPr>
            <w:webHidden/>
          </w:rPr>
          <w:fldChar w:fldCharType="end"/>
        </w:r>
      </w:hyperlink>
    </w:p>
    <w:p w14:paraId="40076BAE" w14:textId="15533429"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3" w:history="1">
        <w:r w:rsidRPr="00E747A1">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_Toc234827733 \h </w:instrText>
        </w:r>
        <w:r>
          <w:rPr>
            <w:webHidden/>
          </w:rPr>
        </w:r>
        <w:r>
          <w:rPr>
            <w:webHidden/>
          </w:rPr>
          <w:fldChar w:fldCharType="separate"/>
        </w:r>
        <w:r>
          <w:rPr>
            <w:webHidden/>
          </w:rPr>
          <w:t>12</w:t>
        </w:r>
        <w:r>
          <w:rPr>
            <w:webHidden/>
          </w:rPr>
          <w:fldChar w:fldCharType="end"/>
        </w:r>
      </w:hyperlink>
    </w:p>
    <w:p w14:paraId="77BAB7AB" w14:textId="381113C6"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4" w:history="1">
        <w:r w:rsidRPr="00E747A1">
          <w:rPr>
            <w:rStyle w:val="Hyperlink"/>
          </w:rPr>
          <w:t>5. The New Zealand Spatial System — Evidence and Mechanisms</w:t>
        </w:r>
        <w:r>
          <w:rPr>
            <w:webHidden/>
          </w:rPr>
          <w:tab/>
        </w:r>
        <w:r>
          <w:rPr>
            <w:webHidden/>
          </w:rPr>
          <w:fldChar w:fldCharType="begin"/>
        </w:r>
        <w:r>
          <w:rPr>
            <w:webHidden/>
          </w:rPr>
          <w:instrText xml:space="preserve"> PAGEREF _Toc234827734 \h </w:instrText>
        </w:r>
        <w:r>
          <w:rPr>
            <w:webHidden/>
          </w:rPr>
        </w:r>
        <w:r>
          <w:rPr>
            <w:webHidden/>
          </w:rPr>
          <w:fldChar w:fldCharType="separate"/>
        </w:r>
        <w:r>
          <w:rPr>
            <w:webHidden/>
          </w:rPr>
          <w:t>13</w:t>
        </w:r>
        <w:r>
          <w:rPr>
            <w:webHidden/>
          </w:rPr>
          <w:fldChar w:fldCharType="end"/>
        </w:r>
      </w:hyperlink>
    </w:p>
    <w:p w14:paraId="51250392" w14:textId="17452DA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5" w:history="1">
        <w:r w:rsidRPr="00E747A1">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_Toc234827735 \h </w:instrText>
        </w:r>
        <w:r>
          <w:rPr>
            <w:webHidden/>
          </w:rPr>
        </w:r>
        <w:r>
          <w:rPr>
            <w:webHidden/>
          </w:rPr>
          <w:fldChar w:fldCharType="separate"/>
        </w:r>
        <w:r>
          <w:rPr>
            <w:webHidden/>
          </w:rPr>
          <w:t>21</w:t>
        </w:r>
        <w:r>
          <w:rPr>
            <w:webHidden/>
          </w:rPr>
          <w:fldChar w:fldCharType="end"/>
        </w:r>
      </w:hyperlink>
    </w:p>
    <w:p w14:paraId="1406D9F9" w14:textId="2649D32C"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6" w:history="1">
        <w:r w:rsidRPr="00E747A1">
          <w:rPr>
            <w:rStyle w:val="Hyperlink"/>
          </w:rPr>
          <w:t>7. New Zealand's Final Frontier</w:t>
        </w:r>
        <w:r>
          <w:rPr>
            <w:webHidden/>
          </w:rPr>
          <w:tab/>
        </w:r>
        <w:r>
          <w:rPr>
            <w:webHidden/>
          </w:rPr>
          <w:fldChar w:fldCharType="begin"/>
        </w:r>
        <w:r>
          <w:rPr>
            <w:webHidden/>
          </w:rPr>
          <w:instrText xml:space="preserve"> PAGEREF _Toc234827736 \h </w:instrText>
        </w:r>
        <w:r>
          <w:rPr>
            <w:webHidden/>
          </w:rPr>
        </w:r>
        <w:r>
          <w:rPr>
            <w:webHidden/>
          </w:rPr>
          <w:fldChar w:fldCharType="separate"/>
        </w:r>
        <w:r>
          <w:rPr>
            <w:webHidden/>
          </w:rPr>
          <w:t>23</w:t>
        </w:r>
        <w:r>
          <w:rPr>
            <w:webHidden/>
          </w:rPr>
          <w:fldChar w:fldCharType="end"/>
        </w:r>
      </w:hyperlink>
    </w:p>
    <w:p w14:paraId="65E4E871" w14:textId="4E958CCB"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7" w:history="1">
        <w:r w:rsidRPr="00E747A1">
          <w:rPr>
            <w:rStyle w:val="Hyperlink"/>
            <w:rFonts w:eastAsia="Times New Roman"/>
            <w:lang w:eastAsia="en-NZ"/>
          </w:rPr>
          <w:t>8. Implications for Policy</w:t>
        </w:r>
        <w:r>
          <w:rPr>
            <w:webHidden/>
          </w:rPr>
          <w:tab/>
        </w:r>
        <w:r>
          <w:rPr>
            <w:webHidden/>
          </w:rPr>
          <w:fldChar w:fldCharType="begin"/>
        </w:r>
        <w:r>
          <w:rPr>
            <w:webHidden/>
          </w:rPr>
          <w:instrText xml:space="preserve"> PAGEREF _Toc234827737 \h </w:instrText>
        </w:r>
        <w:r>
          <w:rPr>
            <w:webHidden/>
          </w:rPr>
        </w:r>
        <w:r>
          <w:rPr>
            <w:webHidden/>
          </w:rPr>
          <w:fldChar w:fldCharType="separate"/>
        </w:r>
        <w:r>
          <w:rPr>
            <w:webHidden/>
          </w:rPr>
          <w:t>25</w:t>
        </w:r>
        <w:r>
          <w:rPr>
            <w:webHidden/>
          </w:rPr>
          <w:fldChar w:fldCharType="end"/>
        </w:r>
      </w:hyperlink>
    </w:p>
    <w:p w14:paraId="19B61FBA" w14:textId="777E368A"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8" w:history="1">
        <w:r w:rsidRPr="00E747A1">
          <w:rPr>
            <w:rStyle w:val="Hyperlink"/>
            <w:rFonts w:eastAsia="Times New Roman"/>
            <w:lang w:eastAsia="en-NZ"/>
          </w:rPr>
          <w:t>9. What MBIE should do next</w:t>
        </w:r>
        <w:r>
          <w:rPr>
            <w:webHidden/>
          </w:rPr>
          <w:tab/>
        </w:r>
        <w:r>
          <w:rPr>
            <w:webHidden/>
          </w:rPr>
          <w:fldChar w:fldCharType="begin"/>
        </w:r>
        <w:r>
          <w:rPr>
            <w:webHidden/>
          </w:rPr>
          <w:instrText xml:space="preserve"> PAGEREF _Toc234827738 \h </w:instrText>
        </w:r>
        <w:r>
          <w:rPr>
            <w:webHidden/>
          </w:rPr>
        </w:r>
        <w:r>
          <w:rPr>
            <w:webHidden/>
          </w:rPr>
          <w:fldChar w:fldCharType="separate"/>
        </w:r>
        <w:r>
          <w:rPr>
            <w:webHidden/>
          </w:rPr>
          <w:t>26</w:t>
        </w:r>
        <w:r>
          <w:rPr>
            <w:webHidden/>
          </w:rPr>
          <w:fldChar w:fldCharType="end"/>
        </w:r>
      </w:hyperlink>
    </w:p>
    <w:p w14:paraId="7AEBF2E4" w14:textId="3D5D30C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9" w:history="1">
        <w:r w:rsidRPr="00E747A1">
          <w:rPr>
            <w:rStyle w:val="Hyperlink"/>
            <w:lang w:eastAsia="en-NZ"/>
          </w:rPr>
          <w:t>Bibliography</w:t>
        </w:r>
        <w:r>
          <w:rPr>
            <w:webHidden/>
          </w:rPr>
          <w:tab/>
        </w:r>
        <w:r>
          <w:rPr>
            <w:webHidden/>
          </w:rPr>
          <w:fldChar w:fldCharType="begin"/>
        </w:r>
        <w:r>
          <w:rPr>
            <w:webHidden/>
          </w:rPr>
          <w:instrText xml:space="preserve"> PAGEREF _Toc234827739 \h </w:instrText>
        </w:r>
        <w:r>
          <w:rPr>
            <w:webHidden/>
          </w:rPr>
        </w:r>
        <w:r>
          <w:rPr>
            <w:webHidden/>
          </w:rPr>
          <w:fldChar w:fldCharType="separate"/>
        </w:r>
        <w:r>
          <w:rPr>
            <w:webHidden/>
          </w:rPr>
          <w:t>28</w:t>
        </w:r>
        <w:r>
          <w:rPr>
            <w:webHidden/>
          </w:rPr>
          <w:fldChar w:fldCharType="end"/>
        </w:r>
      </w:hyperlink>
    </w:p>
    <w:p w14:paraId="203636A3" w14:textId="48D20A3E"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5ADAC8F4" w14:textId="77777777" w:rsidR="006E34E0" w:rsidRDefault="006E34E0" w:rsidP="006E34E0">
      <w:pPr>
        <w:pStyle w:val="Heading2"/>
        <w:rPr>
          <w:rFonts w:eastAsia="Times New Roman"/>
          <w:lang w:eastAsia="en-NZ"/>
        </w:rPr>
      </w:pPr>
      <w:bookmarkStart w:id="3" w:name="_Toc234827729"/>
      <w:r>
        <w:rPr>
          <w:rFonts w:eastAsia="Times New Roman"/>
          <w:lang w:eastAsia="en-NZ"/>
        </w:rPr>
        <w:lastRenderedPageBreak/>
        <w:t>Executive Summary</w:t>
      </w:r>
      <w:bookmarkEnd w:id="3"/>
    </w:p>
    <w:p w14:paraId="165C2C42" w14:textId="77777777" w:rsidR="00F11AA7" w:rsidRDefault="00F11AA7">
      <w:pPr>
        <w:rPr>
          <w:kern w:val="2"/>
          <w:lang w:eastAsia="en-NZ"/>
          <w14:ligatures w14:val="standardContextual"/>
        </w:rPr>
      </w:pPr>
      <w:r>
        <w:t>This paper argues that New Zealand's productivity problem is, in part, a spatial problem. The country has experienced sustained population growth, increasingly concentrated in Auckland, but has not converted that growth into the productivity gains expected from larger, denser and better-connected cities. Instead, growth has been absorbed into housing costs, land prices, congestion, infrastructure backlogs and fragmented labour markets.</w:t>
      </w:r>
    </w:p>
    <w:p w14:paraId="691A9DDD" w14:textId="77777777" w:rsidR="00F11AA7" w:rsidRDefault="00F11AA7">
      <w:pPr>
        <w:rPr>
          <w:kern w:val="2"/>
          <w:lang w:eastAsia="en-NZ"/>
          <w14:ligatures w14:val="standardContextual"/>
        </w:rPr>
      </w:pPr>
      <w:r>
        <w:t>The core diagnosis is that population growth, capital pressure and spatial constraint have become mutually reinforcing. Migration-led growth lands disproportionately in metropolitan areas. Infrastructure and housing systems struggle to accommodate it. Capital is drawn into land, housing and catch-up infrastructure rather than into productive firms, technology and frontier capability. The result is a low-productivity equilibrium; New Zealand grows, but much of the economic value of growth is dissipated before it becomes higher output per worker.</w:t>
      </w:r>
    </w:p>
    <w:p w14:paraId="3D2728D6" w14:textId="77777777" w:rsidR="00F11AA7" w:rsidRDefault="00F11AA7">
      <w:pPr>
        <w:rPr>
          <w:kern w:val="2"/>
          <w:lang w:eastAsia="en-NZ"/>
          <w14:ligatures w14:val="standardContextual"/>
        </w:rPr>
      </w:pPr>
      <w:r>
        <w:t>Auckland is central to this story. It is New Zealand's only metropolitan economy of international scale and accounts for around one-third of population, employment and GDP. It should therefore generate a material national productivity premium. It does generate some premium, but much less than comparable primate cities overseas. The problem is not that Auckland is too large or too dominant. The problem is that Auckland is not functioning well enough as a city: housing is expensive, effective labour markets are thinner than they should be, transport constraints reduce accessibility, and the spatial system weakens the matching, learning and sharing mechanisms that make cities productive.</w:t>
      </w:r>
    </w:p>
    <w:p w14:paraId="225675C2" w14:textId="77777777" w:rsidR="00F11AA7" w:rsidRDefault="00F11AA7">
      <w:pPr>
        <w:rPr>
          <w:kern w:val="2"/>
          <w:lang w:eastAsia="en-NZ"/>
          <w14:ligatures w14:val="standardContextual"/>
        </w:rPr>
      </w:pPr>
      <w:r>
        <w:t xml:space="preserve">This much is supported by strong evidence and should be easily accepted by most readers. However, this paper advances a stronger hypothesis: New Zealand's frontier firm problem may be, to a significant degree, an Auckland problem. Frontier firms depend on ecosystems of skilled labour, capital, research capability, specialised suppliers, international connections and dense firm networks. These are metropolitan assets. If Auckland cannot provide them at sufficient depth, speed and scale, New Zealand should expect exactly what it observes: too few frontier firms, weak technology diffusion, poor skills matching and a national productivity frontier well below that of comparable </w:t>
      </w:r>
      <w:proofErr w:type="gramStart"/>
      <w:r>
        <w:t>small advanced</w:t>
      </w:r>
      <w:proofErr w:type="gramEnd"/>
      <w:r>
        <w:t xml:space="preserve"> economies.</w:t>
      </w:r>
    </w:p>
    <w:p w14:paraId="69F0490C" w14:textId="06D927CE" w:rsidR="00F11AA7" w:rsidRDefault="00F11AA7">
      <w:pPr>
        <w:rPr>
          <w:kern w:val="2"/>
          <w:lang w:eastAsia="en-NZ"/>
          <w14:ligatures w14:val="standardContextual"/>
        </w:rPr>
      </w:pPr>
      <w:r>
        <w:t>This does not imply an Auckland-versus-the-regions strategy. It implies the opposite. A mature spatial policy would recognise that different places perform different national functions. Auckland's job is to generate metropolitan productivity and frontier</w:t>
      </w:r>
      <w:r w:rsidR="00F175F9">
        <w:t xml:space="preserve"> </w:t>
      </w:r>
      <w:r>
        <w:t>firm potential at national scale. The regions' role includes primary production, tourism, natural resources, amenity, cultural identity and resilience. Treating these roles as a zero-sum contest is a recipe for continued underperformance. The national interest is served when each part of the spatial system does the job it is best placed to do.</w:t>
      </w:r>
      <w:r w:rsidR="00065347">
        <w:t xml:space="preserve"> There is a strong argument to be made that raising Auckland’s productivity through spatial policy is a viable and sensible strategy to raise national productivity. </w:t>
      </w:r>
    </w:p>
    <w:p w14:paraId="422F4CB1" w14:textId="77777777" w:rsidR="00F11AA7" w:rsidRDefault="00F11AA7">
      <w:pPr>
        <w:rPr>
          <w:kern w:val="2"/>
          <w:lang w:eastAsia="en-NZ"/>
          <w14:ligatures w14:val="standardContextual"/>
        </w:rPr>
      </w:pPr>
      <w:r>
        <w:t>The policy implication is that spatial outcomes can no longer be treated as downstream consequences of growth. They are part of the growth model itself. Immigration, housing, infrastructure, transport, science, innovation, industry, investment and education settings all have spatial incidence. If these policies are designed as if place does not matter, they will continue to miss the actual geography of productivity.</w:t>
      </w:r>
    </w:p>
    <w:p w14:paraId="66C2040B" w14:textId="50A436C5" w:rsidR="006E34E0" w:rsidRPr="00EB7F87" w:rsidRDefault="00F11AA7" w:rsidP="00EB7F87">
      <w:pPr>
        <w:rPr>
          <w:kern w:val="2"/>
          <w:lang w:eastAsia="en-NZ"/>
          <w14:ligatures w14:val="standardContextual"/>
        </w:rPr>
      </w:pPr>
      <w:r>
        <w:t xml:space="preserve">MBIE does not need to run the spatial system, but it does need to stop pretending it sits outside </w:t>
      </w:r>
      <w:proofErr w:type="gramStart"/>
      <w:r>
        <w:t>it, and</w:t>
      </w:r>
      <w:proofErr w:type="gramEnd"/>
      <w:r>
        <w:t xml:space="preserve"> abandon the assumption of spatial neutrality. Its immediate task is to apply a spatial productivity lens to its own advice and to show up consistently across government as the economic voice for productive spatial outcomes. Spatial economic policy in Auckland could be the highest leverage productivity intervention available to New Zealand. MBIE needs to lead that conversation.</w:t>
      </w:r>
      <w:r w:rsidR="006E34E0">
        <w:rPr>
          <w:rFonts w:eastAsia="Times New Roman"/>
          <w:lang w:eastAsia="en-NZ"/>
        </w:rPr>
        <w:br w:type="page"/>
      </w:r>
    </w:p>
    <w:p w14:paraId="3C21F63C" w14:textId="77777777" w:rsidR="006A6424" w:rsidRPr="006A6424" w:rsidRDefault="006A6424" w:rsidP="006A6424">
      <w:pPr>
        <w:pStyle w:val="Heading2"/>
        <w:rPr>
          <w:rFonts w:eastAsia="Times New Roman"/>
          <w:lang w:eastAsia="en-NZ"/>
        </w:rPr>
      </w:pPr>
      <w:bookmarkStart w:id="4" w:name="_Toc234827730"/>
      <w:r w:rsidRPr="006A6424">
        <w:rPr>
          <w:rFonts w:eastAsia="Times New Roman"/>
          <w:lang w:eastAsia="en-NZ"/>
        </w:rPr>
        <w:lastRenderedPageBreak/>
        <w:t>1. Purpose</w:t>
      </w:r>
      <w:bookmarkEnd w:id="4"/>
    </w:p>
    <w:p w14:paraId="7DF02646" w14:textId="77777777" w:rsidR="006A6424" w:rsidRDefault="006A6424" w:rsidP="006A6424">
      <w:pPr>
        <w:rPr>
          <w:lang w:eastAsia="en-NZ"/>
        </w:rPr>
      </w:pPr>
      <w:r w:rsidRPr="006A6424">
        <w:rPr>
          <w:lang w:eastAsia="en-NZ"/>
        </w:rPr>
        <w:t xml:space="preserve">This </w:t>
      </w:r>
      <w:r w:rsidR="00EB68C4">
        <w:rPr>
          <w:lang w:eastAsia="en-NZ"/>
        </w:rPr>
        <w:t>is a working paper intended to lead to an</w:t>
      </w:r>
      <w:r w:rsidRPr="006A6424">
        <w:rPr>
          <w:lang w:eastAsia="en-NZ"/>
        </w:rPr>
        <w:t xml:space="preserve"> internal MBIE position on spatial policy, with a primary focus on cities and metropolitan systems</w:t>
      </w:r>
      <w:r w:rsidR="005262F0">
        <w:rPr>
          <w:lang w:eastAsia="en-NZ"/>
        </w:rPr>
        <w:t>, and therefore Auckland</w:t>
      </w:r>
      <w:r w:rsidRPr="006A6424">
        <w:rPr>
          <w:lang w:eastAsia="en-NZ"/>
        </w:rPr>
        <w:t>.</w:t>
      </w:r>
    </w:p>
    <w:p w14:paraId="00F93A67" w14:textId="77777777"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74423557" w14:textId="77777777" w:rsidR="00FF2A7E" w:rsidRDefault="00FF2A7E" w:rsidP="006A6424">
      <w:pPr>
        <w:rPr>
          <w:lang w:eastAsia="en-NZ"/>
        </w:rPr>
      </w:pPr>
      <w:r>
        <w:rPr>
          <w:lang w:eastAsia="en-NZ"/>
        </w:rPr>
        <w:t xml:space="preserve">Section 5 sets out evidence for various policy problems and suboptimal outcomes in the New Zealand spatial system. This is a </w:t>
      </w:r>
      <w:proofErr w:type="gramStart"/>
      <w:r>
        <w:rPr>
          <w:lang w:eastAsia="en-NZ"/>
        </w:rPr>
        <w:t>fairly dense</w:t>
      </w:r>
      <w:proofErr w:type="gramEnd"/>
      <w:r>
        <w:rPr>
          <w:lang w:eastAsia="en-NZ"/>
        </w:rPr>
        <w:t xml:space="preserve"> </w:t>
      </w:r>
      <w:proofErr w:type="gramStart"/>
      <w:r>
        <w:rPr>
          <w:lang w:eastAsia="en-NZ"/>
        </w:rPr>
        <w:t>section, and</w:t>
      </w:r>
      <w:proofErr w:type="gramEnd"/>
      <w:r>
        <w:rPr>
          <w:lang w:eastAsia="en-NZ"/>
        </w:rPr>
        <w:t xml:space="preserve"> can be skipped by the impatient reader wanting to get to the fun stuff – I almost made it an annex. It’s </w:t>
      </w:r>
      <w:proofErr w:type="gramStart"/>
      <w:r>
        <w:rPr>
          <w:lang w:eastAsia="en-NZ"/>
        </w:rPr>
        <w:t>really just</w:t>
      </w:r>
      <w:proofErr w:type="gramEnd"/>
      <w:r>
        <w:rPr>
          <w:lang w:eastAsia="en-NZ"/>
        </w:rPr>
        <w:t xml:space="preserve"> there to prove I did my homework. </w:t>
      </w:r>
    </w:p>
    <w:p w14:paraId="2B054617" w14:textId="77777777" w:rsidR="00FF2A7E" w:rsidRDefault="00FF2A7E" w:rsidP="006A6424">
      <w:pPr>
        <w:rPr>
          <w:lang w:eastAsia="en-NZ"/>
        </w:rPr>
      </w:pPr>
      <w:r>
        <w:rPr>
          <w:lang w:eastAsia="en-NZ"/>
        </w:rPr>
        <w:t>Sections 6</w:t>
      </w:r>
      <w:r w:rsidR="006E34E0">
        <w:rPr>
          <w:lang w:eastAsia="en-NZ"/>
        </w:rPr>
        <w:t xml:space="preserve"> and 7 are the real meat of the </w:t>
      </w:r>
      <w:proofErr w:type="gramStart"/>
      <w:r w:rsidR="006E34E0">
        <w:rPr>
          <w:lang w:eastAsia="en-NZ"/>
        </w:rPr>
        <w:t>thing, and</w:t>
      </w:r>
      <w:proofErr w:type="gramEnd"/>
      <w:r w:rsidR="006E34E0">
        <w:rPr>
          <w:lang w:eastAsia="en-NZ"/>
        </w:rPr>
        <w:t xml:space="preserve"> set out some core arguments for the centrality of spatial policy, particularly in Auckland, for raising productivity. </w:t>
      </w:r>
    </w:p>
    <w:p w14:paraId="045EAC90" w14:textId="77777777" w:rsidR="006E34E0" w:rsidRPr="006A6424" w:rsidRDefault="006E34E0" w:rsidP="006A6424">
      <w:pPr>
        <w:rPr>
          <w:lang w:eastAsia="en-NZ"/>
        </w:rPr>
      </w:pPr>
      <w:r>
        <w:rPr>
          <w:lang w:eastAsia="en-NZ"/>
        </w:rPr>
        <w:t xml:space="preserve">Sections 8 and 9 draw out some implications for policy thinking in general and MBIE in particular. </w:t>
      </w:r>
    </w:p>
    <w:p w14:paraId="3F0EB96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32EA6008" w14:textId="4C1B59DA" w:rsidR="006A6424" w:rsidRPr="006A6424" w:rsidRDefault="006A6424" w:rsidP="006A6424">
      <w:pPr>
        <w:pStyle w:val="Heading2"/>
        <w:rPr>
          <w:rFonts w:eastAsia="Times New Roman"/>
          <w:lang w:eastAsia="en-NZ"/>
        </w:rPr>
      </w:pPr>
      <w:bookmarkStart w:id="5" w:name="_Toc234827731"/>
      <w:r w:rsidRPr="006A6424">
        <w:rPr>
          <w:rFonts w:eastAsia="Times New Roman"/>
          <w:lang w:eastAsia="en-NZ"/>
        </w:rPr>
        <w:lastRenderedPageBreak/>
        <w:t>2. What We Expect from Cities</w:t>
      </w:r>
      <w:bookmarkEnd w:id="5"/>
    </w:p>
    <w:p w14:paraId="6472E9AC"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277B525D"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41137C52"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23953B05"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2F05F181"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120EAEAB" w14:textId="77777777"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584F9090"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7F69D839" w14:textId="77777777" w:rsidR="00FF2A7E" w:rsidRPr="006A6424" w:rsidRDefault="00FF2A7E" w:rsidP="00FF2A7E">
      <w:pPr>
        <w:pStyle w:val="ListParagraph"/>
        <w:numPr>
          <w:ilvl w:val="0"/>
          <w:numId w:val="0"/>
        </w:numPr>
        <w:ind w:left="720"/>
        <w:rPr>
          <w:lang w:eastAsia="en-NZ"/>
        </w:rPr>
      </w:pPr>
    </w:p>
    <w:p w14:paraId="1A9902D6"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7B0E9698" w14:textId="77777777" w:rsidR="005A2AAB" w:rsidRPr="006A6424" w:rsidRDefault="005A2AAB" w:rsidP="005A2AAB">
      <w:pPr>
        <w:pStyle w:val="ListParagraph"/>
        <w:numPr>
          <w:ilvl w:val="0"/>
          <w:numId w:val="0"/>
        </w:numPr>
        <w:ind w:left="720"/>
        <w:rPr>
          <w:lang w:eastAsia="en-NZ"/>
        </w:rPr>
      </w:pPr>
    </w:p>
    <w:p w14:paraId="79B430AA" w14:textId="77777777" w:rsidR="006A6424" w:rsidRDefault="006A6424" w:rsidP="005A2AAB">
      <w:pPr>
        <w:pStyle w:val="ListParagraph"/>
        <w:numPr>
          <w:ilvl w:val="0"/>
          <w:numId w:val="27"/>
        </w:numPr>
        <w:rPr>
          <w:lang w:eastAsia="en-NZ"/>
        </w:rPr>
      </w:pPr>
      <w:r w:rsidRPr="006A6424">
        <w:rPr>
          <w:lang w:eastAsia="en-NZ"/>
        </w:rPr>
        <w:t xml:space="preserve">Knowledge spillovers – proximity enables the transfer of tacit knowledge through face-to-face interaction, labour mobility, and informal networks (Donovan, 2019; Ahrend et al., 2015; Audretsch &amp; Feldman, 2004). The decay is sharp at short distances; as far back as 1977, </w:t>
      </w:r>
      <w:r w:rsidRPr="006A6424">
        <w:rPr>
          <w:lang w:eastAsia="en-NZ"/>
        </w:rPr>
        <w:lastRenderedPageBreak/>
        <w:t>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10BBD5E2" w14:textId="77777777" w:rsidR="005A2AAB" w:rsidRPr="006A6424" w:rsidRDefault="005A2AAB" w:rsidP="005A2AAB">
      <w:pPr>
        <w:pStyle w:val="ListParagraph"/>
        <w:numPr>
          <w:ilvl w:val="0"/>
          <w:numId w:val="0"/>
        </w:numPr>
        <w:ind w:left="283"/>
        <w:rPr>
          <w:lang w:eastAsia="en-NZ"/>
        </w:rPr>
      </w:pPr>
    </w:p>
    <w:p w14:paraId="1108F6C7"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1FEFE233" w14:textId="77777777" w:rsidR="005A2AAB" w:rsidRPr="006A6424" w:rsidRDefault="005A2AAB" w:rsidP="005A2AAB">
      <w:pPr>
        <w:pStyle w:val="ListParagraph"/>
        <w:numPr>
          <w:ilvl w:val="0"/>
          <w:numId w:val="0"/>
        </w:numPr>
        <w:ind w:left="283"/>
        <w:rPr>
          <w:lang w:eastAsia="en-NZ"/>
        </w:rPr>
      </w:pPr>
    </w:p>
    <w:p w14:paraId="50C570F4" w14:textId="071F6F60" w:rsidR="006A6424" w:rsidRPr="005A2AAB" w:rsidRDefault="006A6424" w:rsidP="005A2AAB">
      <w:pPr>
        <w:pStyle w:val="ListParagraph"/>
        <w:numPr>
          <w:ilvl w:val="0"/>
          <w:numId w:val="27"/>
        </w:numPr>
        <w:rPr>
          <w:lang w:eastAsia="en-NZ"/>
        </w:rPr>
      </w:pPr>
      <w:r>
        <w:t xml:space="preserve">Firm competition and selection – denser markets increase competitive pressure. Careful testing, however, finds that </w:t>
      </w:r>
      <w:r w:rsidR="00A373E7">
        <w:t xml:space="preserve">competitive </w:t>
      </w:r>
      <w:r>
        <w:t>selection does not explain the urban productivity premium: in French establishment data the entire productivity distribution shifts upward in denser areas (average +9.7%), indicating agglomeration benefits that lift all firms rather than tougher competition culling weak ones (Combes et al., 2012).</w:t>
      </w:r>
    </w:p>
    <w:p w14:paraId="418B23D9" w14:textId="77777777" w:rsidR="005A2AAB" w:rsidRPr="006A6424" w:rsidRDefault="005A2AAB" w:rsidP="005A2AAB">
      <w:pPr>
        <w:pStyle w:val="ListParagraph"/>
        <w:numPr>
          <w:ilvl w:val="0"/>
          <w:numId w:val="0"/>
        </w:numPr>
        <w:ind w:left="283"/>
        <w:rPr>
          <w:lang w:eastAsia="en-NZ"/>
        </w:rPr>
      </w:pPr>
    </w:p>
    <w:p w14:paraId="11EB0231" w14:textId="77777777"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7FBFDAC7"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7E390158"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6BF5935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47215820" w14:textId="77777777" w:rsidR="006A6424" w:rsidRPr="00FF2A7E" w:rsidRDefault="006A6424" w:rsidP="00FF2A7E">
      <w:pPr>
        <w:pStyle w:val="Heading2"/>
      </w:pPr>
      <w:bookmarkStart w:id="6" w:name="_Toc234827732"/>
      <w:r w:rsidRPr="00FF2A7E">
        <w:lastRenderedPageBreak/>
        <w:t>3. Core Diagnosis: Growth, Capital Pressure, and Productivity</w:t>
      </w:r>
      <w:bookmarkEnd w:id="6"/>
    </w:p>
    <w:p w14:paraId="653EAB66" w14:textId="77777777" w:rsidR="006A6424" w:rsidRPr="006A6424" w:rsidRDefault="006A6424" w:rsidP="006A6424">
      <w:pPr>
        <w:rPr>
          <w:lang w:eastAsia="en-NZ"/>
        </w:rPr>
      </w:pPr>
      <w:r w:rsidRPr="006A6424">
        <w:rPr>
          <w:lang w:eastAsia="en-NZ"/>
        </w:rPr>
        <w:t>New Zealand's productivity problem is, in part, a spatial allocation problem.</w:t>
      </w:r>
    </w:p>
    <w:p w14:paraId="304257D9"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7C30F9F8" w14:textId="77777777" w:rsidR="006A6424" w:rsidRPr="006A6424" w:rsidRDefault="006A6424" w:rsidP="006A6424">
      <w:pPr>
        <w:rPr>
          <w:lang w:eastAsia="en-NZ"/>
        </w:rPr>
      </w:pPr>
      <w:r w:rsidRPr="006A6424">
        <w:rPr>
          <w:lang w:eastAsia="en-NZ"/>
        </w:rPr>
        <w:t>This can be understood as a sequence of empirically observable developments.</w:t>
      </w:r>
    </w:p>
    <w:p w14:paraId="7DF28CA3"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5D0A38A2" w14:textId="77777777" w:rsidR="0080550B" w:rsidRDefault="006A6424" w:rsidP="006A6424">
      <w:pPr>
        <w:rPr>
          <w:lang w:eastAsia="en-NZ"/>
        </w:rPr>
      </w:pPr>
      <w:r>
        <w:t>New Zealand has experienced sustained population growth — 27.3% between 2006 and 2025, an increase of approximately 1.14 million people (Statistics New Zealand, 2025). This sustained growth rate differentiates New Zealand from many OECD peers, where population growth has slowed more markedly and is increasingly driven by ageing dynamics rather than migration.</w:t>
      </w:r>
    </w:p>
    <w:p w14:paraId="6C2B7C96" w14:textId="77777777"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5B57693F" w14:textId="77777777"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r w:rsidR="00F11AA7">
        <w:t>definitions</w:t>
      </w:r>
      <w:r w:rsidR="0080550B">
        <w:t>)</w:t>
      </w:r>
    </w:p>
    <w:p w14:paraId="436D7F50" w14:textId="77777777"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AB9E957" w14:textId="77777777"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2939A12C" w14:textId="77777777" w:rsidR="006A6424" w:rsidRPr="006A6424" w:rsidRDefault="006A6424" w:rsidP="0080550B">
      <w:pPr>
        <w:rPr>
          <w:lang w:eastAsia="en-NZ"/>
        </w:rPr>
      </w:pPr>
      <w:r>
        <w:t>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(Statistics New Zealand, 2025).</w:t>
      </w:r>
    </w:p>
    <w:p w14:paraId="22E8E469" w14:textId="77777777" w:rsidR="0080550B" w:rsidRDefault="006A6424" w:rsidP="00920D09">
      <w:pPr>
        <w:rPr>
          <w:b/>
          <w:bCs/>
          <w:color w:val="006171" w:themeColor="text2"/>
          <w:lang w:eastAsia="en-NZ"/>
        </w:rPr>
      </w:pPr>
      <w:r w:rsidRPr="006A6424">
        <w:rPr>
          <w:lang w:eastAsia="en-NZ"/>
        </w:rPr>
        <w:lastRenderedPageBreak/>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5B8F584D" w14:textId="77777777" w:rsidR="006A6424" w:rsidRDefault="006A6424" w:rsidP="0080550B">
      <w:pPr>
        <w:pStyle w:val="Caption"/>
      </w:pPr>
      <w:r w:rsidRPr="006A6424">
        <w:t>Figure 2: Components of population growth (migration vs natural increase, 1990–present)</w:t>
      </w:r>
    </w:p>
    <w:p w14:paraId="253B58BE"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C83189"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3</w:t>
      </w:r>
      <w:r w:rsidR="006A6424" w:rsidRPr="006A6424">
        <w:rPr>
          <w:rFonts w:eastAsia="Times New Roman"/>
          <w:lang w:eastAsia="en-NZ"/>
        </w:rPr>
        <w:t xml:space="preserve"> New Zealand became "metropolitanised" fast and late</w:t>
      </w:r>
    </w:p>
    <w:p w14:paraId="4B213DAB" w14:textId="77777777" w:rsidR="006A6424" w:rsidRPr="006A6424" w:rsidRDefault="006A6424" w:rsidP="0080550B">
      <w:pPr>
        <w:rPr>
          <w:lang w:eastAsia="en-NZ"/>
        </w:rPr>
      </w:pPr>
      <w:r>
        <w:t>The shift to migration-led growth resulted in a relatively rapid metropolitanisation of population growth. New Zealand urbanised, i.e. moved to towns rather than the countryside, around the same time as most comparator advanced economies, but Auckland remained relatively small: at the 1991 census it was home to roughly 890,000 people, a little over a quarter of New Zealand's 3.37 million (Statistics New Zealand, 1991). Once migration became the primary driver, however, growth concentrated sharply in Auckland. The city has grown roughly twice as fast as the rest of the country since 1991, absorbing more than 40% of all national population growth and lifting its share of the national population from just over a quarter to a third — 1.66 million of 4.99 million at the 2023 census (Statistics New Zealand, 2023).</w:t>
      </w:r>
    </w:p>
    <w:p w14:paraId="5547AE59" w14:textId="77777777" w:rsidR="006A6424" w:rsidRDefault="006A6424" w:rsidP="0080550B">
      <w:pPr>
        <w:pStyle w:val="Caption"/>
      </w:pPr>
      <w:r w:rsidRPr="006A6424">
        <w:t xml:space="preserve">Figure 3: </w:t>
      </w:r>
      <w:r w:rsidR="0080550B">
        <w:t>% of New Zealanders living in cities</w:t>
      </w:r>
      <w:r w:rsidR="00AF0C1E">
        <w:t xml:space="preserve"> (World Bank)</w:t>
      </w:r>
    </w:p>
    <w:p w14:paraId="39F87562"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BBBFD68" w14:textId="77777777" w:rsidR="006A6424" w:rsidRPr="006A6424" w:rsidRDefault="0066185C" w:rsidP="00AF1867">
      <w:pPr>
        <w:pStyle w:val="Heading4"/>
        <w:rPr>
          <w:rFonts w:eastAsia="Times New Roman"/>
          <w:lang w:eastAsia="en-NZ"/>
        </w:rPr>
      </w:pPr>
      <w:r>
        <w:rPr>
          <w:rFonts w:eastAsia="Times New Roman"/>
          <w:lang w:eastAsia="en-NZ"/>
        </w:rPr>
        <w:lastRenderedPageBreak/>
        <w:t>3</w:t>
      </w:r>
      <w:r w:rsidR="006A6424" w:rsidRPr="006A6424">
        <w:rPr>
          <w:rFonts w:eastAsia="Times New Roman"/>
          <w:lang w:eastAsia="en-NZ"/>
        </w:rPr>
        <w:t>.</w:t>
      </w:r>
      <w:r>
        <w:rPr>
          <w:rFonts w:eastAsia="Times New Roman"/>
          <w:lang w:eastAsia="en-NZ"/>
        </w:rPr>
        <w:t>4</w:t>
      </w:r>
      <w:r w:rsidR="006A6424" w:rsidRPr="006A6424">
        <w:rPr>
          <w:rFonts w:eastAsia="Times New Roman"/>
          <w:lang w:eastAsia="en-NZ"/>
        </w:rPr>
        <w:t xml:space="preserve"> Growth is not spatially neutral—it lands disproportionately in metros</w:t>
      </w:r>
    </w:p>
    <w:p w14:paraId="45F5393A" w14:textId="77777777" w:rsidR="006A6424" w:rsidRPr="006A6424" w:rsidRDefault="006A6424" w:rsidP="00AF0C1E">
      <w:pPr>
        <w:rPr>
          <w:lang w:eastAsia="en-NZ"/>
        </w:rPr>
      </w:pPr>
      <w:r w:rsidRPr="006A6424">
        <w:rPr>
          <w:lang w:eastAsia="en-NZ"/>
        </w:rPr>
        <w:t>Population growth in New Zealand is highly uneven in its spatial incidence. Metro areas (especially Auckland) absorb most growth. Internal migration redistributes population domestically, but international migration continues to drive metro expansion. This creates persistent, place-specific demand shocks, rather than evenly distributed national growth.</w:t>
      </w:r>
    </w:p>
    <w:p w14:paraId="6BA1339E"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22463487"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7A59E9E5" w14:textId="77777777" w:rsidR="006A6424" w:rsidRDefault="006A6424" w:rsidP="00AF0C1E">
      <w:pPr>
        <w:pStyle w:val="Caption"/>
      </w:pPr>
      <w:r w:rsidRPr="00AF0C1E">
        <w:t>Figure 4: Infrastructure investment vs estimated demand / gap</w:t>
      </w:r>
      <w:r w:rsidR="00AF0C1E">
        <w:t xml:space="preserve"> (Te Waihanga 2026)</w:t>
      </w:r>
    </w:p>
    <w:p w14:paraId="666EE1A3" w14:textId="77777777"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46D31656"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2B0CBF34" w14:textId="77777777"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230FFF31"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37BDB159" w14:textId="77777777" w:rsidR="006A6424" w:rsidRPr="00AF0C1E" w:rsidRDefault="006A6424" w:rsidP="006A6424">
      <w:pPr>
        <w:rPr>
          <w:lang w:eastAsia="en-NZ"/>
        </w:rPr>
      </w:pPr>
      <w:r w:rsidRPr="00AF0C1E">
        <w:rPr>
          <w:lang w:eastAsia="en-NZ"/>
        </w:rPr>
        <w:t>These pressures are not cyclical—they are systemic features of the growth model.</w:t>
      </w:r>
    </w:p>
    <w:p w14:paraId="0349862B"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36ACC323"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 New Zealand Productivity Commission, 2021)</w:t>
      </w:r>
    </w:p>
    <w:p w14:paraId="1CC6F34E"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1770BCCC" w14:textId="77777777" w:rsidR="006A6424" w:rsidRPr="005A2AAB" w:rsidRDefault="0066185C" w:rsidP="00AF1867">
      <w:pPr>
        <w:pStyle w:val="Heading4"/>
      </w:pPr>
      <w:r>
        <w:lastRenderedPageBreak/>
        <w:t>3</w:t>
      </w:r>
      <w:r w:rsidR="006A6424" w:rsidRPr="005A2AAB">
        <w:t>.</w:t>
      </w:r>
      <w:r>
        <w:t>8</w:t>
      </w:r>
      <w:r w:rsidR="006A6424" w:rsidRPr="005A2AAB">
        <w:t xml:space="preserve"> These dynamics create binding constraints within metropolitan areas</w:t>
      </w:r>
    </w:p>
    <w:p w14:paraId="5B07A032" w14:textId="77777777" w:rsidR="006A6424" w:rsidRPr="006A6424" w:rsidRDefault="006A6424" w:rsidP="0066185C">
      <w:pPr>
        <w:rPr>
          <w:lang w:eastAsia="en-NZ"/>
        </w:rPr>
      </w:pPr>
      <w:r w:rsidRPr="006A6424">
        <w:rPr>
          <w:lang w:eastAsia="en-NZ"/>
        </w:rPr>
        <w:t>The interaction of growth and capital pressure manifests spatially. Housing and land constraints limit access to productive locations (Ministry of Housing and Urban Development, 2024), transport constraints reduce effective city size and labour market depth (Collier et al., 2018), infrastructure provision reinforces inefficient urban form (World Bank, 2009), and firms face higher costs and reduced ability to scale.</w:t>
      </w:r>
    </w:p>
    <w:p w14:paraId="4E997FF2"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71CE4253" w14:textId="77777777"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9B2F01">
        <w:rPr>
          <w:lang w:eastAsia="en-NZ"/>
        </w:rPr>
        <w:t>Nunns, 2019; Ministry of Housing and Urban Development, 2024</w:t>
      </w:r>
      <w:r w:rsidRPr="009B2F01">
        <w:rPr>
          <w:lang w:eastAsia="en-NZ"/>
        </w:rPr>
        <w:t>),</w:t>
      </w:r>
      <w:r w:rsidRPr="006A6424">
        <w:rPr>
          <w:lang w:eastAsia="en-NZ"/>
        </w:rPr>
        <w:t xml:space="preserve"> firms cannot fully access deep labour markets (Maré &amp; Graham, 2009), and capital is concentrated in land and existing assets rather than innovation (Ministry of Housing and Urban Development, 2024; Winter et al., 2025).</w:t>
      </w:r>
    </w:p>
    <w:p w14:paraId="10D35B13" w14:textId="77777777" w:rsidR="006A6424" w:rsidRPr="006A6424" w:rsidRDefault="006A6424" w:rsidP="005A2AAB">
      <w:pPr>
        <w:rPr>
          <w:lang w:eastAsia="en-NZ"/>
        </w:rPr>
      </w:pPr>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p>
    <w:p w14:paraId="17599131"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produces a low-productivity equilibrium</w:t>
      </w:r>
    </w:p>
    <w:p w14:paraId="6223BB7F"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0FDCE7E8"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28B970EC"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D2DC5B4" w14:textId="77777777" w:rsidR="006A6424" w:rsidRPr="006A6424" w:rsidRDefault="006A6424" w:rsidP="005A2AAB">
      <w:pPr>
        <w:pStyle w:val="Heading2"/>
        <w:rPr>
          <w:rFonts w:eastAsia="Times New Roman"/>
          <w:lang w:eastAsia="en-NZ"/>
        </w:rPr>
      </w:pPr>
      <w:bookmarkStart w:id="7" w:name="_Toc234827733"/>
      <w:r w:rsidRPr="006A6424">
        <w:rPr>
          <w:rFonts w:eastAsia="Times New Roman"/>
          <w:lang w:eastAsia="en-NZ"/>
        </w:rPr>
        <w:lastRenderedPageBreak/>
        <w:t>4. Spatial Policy as a System Lever</w:t>
      </w:r>
      <w:bookmarkEnd w:id="7"/>
    </w:p>
    <w:p w14:paraId="10067E88"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6430EFDC"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446EBD90"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676B13B4"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11DFCACB" w14:textId="77777777" w:rsidR="00920D09" w:rsidRPr="005A2AAB" w:rsidRDefault="00920D09" w:rsidP="00920D09">
      <w:pPr>
        <w:pStyle w:val="ListParagraph"/>
        <w:numPr>
          <w:ilvl w:val="0"/>
          <w:numId w:val="0"/>
        </w:numPr>
        <w:ind w:left="720"/>
        <w:rPr>
          <w:lang w:eastAsia="en-NZ"/>
        </w:rPr>
      </w:pPr>
    </w:p>
    <w:p w14:paraId="51737E86"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56C9BE09" w14:textId="77777777" w:rsidR="00920D09" w:rsidRPr="005A2AAB" w:rsidRDefault="00920D09" w:rsidP="00920D09">
      <w:pPr>
        <w:pStyle w:val="ListParagraph"/>
        <w:numPr>
          <w:ilvl w:val="0"/>
          <w:numId w:val="0"/>
        </w:numPr>
        <w:ind w:left="283"/>
        <w:rPr>
          <w:lang w:eastAsia="en-NZ"/>
        </w:rPr>
      </w:pPr>
    </w:p>
    <w:p w14:paraId="148C3391"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61A30269" w14:textId="77777777" w:rsidR="00920D09" w:rsidRPr="005A2AAB" w:rsidRDefault="00920D09" w:rsidP="00920D09">
      <w:pPr>
        <w:pStyle w:val="ListParagraph"/>
        <w:numPr>
          <w:ilvl w:val="0"/>
          <w:numId w:val="0"/>
        </w:numPr>
        <w:ind w:left="283"/>
        <w:rPr>
          <w:lang w:eastAsia="en-NZ"/>
        </w:rPr>
      </w:pPr>
    </w:p>
    <w:p w14:paraId="45A073F3"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378D0A25" w14:textId="77777777" w:rsidR="00920D09" w:rsidRPr="005A2AAB" w:rsidRDefault="00920D09" w:rsidP="00920D09">
      <w:pPr>
        <w:pStyle w:val="ListParagraph"/>
        <w:numPr>
          <w:ilvl w:val="0"/>
          <w:numId w:val="0"/>
        </w:numPr>
        <w:ind w:left="283"/>
        <w:rPr>
          <w:lang w:eastAsia="en-NZ"/>
        </w:rPr>
      </w:pPr>
    </w:p>
    <w:p w14:paraId="38CAF141"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5C960CD9" w14:textId="77777777" w:rsidR="00920D09" w:rsidRPr="005A2AAB" w:rsidRDefault="00920D09" w:rsidP="00920D09">
      <w:pPr>
        <w:pStyle w:val="ListParagraph"/>
        <w:numPr>
          <w:ilvl w:val="0"/>
          <w:numId w:val="0"/>
        </w:numPr>
        <w:ind w:left="283"/>
        <w:rPr>
          <w:lang w:eastAsia="en-NZ"/>
        </w:rPr>
      </w:pPr>
    </w:p>
    <w:p w14:paraId="0377D08E"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26888465"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5E4BE1FE"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2029BC2B" w14:textId="77777777" w:rsidR="006A6424" w:rsidRPr="006A6424" w:rsidRDefault="006A6424" w:rsidP="00920D09">
      <w:pPr>
        <w:rPr>
          <w:lang w:eastAsia="en-NZ"/>
        </w:rPr>
      </w:pPr>
      <w:r w:rsidRPr="006A6424">
        <w:rPr>
          <w:lang w:eastAsia="en-NZ"/>
        </w:rPr>
        <w:t xml:space="preserve">The New Zealand evidence suggests the latter has often been the case. Growth has been </w:t>
      </w:r>
      <w:proofErr w:type="gramStart"/>
      <w:r w:rsidRPr="006A6424">
        <w:rPr>
          <w:lang w:eastAsia="en-NZ"/>
        </w:rPr>
        <w:t>accommodated, but</w:t>
      </w:r>
      <w:proofErr w:type="gramEnd"/>
      <w:r w:rsidRPr="006A6424">
        <w:rPr>
          <w:lang w:eastAsia="en-NZ"/>
        </w:rPr>
        <w:t xml:space="preserve">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7C2490DD"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21D666EC" w14:textId="77777777" w:rsidR="00920D09" w:rsidRDefault="00920D09" w:rsidP="00920D09">
      <w:pPr>
        <w:rPr>
          <w:lang w:eastAsia="en-NZ"/>
        </w:rPr>
      </w:pPr>
    </w:p>
    <w:p w14:paraId="3937304B" w14:textId="77777777" w:rsidR="00920D09" w:rsidRPr="006A6424" w:rsidRDefault="00920D09" w:rsidP="00920D09">
      <w:pPr>
        <w:rPr>
          <w:lang w:eastAsia="en-NZ"/>
        </w:rPr>
      </w:pPr>
    </w:p>
    <w:p w14:paraId="15448ECE" w14:textId="77777777" w:rsidR="006A6424" w:rsidRPr="006A6424" w:rsidRDefault="006A6424" w:rsidP="00920D09">
      <w:pPr>
        <w:pStyle w:val="Heading2"/>
        <w:rPr>
          <w:rFonts w:eastAsia="Times New Roman"/>
          <w:lang w:eastAsia="en-NZ"/>
        </w:rPr>
      </w:pPr>
      <w:bookmarkStart w:id="8" w:name="_Toc234827734"/>
      <w:r>
        <w:lastRenderedPageBreak/>
        <w:t>5. The New Zealand Spatial System — Evidence and Mechanisms</w:t>
      </w:r>
      <w:bookmarkEnd w:id="8"/>
    </w:p>
    <w:p w14:paraId="02273B59"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361C75E3" w14:textId="77777777"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7CE353EA" w14:textId="77777777" w:rsidR="006A6424" w:rsidRPr="006A6424" w:rsidRDefault="006A6424" w:rsidP="00920D09">
      <w:pPr>
        <w:rPr>
          <w:lang w:eastAsia="en-NZ"/>
        </w:rPr>
      </w:pPr>
      <w:r w:rsidRPr="006A6424">
        <w:rPr>
          <w:lang w:eastAsia="en-NZ"/>
        </w:rPr>
        <w:t xml:space="preserve">This pattern is consistent with international evidence: high-value, knowledge-intensive services tend to concentrate in large metropolitan areas where agglomeration benefits are strongest, including through knowledge spillovers associated with a more </w:t>
      </w:r>
      <w:proofErr w:type="gramStart"/>
      <w:r w:rsidRPr="006A6424">
        <w:rPr>
          <w:lang w:eastAsia="en-NZ"/>
        </w:rPr>
        <w:t>highly-educated</w:t>
      </w:r>
      <w:proofErr w:type="gramEnd"/>
      <w:r w:rsidRPr="006A6424">
        <w:rPr>
          <w:lang w:eastAsia="en-NZ"/>
        </w:rPr>
        <w:t xml:space="preserve"> workforce (Ahlfeldt &amp; Pietrostefani, 2019; Ahrend et al., 2015).</w:t>
      </w:r>
    </w:p>
    <w:p w14:paraId="38172FAB" w14:textId="77777777"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38FA16D1" w14:textId="77777777" w:rsidTr="002C3C6F">
        <w:tc>
          <w:tcPr>
            <w:tcW w:w="9622" w:type="dxa"/>
            <w:shd w:val="clear" w:color="auto" w:fill="D0EBB3"/>
            <w:tcMar>
              <w:top w:w="170" w:type="dxa"/>
              <w:left w:w="170" w:type="dxa"/>
              <w:bottom w:w="170" w:type="dxa"/>
              <w:right w:w="170" w:type="dxa"/>
            </w:tcMar>
          </w:tcPr>
          <w:p w14:paraId="6C8C901B" w14:textId="77777777" w:rsidR="0066185C" w:rsidRPr="0066185C" w:rsidRDefault="0066185C" w:rsidP="00920D09">
            <w:pPr>
              <w:rPr>
                <w:b/>
                <w:bCs/>
                <w:lang w:eastAsia="en-NZ"/>
              </w:rPr>
            </w:pPr>
            <w:r>
              <w:rPr>
                <w:b/>
                <w:bCs/>
                <w:lang w:eastAsia="en-NZ"/>
              </w:rPr>
              <w:t>The Auckland Productivity Premium</w:t>
            </w:r>
          </w:p>
          <w:p w14:paraId="6781459B" w14:textId="77777777" w:rsidR="0066185C" w:rsidRDefault="0066185C" w:rsidP="00920D09">
            <w:pPr>
              <w:rPr>
                <w:lang w:eastAsia="en-NZ"/>
              </w:rPr>
            </w:pPr>
            <w:r w:rsidRPr="006A6424">
              <w:rPr>
                <w:lang w:eastAsia="en-NZ"/>
              </w:rPr>
              <w:t xml:space="preserve">Calculating the productivity premium of Auckland as a city and comparing it to others is not an exact </w:t>
            </w:r>
            <w:proofErr w:type="gramStart"/>
            <w:r w:rsidRPr="006A6424">
              <w:rPr>
                <w:lang w:eastAsia="en-NZ"/>
              </w:rPr>
              <w:t>science, and</w:t>
            </w:r>
            <w:proofErr w:type="gramEnd"/>
            <w:r w:rsidRPr="006A6424">
              <w:rPr>
                <w:lang w:eastAsia="en-NZ"/>
              </w:rPr>
              <w:t xml:space="preserve"> depends on how you define the city (and the city to which you compare it), and the measure you use (e.g. GDP/capita, GDP/hour worked, &amp;c). However, enough repeat measures tell a similar story to be confident in Auckland's low premium.</w:t>
            </w:r>
          </w:p>
          <w:p w14:paraId="6558376E" w14:textId="77777777"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045354ED" w14:textId="77777777"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Dublin, Helsinki, 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2658346D" w14:textId="77777777"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p w14:paraId="0BEDB309" w14:textId="03657FE2" w:rsidR="008D6889" w:rsidRDefault="008D6889" w:rsidP="00920D09">
            <w:pPr>
              <w:rPr>
                <w:lang w:eastAsia="en-NZ"/>
              </w:rPr>
            </w:pPr>
            <w:r>
              <w:rPr>
                <w:lang w:eastAsia="en-NZ"/>
              </w:rPr>
              <w:t xml:space="preserve">None of these premia – as far as I can work out – are controlled for selection effects, so we would expect the real premia to be substantially lower. </w:t>
            </w:r>
          </w:p>
        </w:tc>
      </w:tr>
    </w:tbl>
    <w:p w14:paraId="6D4A32C1" w14:textId="77777777" w:rsidR="002C3C6F" w:rsidRPr="006A6424" w:rsidRDefault="002C3C6F" w:rsidP="00920D09">
      <w:pPr>
        <w:rPr>
          <w:lang w:eastAsia="en-NZ"/>
        </w:rPr>
      </w:pPr>
    </w:p>
    <w:p w14:paraId="528A065B" w14:textId="77777777" w:rsidR="006A6424" w:rsidRPr="006A6424" w:rsidRDefault="006A6424" w:rsidP="00920D09">
      <w:pPr>
        <w:rPr>
          <w:lang w:eastAsia="en-NZ"/>
        </w:rPr>
      </w:pPr>
      <w:r w:rsidRPr="006A6424">
        <w:rPr>
          <w:lang w:eastAsia="en-NZ"/>
        </w:rPr>
        <w:t>Th</w:t>
      </w:r>
      <w:r w:rsidR="0066185C">
        <w:rPr>
          <w:lang w:eastAsia="en-NZ"/>
        </w:rPr>
        <w:t>ese data</w:t>
      </w:r>
      <w:r w:rsidRPr="006A6424">
        <w:rPr>
          <w:lang w:eastAsia="en-NZ"/>
        </w:rPr>
        <w:t xml:space="preserve"> indicate a few important things. Firstly, Auckland does have a non-zero productivity premium. This suggests the potential for productivity is </w:t>
      </w:r>
      <w:proofErr w:type="gramStart"/>
      <w:r w:rsidRPr="006A6424">
        <w:rPr>
          <w:lang w:eastAsia="en-NZ"/>
        </w:rPr>
        <w:t>there, but</w:t>
      </w:r>
      <w:proofErr w:type="gramEnd"/>
      <w:r w:rsidRPr="006A6424">
        <w:rPr>
          <w:lang w:eastAsia="en-NZ"/>
        </w:rPr>
        <w:t xml:space="preserve"> not realised. The indicative conclusion is that the issue is not insufficient concentration, but constraints on how that concentration functions.</w:t>
      </w:r>
    </w:p>
    <w:p w14:paraId="1422AECC" w14:textId="77777777" w:rsid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these mechanisms are systematically weakened in practice by a set of recurring system failures. These failures are not isolated or project-specific; they arise from the way </w:t>
      </w:r>
      <w:r w:rsidRPr="006A6424">
        <w:rPr>
          <w:lang w:eastAsia="en-NZ"/>
        </w:rPr>
        <w:lastRenderedPageBreak/>
        <w:t xml:space="preserve">land use, infrastructure, transport, governance, and capital allocation interact. Together, they prevent metropolitan areas from functioning as fully effective economic </w:t>
      </w:r>
      <w:proofErr w:type="gramStart"/>
      <w:r w:rsidRPr="006A6424">
        <w:rPr>
          <w:lang w:eastAsia="en-NZ"/>
        </w:rPr>
        <w:t>systems, and</w:t>
      </w:r>
      <w:proofErr w:type="gramEnd"/>
      <w:r w:rsidRPr="006A6424">
        <w:rPr>
          <w:lang w:eastAsia="en-NZ"/>
        </w:rPr>
        <w:t xml:space="preserve"> therefore limit the extent to which growth translates into productivity.</w:t>
      </w:r>
    </w:p>
    <w:p w14:paraId="11988481" w14:textId="77777777" w:rsidR="00030984" w:rsidRDefault="00030984" w:rsidP="00030984">
      <w:pPr>
        <w:pStyle w:val="Caption"/>
      </w:pPr>
      <w:r w:rsidRPr="00AF0C1E">
        <w:t xml:space="preserve">Figure </w:t>
      </w:r>
      <w:r>
        <w:t>5</w:t>
      </w:r>
      <w:r w:rsidRPr="00AF0C1E">
        <w:t xml:space="preserve">: </w:t>
      </w:r>
      <w:r>
        <w:t>City Productivity Premia (%) versus City GDP/Capita (USD PPP)</w:t>
      </w:r>
    </w:p>
    <w:p w14:paraId="23200BC7" w14:textId="77777777" w:rsidR="00F94108" w:rsidRPr="00F94108" w:rsidRDefault="00F94108" w:rsidP="00F94108">
      <w:pPr>
        <w:rPr>
          <w:lang w:eastAsia="en-NZ"/>
        </w:rPr>
      </w:pPr>
      <w:r>
        <w:rPr>
          <w:lang w:eastAsia="en-NZ"/>
        </w:rPr>
        <w:t xml:space="preserve">OECD Regions and Cities Atlas, </w:t>
      </w:r>
      <w:r w:rsidRPr="00F94108">
        <w:rPr>
          <w:lang w:eastAsia="en-NZ"/>
        </w:rPr>
        <w:t>https://www.oecd.org/en/data/tools/oecd-regions-and-cities-atlas.html</w:t>
      </w:r>
    </w:p>
    <w:p w14:paraId="1F708CA3" w14:textId="77777777" w:rsidR="00030984" w:rsidRDefault="00F94108" w:rsidP="003F57E3">
      <w:pPr>
        <w:rPr>
          <w:lang w:eastAsia="en-NZ"/>
        </w:rPr>
      </w:pPr>
      <w:r w:rsidRPr="00030984">
        <w:rPr>
          <w:noProof/>
          <w:lang w:eastAsia="en-NZ"/>
        </w:rPr>
        <mc:AlternateContent>
          <mc:Choice Requires="wps">
            <w:drawing>
              <wp:anchor distT="0" distB="0" distL="114300" distR="114300" simplePos="0" relativeHeight="251716608" behindDoc="0" locked="0" layoutInCell="1" allowOverlap="1" wp14:anchorId="2A6BBBD2" wp14:editId="4306F967">
                <wp:simplePos x="0" y="0"/>
                <wp:positionH relativeFrom="column">
                  <wp:posOffset>3775823</wp:posOffset>
                </wp:positionH>
                <wp:positionV relativeFrom="paragraph">
                  <wp:posOffset>1323968</wp:posOffset>
                </wp:positionV>
                <wp:extent cx="1273774" cy="2010014"/>
                <wp:effectExtent l="0" t="196850" r="0" b="187325"/>
                <wp:wrapNone/>
                <wp:docPr id="1649615922" name="Oval 7"/>
                <wp:cNvGraphicFramePr/>
                <a:graphic xmlns:a="http://schemas.openxmlformats.org/drawingml/2006/main">
                  <a:graphicData uri="http://schemas.microsoft.com/office/word/2010/wordprocessingShape">
                    <wps:wsp>
                      <wps:cNvSpPr/>
                      <wps:spPr>
                        <a:xfrm rot="2964537">
                          <a:off x="0" y="0"/>
                          <a:ext cx="1273774" cy="201001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232DE0A" id="Oval 7" o:spid="_x0000_s1026" style="position:absolute;margin-left:297.3pt;margin-top:104.25pt;width:100.3pt;height:158.25pt;rotation:3238065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9680" behindDoc="0" locked="0" layoutInCell="1" allowOverlap="1" wp14:anchorId="12D2BCD5" wp14:editId="12376C3E">
                <wp:simplePos x="0" y="0"/>
                <wp:positionH relativeFrom="column">
                  <wp:posOffset>1664038</wp:posOffset>
                </wp:positionH>
                <wp:positionV relativeFrom="paragraph">
                  <wp:posOffset>3425494</wp:posOffset>
                </wp:positionV>
                <wp:extent cx="1228550" cy="461645"/>
                <wp:effectExtent l="0" t="0" r="0" b="0"/>
                <wp:wrapNone/>
                <wp:docPr id="12" name="TextBox 11">
                  <a:extLst xmlns:a="http://schemas.openxmlformats.org/drawingml/2006/main">
                    <a:ext uri="{FF2B5EF4-FFF2-40B4-BE49-F238E27FC236}">
                      <a16:creationId xmlns:a16="http://schemas.microsoft.com/office/drawing/2014/main" id="{3264D5C8-6E48-05E9-E6CD-535CE2002681}"/>
                    </a:ext>
                  </a:extLst>
                </wp:docPr>
                <wp:cNvGraphicFramePr/>
                <a:graphic xmlns:a="http://schemas.openxmlformats.org/drawingml/2006/main">
                  <a:graphicData uri="http://schemas.microsoft.com/office/word/2010/wordprocessingShape">
                    <wps:wsp>
                      <wps:cNvSpPr txBox="1"/>
                      <wps:spPr>
                        <a:xfrm>
                          <a:off x="0" y="0"/>
                          <a:ext cx="1228550" cy="461645"/>
                        </a:xfrm>
                        <a:prstGeom prst="rect">
                          <a:avLst/>
                        </a:prstGeom>
                        <a:noFill/>
                      </wps:spPr>
                      <wps:txbx>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wps:txbx>
                      <wps:bodyPr wrap="square" rtlCol="0">
                        <a:spAutoFit/>
                      </wps:bodyPr>
                    </wps:wsp>
                  </a:graphicData>
                </a:graphic>
                <wp14:sizeRelH relativeFrom="margin">
                  <wp14:pctWidth>0</wp14:pctWidth>
                </wp14:sizeRelH>
              </wp:anchor>
            </w:drawing>
          </mc:Choice>
          <mc:Fallback>
            <w:pict>
              <v:shape w14:anchorId="12D2BCD5" id="TextBox 11" o:spid="_x0000_s1027" type="#_x0000_t202" style="position:absolute;margin-left:131.05pt;margin-top:269.7pt;width:96.75pt;height:36.3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" filled="f" stroked="f">
                <v:textbox style="mso-fit-shape-to-text:t">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v:textbox>
              </v:shape>
            </w:pict>
          </mc:Fallback>
        </mc:AlternateContent>
      </w:r>
      <w:r w:rsidRPr="00030984">
        <w:rPr>
          <w:noProof/>
          <w:lang w:eastAsia="en-NZ"/>
        </w:rPr>
        <mc:AlternateContent>
          <mc:Choice Requires="wps">
            <w:drawing>
              <wp:anchor distT="0" distB="0" distL="114300" distR="114300" simplePos="0" relativeHeight="251718656" behindDoc="0" locked="0" layoutInCell="1" allowOverlap="1" wp14:anchorId="0FF66914" wp14:editId="68CE47A7">
                <wp:simplePos x="0" y="0"/>
                <wp:positionH relativeFrom="column">
                  <wp:posOffset>1850708</wp:posOffset>
                </wp:positionH>
                <wp:positionV relativeFrom="paragraph">
                  <wp:posOffset>2060038</wp:posOffset>
                </wp:positionV>
                <wp:extent cx="925376" cy="1417864"/>
                <wp:effectExtent l="114300" t="0" r="103505" b="0"/>
                <wp:wrapNone/>
                <wp:docPr id="11" name="Oval 10">
                  <a:extLst xmlns:a="http://schemas.openxmlformats.org/drawingml/2006/main">
                    <a:ext uri="{FF2B5EF4-FFF2-40B4-BE49-F238E27FC236}">
                      <a16:creationId xmlns:a16="http://schemas.microsoft.com/office/drawing/2014/main" id="{5F578B62-D988-DBED-400B-FB2923C8F34A}"/>
                    </a:ext>
                  </a:extLst>
                </wp:docPr>
                <wp:cNvGraphicFramePr/>
                <a:graphic xmlns:a="http://schemas.openxmlformats.org/drawingml/2006/main">
                  <a:graphicData uri="http://schemas.microsoft.com/office/word/2010/wordprocessingShape">
                    <wps:wsp>
                      <wps:cNvSpPr/>
                      <wps:spPr>
                        <a:xfrm rot="2027167">
                          <a:off x="0" y="0"/>
                          <a:ext cx="925376" cy="141786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02F040C5" id="Oval 10" o:spid="_x0000_s1026" style="position:absolute;margin-left:145.75pt;margin-top:162.2pt;width:72.85pt;height:111.65pt;rotation:2214207fd;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5584" behindDoc="0" locked="0" layoutInCell="1" allowOverlap="1" wp14:anchorId="6DEE08EC" wp14:editId="246533F3">
                <wp:simplePos x="0" y="0"/>
                <wp:positionH relativeFrom="column">
                  <wp:posOffset>4459679</wp:posOffset>
                </wp:positionH>
                <wp:positionV relativeFrom="paragraph">
                  <wp:posOffset>287567</wp:posOffset>
                </wp:positionV>
                <wp:extent cx="1008112" cy="461665"/>
                <wp:effectExtent l="0" t="0" r="0" b="0"/>
                <wp:wrapNone/>
                <wp:docPr id="7" name="TextBox 6">
                  <a:extLst xmlns:a="http://schemas.openxmlformats.org/drawingml/2006/main">
                    <a:ext uri="{FF2B5EF4-FFF2-40B4-BE49-F238E27FC236}">
                      <a16:creationId xmlns:a16="http://schemas.microsoft.com/office/drawing/2014/main" id="{F2ABD008-831C-41FA-DD14-E47FF485408C}"/>
                    </a:ext>
                  </a:extLst>
                </wp:docPr>
                <wp:cNvGraphicFramePr/>
                <a:graphic xmlns:a="http://schemas.openxmlformats.org/drawingml/2006/main">
                  <a:graphicData uri="http://schemas.microsoft.com/office/word/2010/wordprocessingShape">
                    <wps:wsp>
                      <wps:cNvSpPr txBox="1"/>
                      <wps:spPr>
                        <a:xfrm>
                          <a:off x="0" y="0"/>
                          <a:ext cx="1008112" cy="461665"/>
                        </a:xfrm>
                        <a:prstGeom prst="rect">
                          <a:avLst/>
                        </a:prstGeom>
                        <a:noFill/>
                      </wps:spPr>
                      <wps:txbx>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wps:txbx>
                      <wps:bodyPr wrap="square" rtlCol="0">
                        <a:spAutoFit/>
                      </wps:bodyPr>
                    </wps:wsp>
                  </a:graphicData>
                </a:graphic>
              </wp:anchor>
            </w:drawing>
          </mc:Choice>
          <mc:Fallback>
            <w:pict>
              <v:shape w14:anchorId="6DEE08EC" id="TextBox 6" o:spid="_x0000_s1028" type="#_x0000_t202" style="position:absolute;margin-left:351.15pt;margin-top:22.65pt;width:79.4pt;height:36.3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" filled="f" stroked="f">
                <v:textbox style="mso-fit-shape-to-text:t">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v:textbox>
              </v:shape>
            </w:pict>
          </mc:Fallback>
        </mc:AlternateContent>
      </w:r>
      <w:r w:rsidRPr="00030984">
        <w:rPr>
          <w:noProof/>
          <w:lang w:eastAsia="en-NZ"/>
        </w:rPr>
        <mc:AlternateContent>
          <mc:Choice Requires="wps">
            <w:drawing>
              <wp:anchor distT="0" distB="0" distL="114300" distR="114300" simplePos="0" relativeHeight="251714560" behindDoc="0" locked="0" layoutInCell="1" allowOverlap="1" wp14:anchorId="651D7DB9" wp14:editId="76384AFD">
                <wp:simplePos x="0" y="0"/>
                <wp:positionH relativeFrom="column">
                  <wp:posOffset>3830320</wp:posOffset>
                </wp:positionH>
                <wp:positionV relativeFrom="paragraph">
                  <wp:posOffset>266257</wp:posOffset>
                </wp:positionV>
                <wp:extent cx="627492" cy="520109"/>
                <wp:effectExtent l="0" t="0" r="20320" b="13335"/>
                <wp:wrapNone/>
                <wp:docPr id="731299394" name="Oval 5"/>
                <wp:cNvGraphicFramePr/>
                <a:graphic xmlns:a="http://schemas.openxmlformats.org/drawingml/2006/main">
                  <a:graphicData uri="http://schemas.microsoft.com/office/word/2010/wordprocessingShape">
                    <wps:wsp>
                      <wps:cNvSpPr/>
                      <wps:spPr>
                        <a:xfrm>
                          <a:off x="0" y="0"/>
                          <a:ext cx="627492" cy="520109"/>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37485D97" id="Oval 5" o:spid="_x0000_s1026" style="position:absolute;margin-left:301.6pt;margin-top:20.95pt;width:49.4pt;height:40.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" filled="f" strokecolor="#02040b [484]" strokeweight=".25pt">
                <v:stroke joinstyle="miter"/>
              </v:oval>
            </w:pict>
          </mc:Fallback>
        </mc:AlternateContent>
      </w:r>
      <w:r w:rsidR="00030984" w:rsidRPr="00030984">
        <w:rPr>
          <w:noProof/>
          <w:lang w:eastAsia="en-NZ"/>
        </w:rPr>
        <mc:AlternateContent>
          <mc:Choice Requires="wps">
            <w:drawing>
              <wp:anchor distT="0" distB="0" distL="114300" distR="114300" simplePos="0" relativeHeight="251717632" behindDoc="0" locked="0" layoutInCell="1" allowOverlap="1" wp14:anchorId="670B6E0D" wp14:editId="3A8884BD">
                <wp:simplePos x="0" y="0"/>
                <wp:positionH relativeFrom="column">
                  <wp:posOffset>3926840</wp:posOffset>
                </wp:positionH>
                <wp:positionV relativeFrom="paragraph">
                  <wp:posOffset>3244215</wp:posOffset>
                </wp:positionV>
                <wp:extent cx="1800200" cy="461665"/>
                <wp:effectExtent l="0" t="0" r="0" b="0"/>
                <wp:wrapNone/>
                <wp:docPr id="9" name="TextBox 8">
                  <a:extLst xmlns:a="http://schemas.openxmlformats.org/drawingml/2006/main">
                    <a:ext uri="{FF2B5EF4-FFF2-40B4-BE49-F238E27FC236}">
                      <a16:creationId xmlns:a16="http://schemas.microsoft.com/office/drawing/2014/main" id="{71BB93A3-14E7-4177-A528-09B93EC2B85F}"/>
                    </a:ext>
                  </a:extLst>
                </wp:docPr>
                <wp:cNvGraphicFramePr/>
                <a:graphic xmlns:a="http://schemas.openxmlformats.org/drawingml/2006/main">
                  <a:graphicData uri="http://schemas.microsoft.com/office/word/2010/wordprocessingShape">
                    <wps:wsp>
                      <wps:cNvSpPr txBox="1"/>
                      <wps:spPr>
                        <a:xfrm>
                          <a:off x="0" y="0"/>
                          <a:ext cx="1800200" cy="461665"/>
                        </a:xfrm>
                        <a:prstGeom prst="rect">
                          <a:avLst/>
                        </a:prstGeom>
                        <a:noFill/>
                      </wps:spPr>
                      <wps:txbx>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wps:txbx>
                      <wps:bodyPr wrap="square" rtlCol="0">
                        <a:spAutoFit/>
                      </wps:bodyPr>
                    </wps:wsp>
                  </a:graphicData>
                </a:graphic>
              </wp:anchor>
            </w:drawing>
          </mc:Choice>
          <mc:Fallback>
            <w:pict>
              <v:shape w14:anchorId="670B6E0D" id="TextBox 8" o:spid="_x0000_s1029" type="#_x0000_t202" style="position:absolute;margin-left:309.2pt;margin-top:255.45pt;width:141.75pt;height:36.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" filled="f" stroked="f">
                <v:textbox style="mso-fit-shape-to-text:t">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v:textbox>
              </v:shape>
            </w:pict>
          </mc:Fallback>
        </mc:AlternateContent>
      </w:r>
      <w:r w:rsidR="00030984" w:rsidRPr="00030984">
        <w:rPr>
          <w:noProof/>
          <w:lang w:eastAsia="en-NZ"/>
        </w:rPr>
        <w:drawing>
          <wp:inline distT="0" distB="0" distL="0" distR="0" wp14:anchorId="1398E478" wp14:editId="6C5A93FE">
            <wp:extent cx="5796165" cy="3922514"/>
            <wp:effectExtent l="0" t="0" r="0" b="1905"/>
            <wp:docPr id="811033456" name="Chart 1">
              <a:extLst xmlns:a="http://schemas.openxmlformats.org/drawingml/2006/main">
                <a:ext uri="{FF2B5EF4-FFF2-40B4-BE49-F238E27FC236}">
                  <a16:creationId xmlns:a16="http://schemas.microsoft.com/office/drawing/2014/main" id="{3DC4EB56-6744-CA7F-732D-5B7E71AEAA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BD01DA9" w14:textId="77777777" w:rsidR="00030984" w:rsidRPr="006A6424" w:rsidRDefault="00030984" w:rsidP="003F57E3">
      <w:pPr>
        <w:rPr>
          <w:lang w:eastAsia="en-NZ"/>
        </w:rPr>
      </w:pPr>
    </w:p>
    <w:p w14:paraId="3A0EAB12" w14:textId="77777777" w:rsidR="006A6424" w:rsidRPr="006A6424" w:rsidRDefault="00AF1867" w:rsidP="00AF1867">
      <w:pPr>
        <w:pStyle w:val="Heading4"/>
        <w:rPr>
          <w:rFonts w:eastAsia="Times New Roman"/>
          <w:lang w:eastAsia="en-NZ"/>
        </w:rPr>
      </w:pPr>
      <w:r>
        <w:rPr>
          <w:rFonts w:eastAsia="Times New Roman"/>
          <w:lang w:eastAsia="en-NZ"/>
        </w:rPr>
        <w:t xml:space="preserve">5.1 </w:t>
      </w:r>
      <w:r w:rsidR="006A6424" w:rsidRPr="006A6424">
        <w:rPr>
          <w:rFonts w:eastAsia="Times New Roman"/>
          <w:lang w:eastAsia="en-NZ"/>
        </w:rPr>
        <w:t>Land use and housing constraints</w:t>
      </w:r>
    </w:p>
    <w:p w14:paraId="5FC5A0BD"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3BB44C46"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p>
    <w:p w14:paraId="0EDEFC90"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14:paraId="1B8BDFB4" w14:textId="77777777" w:rsidR="00265A65" w:rsidRDefault="00505D4B">
      <w:r>
        <w:lastRenderedPageBreak/>
        <w:t>For New Zealand, the outside option is not only another region — it is Australia. Spatial equilibrium modelling of New Zealand's housing market over 2000–2016 finds that most of the economic cost of housing supply constraints operates through net migration of New Zealand workers to Australia, rather than through the reallocation of workers between New Zealand regions (Nunns, 2019). Workers priced out of high-productivity cities do not simply relocate within New Zealand; a material share leave the country altogether. The same modelling estimates that eliminating housing price distortions would have raised GDP by around 4.5–7.7%, with most of the gain coming from retaining workers who would otherwise have crossed the Tasman. Housing policy is therefore also, in effect, population policy.</w:t>
      </w:r>
    </w:p>
    <w:p w14:paraId="6011C97D" w14:textId="77777777" w:rsidR="006A6424" w:rsidRDefault="006A6424" w:rsidP="003F57E3">
      <w:pPr>
        <w:rPr>
          <w:lang w:eastAsia="en-NZ"/>
        </w:rPr>
      </w:pPr>
      <w:r w:rsidRPr="006A6424">
        <w:rPr>
          <w:lang w:eastAsia="en-NZ"/>
        </w:rPr>
        <w:t>Constraints on urban development also have system-wide effects. Limits on intensification and expansion push growth toward lower-density and less well-connected locations, increasing infrastructure costs and reducing effective city size (Nunns &amp; Dodge, 2022; Te Waihanga, 2026). New Zealand's land use regulatory system is also unusually complex by international standards: the country has 1,175 separate land-use zones spread across 67 territorial authorities, compared with just 13 in Japan, a country with more than twenty times its population (Te Waihanga, 2026). 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256BBD18" w14:textId="77777777" w:rsidR="00F94108" w:rsidRDefault="00F94108" w:rsidP="00AC6638">
      <w:pPr>
        <w:pStyle w:val="Caption"/>
      </w:pPr>
      <w:r w:rsidRPr="00AF0C1E">
        <w:t xml:space="preserve">Figure </w:t>
      </w:r>
      <w:r>
        <w:t>6</w:t>
      </w:r>
      <w:r w:rsidRPr="00AF0C1E">
        <w:t>:</w:t>
      </w:r>
      <w:r>
        <w:t xml:space="preserve"> taken from Auckland City Council planning material June 2026</w:t>
      </w:r>
    </w:p>
    <w:p w14:paraId="3141FEC9" w14:textId="77777777" w:rsidR="00F94108" w:rsidRPr="006A6424" w:rsidRDefault="00F94108" w:rsidP="00AC6638">
      <w:pPr>
        <w:jc w:val="center"/>
        <w:rPr>
          <w:lang w:eastAsia="en-NZ"/>
        </w:rPr>
      </w:pPr>
      <w:r w:rsidRPr="00F94108">
        <w:rPr>
          <w:noProof/>
          <w:lang w:eastAsia="en-NZ"/>
        </w:rPr>
        <w:drawing>
          <wp:inline distT="0" distB="0" distL="0" distR="0" wp14:anchorId="74DD7120" wp14:editId="6E49D2FB">
            <wp:extent cx="5482517" cy="3096344"/>
            <wp:effectExtent l="0" t="0" r="4445" b="8890"/>
            <wp:docPr id="5" name="Picture 4">
              <a:extLst xmlns:a="http://schemas.openxmlformats.org/drawingml/2006/main">
                <a:ext uri="{FF2B5EF4-FFF2-40B4-BE49-F238E27FC236}">
                  <a16:creationId xmlns:a16="http://schemas.microsoft.com/office/drawing/2014/main" id="{1A31DCE7-0E88-BADB-DF54-09354B2FCA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A31DCE7-0E88-BADB-DF54-09354B2FCA71}"/>
                        </a:ext>
                      </a:extLst>
                    </pic:cNvPr>
                    <pic:cNvPicPr>
                      <a:picLocks noChangeAspect="1"/>
                    </pic:cNvPicPr>
                  </pic:nvPicPr>
                  <pic:blipFill>
                    <a:blip r:embed="rId19"/>
                    <a:stretch>
                      <a:fillRect/>
                    </a:stretch>
                  </pic:blipFill>
                  <pic:spPr>
                    <a:xfrm>
                      <a:off x="0" y="0"/>
                      <a:ext cx="5482517" cy="3096344"/>
                    </a:xfrm>
                    <a:prstGeom prst="rect">
                      <a:avLst/>
                    </a:prstGeom>
                  </pic:spPr>
                </pic:pic>
              </a:graphicData>
            </a:graphic>
          </wp:inline>
        </w:drawing>
      </w:r>
    </w:p>
    <w:p w14:paraId="4BD84048"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4226ED23" w14:textId="77777777"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6A642F87"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208049C0" w14:textId="77777777" w:rsidR="006A6424" w:rsidRPr="006A6424" w:rsidRDefault="006A6424" w:rsidP="003F57E3">
      <w:pPr>
        <w:rPr>
          <w:lang w:eastAsia="en-NZ"/>
        </w:rPr>
      </w:pPr>
      <w:r w:rsidRPr="006A6424">
        <w:rPr>
          <w:lang w:eastAsia="en-NZ"/>
        </w:rPr>
        <w:lastRenderedPageBreak/>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749A2051"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57D6ADE6"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61DA2EBD"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0A3FEEDE" w14:textId="77777777"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51BB64D5"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1D182356"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4210598F" w14:textId="77777777" w:rsidR="00F94108"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08488916" w14:textId="77777777" w:rsidR="00F94108" w:rsidRDefault="00F94108" w:rsidP="00F94108">
      <w:pPr>
        <w:pStyle w:val="Caption"/>
      </w:pPr>
      <w:r w:rsidRPr="00AF0C1E">
        <w:t xml:space="preserve">Figure </w:t>
      </w:r>
      <w:r>
        <w:t>7</w:t>
      </w:r>
      <w:r w:rsidRPr="00AF0C1E">
        <w:t>:</w:t>
      </w:r>
      <w:r>
        <w:t xml:space="preserve"> Estimated mode share for household trips in Auckland, 1920-2016 </w:t>
      </w:r>
    </w:p>
    <w:p w14:paraId="61BFC511" w14:textId="77777777" w:rsidR="006A6424" w:rsidRPr="006A6424" w:rsidRDefault="00F94108" w:rsidP="00AC6638">
      <w:pPr>
        <w:jc w:val="center"/>
        <w:rPr>
          <w:lang w:eastAsia="en-NZ"/>
        </w:rPr>
      </w:pPr>
      <w:r w:rsidRPr="00F94108">
        <w:rPr>
          <w:noProof/>
          <w:lang w:eastAsia="en-NZ"/>
        </w:rPr>
        <w:drawing>
          <wp:inline distT="0" distB="0" distL="0" distR="0" wp14:anchorId="5FC02B57" wp14:editId="6A4BA38F">
            <wp:extent cx="5640881" cy="2553344"/>
            <wp:effectExtent l="0" t="0" r="0" b="0"/>
            <wp:docPr id="1027654732" name="Picture 5">
              <a:extLst xmlns:a="http://schemas.openxmlformats.org/drawingml/2006/main">
                <a:ext uri="{FF2B5EF4-FFF2-40B4-BE49-F238E27FC236}">
                  <a16:creationId xmlns:a16="http://schemas.microsoft.com/office/drawing/2014/main" id="{9ABB3FF0-B229-1AA5-4052-885AAE0B0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ABB3FF0-B229-1AA5-4052-885AAE0B09C1}"/>
                        </a:ext>
                      </a:extLst>
                    </pic:cNvPr>
                    <pic:cNvPicPr>
                      <a:picLocks noChangeAspect="1"/>
                    </pic:cNvPicPr>
                  </pic:nvPicPr>
                  <pic:blipFill>
                    <a:blip r:embed="rId20"/>
                    <a:stretch>
                      <a:fillRect/>
                    </a:stretch>
                  </pic:blipFill>
                  <pic:spPr>
                    <a:xfrm>
                      <a:off x="0" y="0"/>
                      <a:ext cx="5640881" cy="2553344"/>
                    </a:xfrm>
                    <a:prstGeom prst="rect">
                      <a:avLst/>
                    </a:prstGeom>
                  </pic:spPr>
                </pic:pic>
              </a:graphicData>
            </a:graphic>
          </wp:inline>
        </w:drawing>
      </w:r>
    </w:p>
    <w:p w14:paraId="14F8003C" w14:textId="77777777" w:rsidR="006A6424" w:rsidRPr="006A6424" w:rsidRDefault="006A6424" w:rsidP="003F57E3">
      <w:pPr>
        <w:rPr>
          <w:lang w:eastAsia="en-NZ"/>
        </w:rPr>
      </w:pPr>
      <w:r w:rsidRPr="006A6424">
        <w:rPr>
          <w:lang w:eastAsia="en-NZ"/>
        </w:rPr>
        <w:t xml:space="preserve">This represents a direct constraint on productivity. Where transport systems do not support efficient movement across the city, increases in population do not translate into proportional increases in </w:t>
      </w:r>
      <w:r w:rsidRPr="006A6424">
        <w:rPr>
          <w:lang w:eastAsia="en-NZ"/>
        </w:rPr>
        <w:lastRenderedPageBreak/>
        <w:t>economic interaction. Instead, growth is absorbed into longer travel times and reduced accessibility, diminishing the returns to urban scale.</w:t>
      </w:r>
    </w:p>
    <w:p w14:paraId="092DB639"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39B45391"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55F6B79E" w14:textId="77777777"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74EF0F59"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122CB934" w14:textId="77777777" w:rsidR="006A6424" w:rsidRDefault="006A6424" w:rsidP="003F57E3">
      <w:pPr>
        <w:rPr>
          <w:i/>
          <w:iCs/>
          <w:lang w:eastAsia="en-NZ"/>
        </w:rPr>
      </w:pPr>
      <w:r>
        <w:t>Auckland's employment is heavily concentrated in and around the city centre and inner suburbs. This is consistent with the international evidence on sectoral concentration in primate cities, and with Auckland's role as New Zealand's primary financial, professional, and commercial hub. Auckland Transport's strategic case quantifies the consequence, forecasting the number of jobs accessible within a reasonable travel time — 30 minutes by car or 45 minutes by public transport — in 2031. From well-connected suburbs six to ten kilometres from the city centre, such as Mount Roskill, residents can reach 500,000–650,000 jobs by car. From suburbs only a few kilometres further out, the effective labour market collapses: fewer than 50,000 jobs are accessible by public transport from Māngere, Titirangi or Botany Downs, and south of Takanini fewer than 100,000 jobs are accessible even by car (Auckland Transport, 2021).</w:t>
      </w:r>
    </w:p>
    <w:p w14:paraId="252D0C7B" w14:textId="53AA21C0" w:rsidR="005A107C" w:rsidRPr="005A107C" w:rsidRDefault="005A107C" w:rsidP="005A107C">
      <w:pPr>
        <w:pStyle w:val="Caption"/>
      </w:pPr>
      <w:r>
        <w:t>Figure 8: Number of Jobs Accessible by Mode from locations within Auckland (2031)</w:t>
      </w:r>
    </w:p>
    <w:p w14:paraId="2DEDAF81" w14:textId="2587CFD7" w:rsidR="005A107C" w:rsidRPr="006A6424" w:rsidRDefault="005A107C" w:rsidP="003F57E3">
      <w:pPr>
        <w:rPr>
          <w:lang w:eastAsia="en-NZ"/>
        </w:rPr>
      </w:pPr>
      <w:r w:rsidRPr="005A107C">
        <w:rPr>
          <w:noProof/>
          <w:lang w:eastAsia="en-NZ"/>
        </w:rPr>
        <w:drawing>
          <wp:inline distT="0" distB="0" distL="0" distR="0" wp14:anchorId="663D277F" wp14:editId="2C35CAD0">
            <wp:extent cx="6116320" cy="3571240"/>
            <wp:effectExtent l="0" t="0" r="0" b="0"/>
            <wp:docPr id="4981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2354" name=""/>
                    <pic:cNvPicPr/>
                  </pic:nvPicPr>
                  <pic:blipFill>
                    <a:blip r:embed="rId21"/>
                    <a:stretch>
                      <a:fillRect/>
                    </a:stretch>
                  </pic:blipFill>
                  <pic:spPr>
                    <a:xfrm>
                      <a:off x="0" y="0"/>
                      <a:ext cx="6116320" cy="3571240"/>
                    </a:xfrm>
                    <a:prstGeom prst="rect">
                      <a:avLst/>
                    </a:prstGeom>
                  </pic:spPr>
                </pic:pic>
              </a:graphicData>
            </a:graphic>
          </wp:inline>
        </w:drawing>
      </w:r>
    </w:p>
    <w:p w14:paraId="58C9BAB5"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w:t>
      </w:r>
      <w:r w:rsidRPr="006A6424">
        <w:rPr>
          <w:lang w:eastAsia="en-NZ"/>
        </w:rPr>
        <w:lastRenderedPageBreak/>
        <w:t xml:space="preserve">transport accessibility is weakest (Blick &amp; Stewart, 2025; Ministry of Housing and Urban Development, 2024).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4E0CA225"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55B550F6"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27EFE04F" w14:textId="77777777" w:rsidR="00265A65" w:rsidRDefault="00505D4B">
      <w:r>
        <w:t>Weak matching is already visible in the aggregate data. New Zealand ranks among the OECD countries with the highest combined rates of qualification and field-of-study mismatch — workers employed below or outside their qualifications — a pattern consistent with its high foreign-born workforce share and imperfect credential recognition (OECD, 2016). Mismatch on this scale wastes human capital and suppresses GDP growth (OECD, 2016). It also has a spatial dimension: matching workers to the jobs that use their skills requires deep, accessible labour markets, and the housing and transport constraints described above thin out exactly those markets. A skilled migrant who cannot afford to live within reach of the specialised jobs that match their qualifications becomes part of the mismatch statistics.</w:t>
      </w:r>
    </w:p>
    <w:p w14:paraId="387D029A"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2ED9A7DC" w14:textId="77777777"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6F097B8F" w14:textId="77777777"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r w:rsidR="004C268F">
        <w:rPr>
          <w:lang w:eastAsia="en-NZ"/>
        </w:rPr>
        <w:t xml:space="preserve"> </w:t>
      </w:r>
    </w:p>
    <w:p w14:paraId="59D61894"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0579DAE2" w14:textId="77777777" w:rsidR="006A6424" w:rsidRPr="006A6424" w:rsidRDefault="006A6424" w:rsidP="003F57E3">
      <w:pPr>
        <w:rPr>
          <w:lang w:eastAsia="en-NZ"/>
        </w:rPr>
      </w:pPr>
      <w:r w:rsidRPr="006A6424">
        <w:rPr>
          <w:lang w:eastAsia="en-NZ"/>
        </w:rPr>
        <w:t xml:space="preserve">This matters because delivering effective urban outcomes requires these components to operate jointly. Where planning, funding, and delivery are not fully aligned, outcomes are shaped by the </w:t>
      </w:r>
      <w:r w:rsidRPr="006A6424">
        <w:rPr>
          <w:lang w:eastAsia="en-NZ"/>
        </w:rPr>
        <w:lastRenderedPageBreak/>
        <w:t>interaction of separate decisions rather than a single integrated approach. This can slow responses to growth and limit the system's ability to optimise spatial outcomes.</w:t>
      </w:r>
    </w:p>
    <w:p w14:paraId="2ECEBFE8" w14:textId="77777777" w:rsidR="006A6424" w:rsidRPr="006A6424" w:rsidRDefault="006A6424" w:rsidP="003F57E3">
      <w:pPr>
        <w:rPr>
          <w:lang w:eastAsia="en-NZ"/>
        </w:rPr>
      </w:pPr>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p>
    <w:p w14:paraId="4CA4FCC6" w14:textId="77777777" w:rsid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70821B6F" w14:textId="77777777" w:rsidR="004C268F" w:rsidRPr="006A6424" w:rsidRDefault="004C268F" w:rsidP="003F57E3">
      <w:pPr>
        <w:rPr>
          <w:lang w:eastAsia="en-NZ"/>
        </w:rPr>
      </w:pPr>
      <w:r>
        <w:rPr>
          <w:lang w:eastAsia="en-NZ"/>
        </w:rPr>
        <w:t xml:space="preserve">The ‘super city’ reforms, and subsequent spatial plan, were both extremely important steps in the right direction, but there is some way still to go, and New Zealand’s overall government structure contributes to this spatial fragmentation. New Zealand’s government is highly centralised (Gluckman et al., 2022). Spatial functions which in some jurisdictions are undertaken by </w:t>
      </w:r>
      <w:r w:rsidR="001D3A83">
        <w:rPr>
          <w:lang w:eastAsia="en-NZ"/>
        </w:rPr>
        <w:t xml:space="preserve">local </w:t>
      </w:r>
      <w:r>
        <w:rPr>
          <w:lang w:eastAsia="en-NZ"/>
        </w:rPr>
        <w:t xml:space="preserve">authorities include transport planning, school property, </w:t>
      </w:r>
      <w:r w:rsidR="001D3A83">
        <w:rPr>
          <w:lang w:eastAsia="en-NZ"/>
        </w:rPr>
        <w:t>tertiary education</w:t>
      </w:r>
      <w:r>
        <w:rPr>
          <w:lang w:eastAsia="en-NZ"/>
        </w:rPr>
        <w:t xml:space="preserve"> property and funding, </w:t>
      </w:r>
      <w:r w:rsidR="001D3A83">
        <w:rPr>
          <w:lang w:eastAsia="en-NZ"/>
        </w:rPr>
        <w:t xml:space="preserve">health system planning, conservation, and social housing. It is far from clear that these functions are spatially coordinated across central government, leading to measure of ‘stealth fragmentation’ despite the unified Auckland council. </w:t>
      </w:r>
    </w:p>
    <w:p w14:paraId="4A63538E" w14:textId="7777777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5F894D85"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316FC67A" w14:textId="77777777" w:rsidR="006A6424" w:rsidRPr="006A6424" w:rsidRDefault="006A6424" w:rsidP="00891B2B">
      <w:pPr>
        <w:rPr>
          <w:lang w:eastAsia="en-NZ"/>
        </w:rPr>
      </w:pPr>
      <w:r w:rsidRPr="006A6424">
        <w:rPr>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281E0406"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228D1B85"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1A657FC8" w14:textId="77777777" w:rsidR="006A6424" w:rsidRPr="006A6424" w:rsidRDefault="006A6424" w:rsidP="00891B2B">
      <w:pPr>
        <w:rPr>
          <w:lang w:eastAsia="en-NZ"/>
        </w:rPr>
      </w:pPr>
      <w:r w:rsidRPr="006A6424">
        <w:rPr>
          <w:lang w:eastAsia="en-NZ"/>
        </w:rPr>
        <w:t xml:space="preserve">The result is not a simple shortage of capital, but a misallocation. Investment remains substantial in aggregate </w:t>
      </w:r>
      <w:proofErr w:type="gramStart"/>
      <w:r w:rsidRPr="006A6424">
        <w:rPr>
          <w:lang w:eastAsia="en-NZ"/>
        </w:rPr>
        <w:t>terms, but</w:t>
      </w:r>
      <w:proofErr w:type="gramEnd"/>
      <w:r w:rsidRPr="006A6424">
        <w:rPr>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42E3D38E"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3937B565" w14:textId="77777777" w:rsidR="006A6424" w:rsidRPr="006A6424" w:rsidRDefault="00AF1867" w:rsidP="00AF1867">
      <w:pPr>
        <w:pStyle w:val="Heading4"/>
        <w:rPr>
          <w:rFonts w:eastAsia="Times New Roman"/>
          <w:lang w:eastAsia="en-NZ"/>
        </w:rPr>
      </w:pPr>
      <w:r>
        <w:rPr>
          <w:rFonts w:eastAsia="Times New Roman"/>
          <w:lang w:eastAsia="en-NZ"/>
        </w:rPr>
        <w:lastRenderedPageBreak/>
        <w:t xml:space="preserve">5.7 </w:t>
      </w:r>
      <w:r w:rsidR="006A6424" w:rsidRPr="006A6424">
        <w:rPr>
          <w:rFonts w:eastAsia="Times New Roman"/>
          <w:lang w:eastAsia="en-NZ"/>
        </w:rPr>
        <w:t>Weak secondary city system</w:t>
      </w:r>
    </w:p>
    <w:p w14:paraId="2936B01F"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320F533B"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10F8BA3B" w14:textId="77777777" w:rsidR="006A6424" w:rsidRPr="006A6424" w:rsidRDefault="006A6424" w:rsidP="00920D09">
      <w:pPr>
        <w:rPr>
          <w:lang w:eastAsia="en-NZ"/>
        </w:rPr>
      </w:pPr>
      <w:r w:rsidRPr="006A6424">
        <w:rPr>
          <w:lang w:eastAsia="en-NZ"/>
        </w:rPr>
        <w:t>As a result, the secondary city system does not operate as a strong network of complementary urban centres, but as a set of relatively shallow labour markets with limited agglomeration effects.</w:t>
      </w:r>
    </w:p>
    <w:p w14:paraId="310D1AF6" w14:textId="77777777"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5ED02BAD" w14:textId="77777777" w:rsidR="006A6424" w:rsidRPr="006A6424" w:rsidRDefault="00AF1867" w:rsidP="00AF1867">
      <w:pPr>
        <w:pStyle w:val="Heading4"/>
        <w:rPr>
          <w:rFonts w:eastAsia="Times New Roman"/>
          <w:lang w:eastAsia="en-NZ"/>
        </w:rPr>
      </w:pPr>
      <w:r>
        <w:rPr>
          <w:rFonts w:eastAsia="Times New Roman"/>
          <w:lang w:eastAsia="en-NZ"/>
        </w:rPr>
        <w:t xml:space="preserve">5.8 </w:t>
      </w:r>
      <w:r w:rsidR="006A6424" w:rsidRPr="006A6424">
        <w:rPr>
          <w:rFonts w:eastAsia="Times New Roman"/>
          <w:lang w:eastAsia="en-NZ"/>
        </w:rPr>
        <w:t>Diverging regional dynamics</w:t>
      </w:r>
    </w:p>
    <w:p w14:paraId="732883A8"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This divergence is visible in the agglomeration data itself: Auckland's agglomeration elasticities have strengthened since the 1980s, while those of other New Zealand cities have weakened or declined (Donovan et al., 2022). 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744FAEE0"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FF4C87A" w14:textId="77777777" w:rsidR="006A6424" w:rsidRPr="006A6424" w:rsidRDefault="006A6424" w:rsidP="00920D09">
      <w:pPr>
        <w:rPr>
          <w:lang w:eastAsia="en-NZ"/>
        </w:rPr>
      </w:pPr>
      <w:r w:rsidRPr="006A6424">
        <w:rPr>
          <w:lang w:eastAsia="en-NZ"/>
        </w:rPr>
        <w:t xml:space="preserve">This reinforces the central argument of the paper: improving national productivity does not require redistributing </w:t>
      </w:r>
      <w:proofErr w:type="gramStart"/>
      <w:r w:rsidRPr="006A6424">
        <w:rPr>
          <w:lang w:eastAsia="en-NZ"/>
        </w:rPr>
        <w:t>growth, but</w:t>
      </w:r>
      <w:proofErr w:type="gramEnd"/>
      <w:r w:rsidRPr="006A6424">
        <w:rPr>
          <w:lang w:eastAsia="en-NZ"/>
        </w:rPr>
        <w:t xml:space="preserve"> improving the performance of the metropolitan system through which that growth is delivered.</w:t>
      </w:r>
    </w:p>
    <w:p w14:paraId="5CBBC8F6" w14:textId="77777777" w:rsidR="00920D09" w:rsidRDefault="00920D09">
      <w:pPr>
        <w:spacing w:after="0"/>
        <w:rPr>
          <w:lang w:eastAsia="en-NZ"/>
        </w:rPr>
      </w:pPr>
      <w:r>
        <w:rPr>
          <w:lang w:eastAsia="en-NZ"/>
        </w:rPr>
        <w:br w:type="page"/>
      </w:r>
    </w:p>
    <w:p w14:paraId="2B195AA3" w14:textId="77777777" w:rsidR="006A6424" w:rsidRPr="006A6424" w:rsidRDefault="006A6424" w:rsidP="003F57E3">
      <w:pPr>
        <w:pStyle w:val="Heading2"/>
        <w:rPr>
          <w:rFonts w:eastAsia="Times New Roman"/>
          <w:lang w:eastAsia="en-NZ"/>
        </w:rPr>
      </w:pPr>
      <w:bookmarkStart w:id="9" w:name="_Toc234827735"/>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9"/>
    </w:p>
    <w:p w14:paraId="06B6EDD2" w14:textId="77777777" w:rsidR="00265A65" w:rsidRDefault="00505D4B">
      <w:r>
        <w:t xml:space="preserve">This paper is somewhat to do with spatial policy and its implications for economic </w:t>
      </w:r>
      <w:proofErr w:type="gramStart"/>
      <w:r>
        <w:t>growth, but</w:t>
      </w:r>
      <w:proofErr w:type="gramEnd"/>
      <w:r>
        <w:t xml:space="preserve"> has concentrated most of its runtime on city policy, and particularly policies related to Auckland. However, spatial policy can and should apply to more places than cities, and the relationship between cities and regions is potentially a major stumbling block in using spatial policy to enhance New Zealand’s productivity.</w:t>
      </w:r>
    </w:p>
    <w:p w14:paraId="32CE3328" w14:textId="77777777" w:rsidR="00265A65" w:rsidRDefault="00505D4B">
      <w:r>
        <w:t>The relative importance of cities and regions has been a recurring theme in New Zealand’s political history since the nineteenth century. We have had debates over the abolition of the provinces in 1876; the long-standing political influence of rural interests through mechanisms such as the Vogel government’s country quota; post-war efforts to spread economic opportunity and public services across the country; the regional focus of Muldoon’s Think Big; and more recent arguments over regional development funding and metropolitan growth.</w:t>
      </w:r>
    </w:p>
    <w:p w14:paraId="2B8D6345" w14:textId="77777777" w:rsidR="00265A65" w:rsidRDefault="00505D4B">
      <w:r>
        <w:t>These ideas and debates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As a result, spatial policy has often oscillated between supporting the growth of major centres and seeking to sustain opportunity across the wider regions.</w:t>
      </w:r>
    </w:p>
    <w:p w14:paraId="6A260A75" w14:textId="77777777" w:rsidR="00265A65" w:rsidRDefault="00505D4B">
      <w:r>
        <w:t xml:space="preserve">New Zealand's policy debate therefore often frames spatial choices as a trade-off between Auckland and the rest of the country. If Auckland gets something special, it </w:t>
      </w:r>
      <w:proofErr w:type="gramStart"/>
      <w:r>
        <w:t>has to</w:t>
      </w:r>
      <w:proofErr w:type="gramEnd"/>
      <w:r>
        <w:t xml:space="preserve"> come at the expense of the regions, and vice versa. This dichotomy framing is actively harmful to </w:t>
      </w:r>
      <w:proofErr w:type="gramStart"/>
      <w:r>
        <w:t>New Zealand, and</w:t>
      </w:r>
      <w:proofErr w:type="gramEnd"/>
      <w:r>
        <w:t xml:space="preserve"> </w:t>
      </w:r>
      <w:proofErr w:type="gramStart"/>
      <w:r>
        <w:t>has to</w:t>
      </w:r>
      <w:proofErr w:type="gramEnd"/>
      <w:r>
        <w:t xml:space="preserve"> change. Even phrases such as ‘what’s good for Auckland is good for New Zealand’ embed the dichotomy rather than deflate it. The simple fact is that Auckland IS a huge chunk of New Zealand — 37.9% of national GDP and 35.5% of the workforce, against a 33% population share — and therefore a large share of national outcomes (Gluckman et al., 2022). The two concepts are inseparable.</w:t>
      </w:r>
    </w:p>
    <w:p w14:paraId="506C13C7" w14:textId="77777777" w:rsidR="00265A65" w:rsidRDefault="00505D4B">
      <w:r>
        <w:t xml:space="preserve">When I began this work, one question that puzzled me at first was whether Auckland’s poor productivity performance was an Auckland </w:t>
      </w:r>
      <w:proofErr w:type="gramStart"/>
      <w:r>
        <w:t>problem, or</w:t>
      </w:r>
      <w:proofErr w:type="gramEnd"/>
      <w:r>
        <w:t xml:space="preserve"> was because Auckland is simply 40% of an unproductive economy. This was a foolish question – the answer is ‘yes’. 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 (OECD, 2015).</w:t>
      </w:r>
    </w:p>
    <w:p w14:paraId="5D3F9AFF" w14:textId="77777777" w:rsidR="00265A65" w:rsidRDefault="00505D4B">
      <w:r>
        <w:t>More broadly, different types of places require different policy approaches. Metropolitan areas generate national productivity benefits through mechanisms such as agglomeration, matching, and knowledge spillovers (Donovan et al., 2021; Maré &amp; Graham, 2009), while smaller centres and regions play complementary roles. A mature spatial policy recognises this differentiation rather than treating place-based policy as a zero-sum contest.</w:t>
      </w:r>
    </w:p>
    <w:p w14:paraId="6C2A2371" w14:textId="77777777" w:rsidR="00265A65" w:rsidRDefault="00505D4B">
      <w:r>
        <w:t>New Zealand’s regions provide the natural resources and amenity value that underpin our current largest export industries (tourism and primary industries), not to mention the value of our landscape to the screen industry. The regions are also deeply, unshakeably important to New Zealand and New Zealanders. We hold a set of shared national values that encode our farms, our fisheries, lakes and rivers, our conservation estate, our natural beauty, and the lifestyle that accompanies those things as being uniquely important and uniquely ours. The relationship between people and place is nowhere more evident than in the name ‘tangata whenua’; the indivisibility of iwi and rohe is a central part of this national character.</w:t>
      </w:r>
    </w:p>
    <w:p w14:paraId="279E9B17" w14:textId="77777777" w:rsidR="00265A65" w:rsidRDefault="00505D4B">
      <w:r>
        <w:lastRenderedPageBreak/>
        <w:t xml:space="preserve">A mature set of spatial policies would recognise </w:t>
      </w:r>
      <w:proofErr w:type="gramStart"/>
      <w:r>
        <w:t>all of</w:t>
      </w:r>
      <w:proofErr w:type="gramEnd"/>
      <w:r>
        <w:t xml:space="preserve"> these factors and own them, rather than set them in conflict. As our large primate metropolitan city, it is Auckland’s job to be more productive than the regions. If it is not generating national productivity benefits commensurate with its scale, there’s no point in having it. Auckland should be generating wealth that is enjoyed by all of New Zealand, and a legitimate use for that wealth is to keep the regions, their economies and their amenities functioning for the national benefit according to our shared values.</w:t>
      </w:r>
    </w:p>
    <w:p w14:paraId="0AB090B5" w14:textId="77777777" w:rsidR="00265A65" w:rsidRDefault="00505D4B">
      <w:r>
        <w:t>The alternative – to pretend that the regions should be as economically productive and self-sustaining as our metropolitan centres, and to continue to treat Auckland as a distinct country-within-a-country that shouldn’t get too far ahead of the rest of us – is a childish recipe for the continuation of the low productivity economy we enjoy at the moment. The challenge is therefore not to choose between places, but to ensure each part of the spatial system is functioning as effectively as possible.</w:t>
      </w:r>
    </w:p>
    <w:p w14:paraId="32AC30F1" w14:textId="77777777" w:rsidR="004C268F" w:rsidRDefault="004C268F">
      <w:pPr>
        <w:spacing w:after="0"/>
        <w:rPr>
          <w:rFonts w:asciiTheme="majorHAnsi" w:eastAsiaTheme="majorEastAsia" w:hAnsiTheme="majorHAnsi" w:cstheme="majorBidi"/>
          <w:b/>
          <w:sz w:val="32"/>
          <w:szCs w:val="32"/>
        </w:rPr>
      </w:pPr>
      <w:r>
        <w:br w:type="page"/>
      </w:r>
    </w:p>
    <w:p w14:paraId="12DE6871" w14:textId="77777777" w:rsidR="00AF1867" w:rsidRDefault="00AF1867" w:rsidP="00AF1867">
      <w:pPr>
        <w:pStyle w:val="Heading2"/>
        <w:rPr>
          <w:rFonts w:eastAsia="Times New Roman"/>
          <w:lang w:eastAsia="en-NZ"/>
        </w:rPr>
      </w:pPr>
      <w:bookmarkStart w:id="10" w:name="_Toc234827736"/>
      <w:r>
        <w:lastRenderedPageBreak/>
        <w:t>7. New Zealand's Final Frontier</w:t>
      </w:r>
      <w:bookmarkEnd w:id="10"/>
    </w:p>
    <w:p w14:paraId="79597730" w14:textId="77777777" w:rsidR="00265A65" w:rsidRDefault="00505D4B">
      <w:r>
        <w:t>The argument in this paper has so far focused on Auckland's weak productivity premium and the failure of New Zealand's metropolitan system to fully realise the benefits that economic theory predicts should arise from urban scale.</w:t>
      </w:r>
    </w:p>
    <w:p w14:paraId="783E58DB" w14:textId="77777777" w:rsidR="00265A65" w:rsidRDefault="00505D4B">
      <w:r>
        <w:t>A more provocative interpretation is possible.</w:t>
      </w:r>
    </w:p>
    <w:p w14:paraId="0AE3C378" w14:textId="77777777" w:rsidR="00265A65" w:rsidRDefault="00505D4B">
      <w:r>
        <w:rPr>
          <w:b/>
        </w:rPr>
        <w:t>New Zealand's productivity problem is an Auckland frontier</w:t>
      </w:r>
      <w:r w:rsidR="000424AB">
        <w:rPr>
          <w:b/>
        </w:rPr>
        <w:t xml:space="preserve"> </w:t>
      </w:r>
      <w:r>
        <w:rPr>
          <w:b/>
        </w:rPr>
        <w:t>firm problem.</w:t>
      </w:r>
    </w:p>
    <w:p w14:paraId="5ECE9A73" w14:textId="77777777" w:rsidR="00265A65" w:rsidRDefault="00505D4B">
      <w:r>
        <w:t xml:space="preserve">The Productivity Commission's inquiry into frontier firms (New Zealand Productivity Commission, 2021) identified two striking findings. First, New Zealand's frontier firms materially underperform their counterparts in comparable </w:t>
      </w:r>
      <w:proofErr w:type="gramStart"/>
      <w:r>
        <w:t>small advanced</w:t>
      </w:r>
      <w:proofErr w:type="gramEnd"/>
      <w:r>
        <w:t xml:space="preserve"> economies. Second, New Zealand has too few of them. The Commission estimated that New Zealand's frontier firms operate at less than half the productivity level of frontier firms in countries such as Sweden, Denmark, the Netherlands and Belgium, while also concluding that New Zealand lacks the large, globally significant firms that characterise successful </w:t>
      </w:r>
      <w:proofErr w:type="gramStart"/>
      <w:r>
        <w:t>small advanced</w:t>
      </w:r>
      <w:proofErr w:type="gramEnd"/>
      <w:r>
        <w:t xml:space="preserve"> economies. New Zealand's productivity challenge is therefore not simply that average firms underperform. It is that our frontier is weak.</w:t>
      </w:r>
    </w:p>
    <w:p w14:paraId="37080F09" w14:textId="77777777" w:rsidR="00265A65" w:rsidRDefault="00505D4B">
      <w:r>
        <w:t>The Commission also emphasises that frontier firms do not emerge in isolation. They arise within ecosystems of specialised capability. Successful frontier firms are embedded in networks of skilled labour, investors, universities, researchers, specialised suppliers, international connections, sophisticated management capability and other frontier firms. These ecosystems provide the conditions that allow firms to innovate, scale, export and diffuse new technologies and practices throughout the wider economy –</w:t>
      </w:r>
    </w:p>
    <w:p w14:paraId="4B359D44" w14:textId="77777777" w:rsidR="00265A65" w:rsidRDefault="00505D4B">
      <w:r>
        <w:rPr>
          <w:i/>
        </w:rPr>
        <w:t xml:space="preserve">These ecosystems are made up of entities, their capabilities, and the networks between them. Firms are at the centre of the ecosystem, including larger 'anchor' firms providing 'canopy cover' for small and medium enterprise (SMEs) and entrepreneurs. The ecosystem also includes workers with the right skills, international links, research bodies, education and training providers, mentors and investors with deep knowledge and understanding of the </w:t>
      </w:r>
      <w:proofErr w:type="gramStart"/>
      <w:r>
        <w:rPr>
          <w:i/>
        </w:rPr>
        <w:t>industry, and</w:t>
      </w:r>
      <w:proofErr w:type="gramEnd"/>
      <w:r>
        <w:rPr>
          <w:i/>
        </w:rPr>
        <w:t xml:space="preserve"> enabling infrastructure and regulations.</w:t>
      </w:r>
      <w:r>
        <w:t xml:space="preserve"> (New Zealand Productivity Commission, 2021, p. 4)</w:t>
      </w:r>
    </w:p>
    <w:p w14:paraId="62DF211A" w14:textId="77777777" w:rsidR="00265A65" w:rsidRDefault="00505D4B">
      <w:r>
        <w:rPr>
          <w:i/>
        </w:rPr>
        <w:t xml:space="preserve">High-performing SAEs typically have several large globally competitive firms with outstanding records of exporting sophisticated and distinctive goods and services. Around these large businesses exist ecosystems of complementary firms, researchers and innovators, pipelines of workers with the right skills, investments in enabling infrastructure and regulations, and mentors and investors with deep knowledge and understanding of the </w:t>
      </w:r>
      <w:proofErr w:type="gramStart"/>
      <w:r>
        <w:rPr>
          <w:i/>
        </w:rPr>
        <w:t>particular industry</w:t>
      </w:r>
      <w:proofErr w:type="gramEnd"/>
      <w:r>
        <w:rPr>
          <w:i/>
        </w:rPr>
        <w:t>.</w:t>
      </w:r>
      <w:r>
        <w:t xml:space="preserve"> (New Zealand Productivity Commission, 2021, p. 27)</w:t>
      </w:r>
    </w:p>
    <w:p w14:paraId="2505D5C3" w14:textId="77777777" w:rsidR="00265A65" w:rsidRDefault="00505D4B">
      <w:r>
        <w:t>Viewed through a spatial lens, these are eye-opening descriptions. Almost every ingredient identified by the Productivity Commission is also an urban phenomenon.</w:t>
      </w:r>
    </w:p>
    <w:p w14:paraId="6BE66238" w14:textId="77777777" w:rsidR="00265A65" w:rsidRDefault="00505D4B">
      <w:r>
        <w:t>Deep labour markets are urban. Venture capital is urban. International gateways are urban. Research institutions are urban. Knowledge spillovers are urban. Specialised business services are urban. Clusters are urban. Dense networks of firms are urban. The physical and institutional conditions required for frontier firms to emerge are overwhelmingly concentrated in cities.</w:t>
      </w:r>
    </w:p>
    <w:p w14:paraId="0052EA05" w14:textId="77777777" w:rsidR="008B4DDF" w:rsidRDefault="0071405A">
      <w:r>
        <w:t>The empirical evidence sharpens the point. In French establishment data, the productivity benefits of density are not spread evenly across firms: the most productive establishments gain roughly three times as much from dense urban locations as the least productive (14.4% versus 4.8%) (Combes et al., 2012). Density disproportionately empowers exactly the firms at the frontier — which means weak urban systems disproportionately tax them.</w:t>
      </w:r>
    </w:p>
    <w:p w14:paraId="07E8760C" w14:textId="77777777" w:rsidR="00265A65" w:rsidRDefault="00505D4B">
      <w:r>
        <w:lastRenderedPageBreak/>
        <w:t>If this is true, then the frontier firm question becomes spatial. More specifically, in the New Zealand context it becomes metropolitan, and in New Zealand, metropolitan means Auckland.</w:t>
      </w:r>
    </w:p>
    <w:p w14:paraId="7C054E9F" w14:textId="77777777" w:rsidR="00265A65" w:rsidRDefault="00505D4B">
      <w:r>
        <w:t xml:space="preserve">Auckland contains around one-third of the country's population, workforce and economic activity (Gluckman et al., 2022). It is the closest thing New Zealand has to the kind of metropolitan platform that successful </w:t>
      </w:r>
      <w:proofErr w:type="gramStart"/>
      <w:r>
        <w:t>small advanced</w:t>
      </w:r>
      <w:proofErr w:type="gramEnd"/>
      <w:r>
        <w:t xml:space="preserve"> economies use to generate globally competitive firms. If New Zealand is going to produce larger numbers of frontier firms, there is a strong likelihood that a disproportionate share of them will emerge from Auckland or depend on Auckland-based systems and networks to reach scale.</w:t>
      </w:r>
    </w:p>
    <w:p>
      <w:pPr/>
      <w:r>
        <w:t>This is not merely inference. Firm-level analysis of the Longitudinal Business Database finds that New Zealand's productivity frontier is more spatially concentrated than economic activity generally: the three major cities hold 48% of firms and 63% of employment, but 52% of national-frontier firms and 73% of frontier-firm employment — and the services frontier, the relevant one here, is disproportionately clustered in them, with Auckland much the largest component (Zheng, 2016). The frontier is not hypothetically metropolitan; it is measurably concentrated in New Zealand's major cities, and above all in Auckland.</w:t>
      </w:r>
    </w:p>
    <w:p w14:paraId="72A6350B" w14:textId="77777777" w:rsidR="00265A65" w:rsidRDefault="00505D4B">
      <w:r>
        <w:t>If Auckland is failing to provide the density, connectivity, labour-market depth, housing accessibility, transport performance, specialised land, capital access and knowledge spillovers that frontier firms require, then the result should be exactly what the Productivity Commission observes: too few frontier firms, frontier firms that are smaller than their international peers, and frontier firms that perform below the international frontier.</w:t>
      </w:r>
    </w:p>
    <w:p w14:paraId="6D4DCB53" w14:textId="77777777" w:rsidR="00265A65" w:rsidRDefault="00505D4B">
      <w:r>
        <w:t>The ‘Auckland IS New Zealand’ frame is central to considering the interrelationship between the disparate national and spatial problems highlighted in this paper. For example, we know that New Zealand performs extremely poorly at skills matching (OECD, 2016). That means that it is almost certainly the case that Auckland performs poorly at skills matching. Auckland has an explanation for that – weak transport links and expensive housing lead to a shallower labour market than expected for a prime metro. It is therefore a credible, if unproven, hypothesis that it is Auckland that is leading New Zealand’s poor skills matching performance. And frontier firms rely heavily on deep labour markets with fast and sophisticated skills matching.</w:t>
      </w:r>
    </w:p>
    <w:p w14:paraId="5C7E1162" w14:textId="77777777" w:rsidR="00265A65" w:rsidRDefault="00505D4B">
      <w:r>
        <w:t>Under this interpretation, Auckland's weak productivity premium is not simply a symptom of New Zealand's productivity problem. It is one of its causes</w:t>
      </w:r>
      <w:r w:rsidR="000424AB">
        <w:t>.</w:t>
      </w:r>
      <w:r>
        <w:t xml:space="preserve"> New Zealand may not have a generalised productivity problem that happens to include Auckland. Instead, it may have an Auckland problem that is large enough to materially shape national productivity outcomes.</w:t>
      </w:r>
      <w:r w:rsidR="000424AB">
        <w:t xml:space="preserve"> But that means that it also provides one of the best opportunities New Zealand has to close its productivity gap.</w:t>
      </w:r>
    </w:p>
    <w:p w14:paraId="6B6DBB89" w14:textId="77777777" w:rsidR="00265A65" w:rsidRDefault="00505D4B">
      <w:r>
        <w:t>Parts of this hypothesis require further testing, and the Productivity Commission does not make the argument directly. But its central premise is no longer speculative: the national productivity frontier is measurably concentrated in New Zealand's major cities, and above all in Auckland (Zheng, 2016). If frontier firms depend on metropolitan ecosystems, and Auckland is New Zealand's only metropolitan ecosystem of international scale, then the performance of Auckland is unlikely to be merely one productivity issue among many. It is the most important one.</w:t>
      </w:r>
    </w:p>
    <w:p w14:paraId="6BC055ED" w14:textId="77777777" w:rsidR="00265A65" w:rsidRDefault="00505D4B">
      <w:r>
        <w:t>Under that interpretation, improving Auckland's performance is not principally a regional policy objective. It is a national productivity strategy.</w:t>
      </w:r>
    </w:p>
    <w:p w14:paraId="4CAD5950" w14:textId="77777777" w:rsidR="001D3A83" w:rsidRDefault="001D3A83">
      <w:pPr>
        <w:spacing w:after="0"/>
        <w:rPr>
          <w:rFonts w:asciiTheme="majorHAnsi" w:eastAsia="Times New Roman" w:hAnsiTheme="majorHAnsi" w:cstheme="majorBidi"/>
          <w:b/>
          <w:sz w:val="32"/>
          <w:szCs w:val="32"/>
          <w:lang w:eastAsia="en-NZ"/>
        </w:rPr>
      </w:pPr>
      <w:r>
        <w:rPr>
          <w:rFonts w:eastAsia="Times New Roman"/>
          <w:lang w:eastAsia="en-NZ"/>
        </w:rPr>
        <w:br w:type="page"/>
      </w:r>
    </w:p>
    <w:p w14:paraId="3148216A" w14:textId="77777777" w:rsidR="006A6424" w:rsidRPr="006A6424" w:rsidRDefault="00AF1867" w:rsidP="003F57E3">
      <w:pPr>
        <w:pStyle w:val="Heading2"/>
        <w:rPr>
          <w:rFonts w:eastAsia="Times New Roman"/>
          <w:lang w:eastAsia="en-NZ"/>
        </w:rPr>
      </w:pPr>
      <w:bookmarkStart w:id="11" w:name="_Toc234827737"/>
      <w:r>
        <w:rPr>
          <w:rFonts w:eastAsia="Times New Roman"/>
          <w:lang w:eastAsia="en-NZ"/>
        </w:rPr>
        <w:lastRenderedPageBreak/>
        <w:t>8</w:t>
      </w:r>
      <w:r w:rsidR="006A6424" w:rsidRPr="006A6424">
        <w:rPr>
          <w:rFonts w:eastAsia="Times New Roman"/>
          <w:lang w:eastAsia="en-NZ"/>
        </w:rPr>
        <w:t>. Implications for Policy</w:t>
      </w:r>
      <w:bookmarkEnd w:id="11"/>
    </w:p>
    <w:p w14:paraId="3736A0B2" w14:textId="77777777" w:rsidR="001D3A83" w:rsidRDefault="001D3A83" w:rsidP="00425772">
      <w:pPr>
        <w:rPr>
          <w:kern w:val="2"/>
          <w:lang w:eastAsia="en-NZ"/>
          <w14:ligatures w14:val="standardContextual"/>
        </w:rPr>
      </w:pPr>
      <w:r>
        <w:t xml:space="preserve">The central implication of the analysis above is that national policy has spatial incidence, </w:t>
      </w:r>
      <w:proofErr w:type="gramStart"/>
      <w:r>
        <w:t>whether or not</w:t>
      </w:r>
      <w:proofErr w:type="gramEnd"/>
      <w:r>
        <w:t xml:space="preserve"> it is designed as spatial policy. Immigration settings, infrastructure funding, housing regulation, transport investment, innovation policy, industry policy, tertiary education settings and capital market settings all land unevenly across places. In a country where population growth, frontier-firm potential and high-value services are disproportionately concentrated in Auckland, these policies cannot be treated as spatially neutral.</w:t>
      </w:r>
    </w:p>
    <w:p w14:paraId="45BFA78D" w14:textId="77777777" w:rsidR="001D3A83" w:rsidRDefault="001D3A83" w:rsidP="00425772">
      <w:pPr>
        <w:rPr>
          <w:kern w:val="2"/>
          <w:lang w:eastAsia="en-NZ"/>
          <w14:ligatures w14:val="standardContextual"/>
        </w:rPr>
      </w:pPr>
      <w:r>
        <w:t xml:space="preserve">This matters because growth does not automatically pay for itself at the local level. Population growth may increase national output and the national tax base, but the costs of accommodating that growth are highly localised: housing supply, transport capacity, water infrastructure, schools, health facilities, public space and local amenities must all be provided </w:t>
      </w:r>
      <w:proofErr w:type="gramStart"/>
      <w:r>
        <w:t>in particular places</w:t>
      </w:r>
      <w:proofErr w:type="gramEnd"/>
      <w:r>
        <w:t>, often before the fiscal benefits of growth are realised. Where those costs are not funded, sequenced or governed effectively, growth is converted into congestion, land-price escalation, infrastructure backlogs and declining accessibility rather than higher productivity.</w:t>
      </w:r>
    </w:p>
    <w:p w14:paraId="648BB2B9" w14:textId="77777777" w:rsidR="001D3A83" w:rsidRDefault="001D3A83" w:rsidP="00425772">
      <w:pPr>
        <w:rPr>
          <w:kern w:val="2"/>
          <w:lang w:eastAsia="en-NZ"/>
          <w14:ligatures w14:val="standardContextual"/>
        </w:rPr>
      </w:pPr>
      <w:r>
        <w:t>This creates a fiscal and delivery problem at the heart of the spatial system. Central government controls many of the levers that generate or shape growth, while local government bears much of the responsibility for accommodating it. The result is a persistent mismatch between national growth objectives and local delivery capacity. If the system cannot finance and deliver infrastructure ahead of demand, then growth will continue to arrive as a pressure to be managed rather than an opportunity to be converted into productivity.</w:t>
      </w:r>
    </w:p>
    <w:p w14:paraId="5E544FA0" w14:textId="77777777" w:rsidR="001D3A83" w:rsidRDefault="001D3A83" w:rsidP="00425772">
      <w:pPr>
        <w:rPr>
          <w:kern w:val="2"/>
          <w:lang w:eastAsia="en-NZ"/>
          <w14:ligatures w14:val="standardContextual"/>
        </w:rPr>
      </w:pPr>
      <w:r>
        <w:t>Spatial policy should therefore be understood as growth allocation: the set of choices that determines where growth occurs, how it is absorbed, and whether it strengthens or weakens national productivity. The issue is not whether New Zealand should grow, or whether Auckland should grow at the expense of the regions. The issue is whether the places that receive growth are given the land use settings, infrastructure, transport connectivity and governance arrangements required to turn that growth into higher output, better matching, stronger firms and better living standards.</w:t>
      </w:r>
    </w:p>
    <w:p w14:paraId="637FA6F5" w14:textId="77777777" w:rsidR="001D3A83" w:rsidRDefault="00167942" w:rsidP="00425772">
      <w:pPr>
        <w:rPr>
          <w:kern w:val="2"/>
          <w:lang w:eastAsia="en-NZ"/>
          <w14:ligatures w14:val="standardContextual"/>
        </w:rPr>
      </w:pPr>
      <w:r>
        <w:t>Whether or not you accept my entire hypothesis about frontier firms</w:t>
      </w:r>
      <w:r w:rsidR="001D3A83">
        <w:t xml:space="preserve">,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 </w:t>
      </w:r>
      <w:r>
        <w:t xml:space="preserve">A less ambitious, but still vital </w:t>
      </w:r>
      <w:r w:rsidR="001D3A83">
        <w:t>policy test is therefore not whether spatial policy can explain all of New Zealand's productivity gap, but whether the spatial system is currently good enough to support the productivity strategy New Zealand says it wants.</w:t>
      </w:r>
    </w:p>
    <w:p w14:paraId="3334EC2E" w14:textId="77777777" w:rsidR="001D3A83" w:rsidRDefault="001D3A83" w:rsidP="00425772">
      <w:pPr>
        <w:rPr>
          <w:kern w:val="2"/>
          <w:lang w:eastAsia="en-NZ"/>
          <w14:ligatures w14:val="standardContextual"/>
        </w:rPr>
      </w:pPr>
      <w:r>
        <w:t xml:space="preserve">On the evidence in this paper, the answer is no. Policy should therefore shift from treating spatial outcomes as downstream consequences of growth to treating them as part of the growth model itself. That means making the spatial incidence of national policy explicit; testing major economic policy choices for their metropolitan and regional effects; aligning infrastructure, housing and transport investment with the places where growth is expected to land; and prioritising interventions that increase effective density, labour-market depth and access to productive locations. </w:t>
      </w:r>
    </w:p>
    <w:p w14:paraId="10557F20"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3AFA9D02" w14:textId="77777777" w:rsidR="006A6424" w:rsidRPr="006A6424" w:rsidRDefault="00AF1867" w:rsidP="004C2E47">
      <w:pPr>
        <w:pStyle w:val="Heading2"/>
        <w:rPr>
          <w:rFonts w:eastAsia="Times New Roman"/>
          <w:lang w:eastAsia="en-NZ"/>
        </w:rPr>
      </w:pPr>
      <w:bookmarkStart w:id="12" w:name="_Toc234827738"/>
      <w:r>
        <w:rPr>
          <w:rFonts w:eastAsia="Times New Roman"/>
          <w:lang w:eastAsia="en-NZ"/>
        </w:rPr>
        <w:lastRenderedPageBreak/>
        <w:t>9</w:t>
      </w:r>
      <w:r w:rsidR="006A6424" w:rsidRPr="006A6424">
        <w:rPr>
          <w:rFonts w:eastAsia="Times New Roman"/>
          <w:lang w:eastAsia="en-NZ"/>
        </w:rPr>
        <w:t xml:space="preserve">. </w:t>
      </w:r>
      <w:r w:rsidR="006E34E0">
        <w:rPr>
          <w:rFonts w:eastAsia="Times New Roman"/>
          <w:lang w:eastAsia="en-NZ"/>
        </w:rPr>
        <w:t>What MBIE should do next</w:t>
      </w:r>
      <w:bookmarkEnd w:id="12"/>
    </w:p>
    <w:p w14:paraId="3B6619E9" w14:textId="77777777" w:rsidR="008B4DDF" w:rsidRDefault="0071405A">
      <w:r>
        <w:rPr>
          <w:b/>
        </w:rPr>
        <w:t>The Missing Institution</w:t>
      </w:r>
    </w:p>
    <w:p w14:paraId="56FCE4B9" w14:textId="77777777" w:rsidR="008B4DDF" w:rsidRDefault="0071405A">
      <w:r>
        <w:t>A striking feature of New Zealand's policy system is that no institution is clearly responsible for maximising the productivity performance of the spatial system. The creation of MCERT offers a massive opportunity by bringing many spatial levers together in one ministry; but it doesn't have all of them, and unlike MBIE, its mandate isn't clearly productivity. The productivity benefits described throughout this paper emerge from the interaction of spatial systems rather than from any one of them in isolation. Cities are productive not because of transport policy, science policy, infrastructure policy or immigration policy individually, but because these systems combine to create dense, accessible, well-functioning economic ecosystems.</w:t>
      </w:r>
    </w:p>
    <w:p w14:paraId="3EDF6852" w14:textId="77777777" w:rsidR="008B4DDF" w:rsidRDefault="0071405A">
      <w:r>
        <w:t xml:space="preserve">This leaves a persistent institutional gap despite the creation of MCERT. Many agencies are responsible for delivering parts of the spatial system, but no agency is clearly responsible for ensuring that the system </w:t>
      </w:r>
      <w:proofErr w:type="gramStart"/>
      <w:r>
        <w:t>as a whole maximises</w:t>
      </w:r>
      <w:proofErr w:type="gramEnd"/>
      <w:r>
        <w:t xml:space="preserve"> productivity. Decisions may therefore be rational within individual portfolios while collectively producing suboptimal outcomes. Population growth may exceed infrastructure capacity. Housing supply may lag labour market demand. Transport systems may fail to connect workers with jobs. Innovation investments may be disconnected from the places where firms are most likely to scale. The cumulative effect is a spatial system that accommodates growth without fully converting it into productivity.</w:t>
      </w:r>
    </w:p>
    <w:p w14:paraId="1BB1E6D6" w14:textId="77777777" w:rsidR="008B4DDF" w:rsidRDefault="0071405A">
      <w:r>
        <w:t>If the arguments in this paper are correct, this institutional gap matters. Spatial policy is not a peripheral planning concern. It is a material determinant of national productivity performance. A government that lacks an institutional owner for the productivity consequences of spatial outcomes risks systematically underinvesting in one of the most important drivers of long-run economic performance.</w:t>
      </w:r>
    </w:p>
    <w:p w14:paraId="12F15971" w14:textId="77777777" w:rsidR="008B4DDF" w:rsidRDefault="0071405A">
      <w:r>
        <w:t>MBIE is not the natural owner of every component of the spatial system. However, it is the government’s principal economic agency. If no institution is responsible for asking whether the spatial system is maximising productivity, MBIE is the most plausible candidate to do so.</w:t>
      </w:r>
    </w:p>
    <w:p w14:paraId="5000F248" w14:textId="77777777" w:rsidR="00425772" w:rsidRDefault="00425772" w:rsidP="00425772">
      <w:r>
        <w:t>The next steps from that idea can be boiled down to a couple of simple propositions –</w:t>
      </w:r>
    </w:p>
    <w:p w14:paraId="4F5B90C4" w14:textId="77777777" w:rsidR="00425772" w:rsidRDefault="00425772" w:rsidP="00425772">
      <w:pPr>
        <w:pStyle w:val="ListParagraph"/>
        <w:numPr>
          <w:ilvl w:val="0"/>
          <w:numId w:val="29"/>
        </w:numPr>
      </w:pPr>
      <w:r w:rsidRPr="00717D67">
        <w:rPr>
          <w:b/>
          <w:bCs/>
        </w:rPr>
        <w:t xml:space="preserve">MBIE needs to get over itself </w:t>
      </w:r>
      <w:r>
        <w:t>and think seriously about Auckland</w:t>
      </w:r>
      <w:r w:rsidR="00717D67">
        <w:t>, rather than pretending that either New Zealand is completely homogenous economically, or that a ‘market’ of some description will take care of the spatial implications of policies</w:t>
      </w:r>
      <w:r>
        <w:t xml:space="preserve">. </w:t>
      </w:r>
      <w:r w:rsidR="00717D67">
        <w:t xml:space="preserve">Geographically neutral policies can at this stage be considered actively harmful towards productivity; we are leaving potential premia on the table. </w:t>
      </w:r>
    </w:p>
    <w:p w14:paraId="06CD9C87" w14:textId="77777777" w:rsidR="00717D67" w:rsidRDefault="00717D67" w:rsidP="00717D67">
      <w:pPr>
        <w:pStyle w:val="ListParagraph"/>
        <w:numPr>
          <w:ilvl w:val="0"/>
          <w:numId w:val="0"/>
        </w:numPr>
        <w:ind w:left="720"/>
      </w:pPr>
    </w:p>
    <w:p w14:paraId="18FA9B0C" w14:textId="77777777" w:rsidR="00717D67" w:rsidRDefault="00717D67" w:rsidP="00425772">
      <w:pPr>
        <w:pStyle w:val="ListParagraph"/>
        <w:numPr>
          <w:ilvl w:val="0"/>
          <w:numId w:val="29"/>
        </w:numPr>
      </w:pPr>
      <w:r w:rsidRPr="00717D67">
        <w:rPr>
          <w:b/>
          <w:bCs/>
        </w:rPr>
        <w:t>MBIE needs to show up regularly</w:t>
      </w:r>
      <w:r>
        <w:t xml:space="preserve"> and consistently across government, and make a robust, evidence-based case for productivity being at the top of the spatial agenda. </w:t>
      </w:r>
    </w:p>
    <w:p w14:paraId="611AD115" w14:textId="77777777" w:rsidR="00717D67" w:rsidRDefault="00717D67" w:rsidP="00717D67">
      <w:pPr>
        <w:pStyle w:val="ListParagraph"/>
        <w:numPr>
          <w:ilvl w:val="0"/>
          <w:numId w:val="0"/>
        </w:numPr>
        <w:ind w:left="283"/>
      </w:pPr>
    </w:p>
    <w:p w14:paraId="5CD3F588" w14:textId="77777777" w:rsidR="006E34E0" w:rsidRDefault="006E34E0">
      <w:pPr>
        <w:rPr>
          <w:kern w:val="2"/>
          <w:lang w:eastAsia="en-NZ"/>
          <w14:ligatures w14:val="standardContextual"/>
        </w:rPr>
      </w:pPr>
      <w:r>
        <w:t>MBIE does not need to run the spatial system. It does need to stop pretending it sits outside it. Many of the key levers sit elsewhere — transport, housing, infrastructure, local government, environment, education and health — but MBIE owns enough of the economic system for spatial neutrality to be a choice. If MBIE treats place as irrelevant, it will keep designing policies that miss the actual geography of growth, firms, labour markets, capital and innovation.</w:t>
      </w:r>
    </w:p>
    <w:p w14:paraId="4A7F599E" w14:textId="77777777" w:rsidR="006E34E0" w:rsidRDefault="006E34E0">
      <w:pPr>
        <w:rPr>
          <w:kern w:val="2"/>
          <w:lang w:eastAsia="en-NZ"/>
          <w14:ligatures w14:val="standardContextual"/>
        </w:rPr>
      </w:pPr>
      <w:r>
        <w:t xml:space="preserve">The first task is therefore internal. MBIE needs a spatial productivity lens across its own advice. Migration, science, innovation, industry policy, investment attraction, tourism, major events, regional development and firm growth advice should all answer a basic question: where will this land, and will it make the productive parts of the economy work better? For Auckland, that means asking whether </w:t>
      </w:r>
      <w:r>
        <w:lastRenderedPageBreak/>
        <w:t>policy deepens labour markets, improves access to productive locations, supports frontier-firm ecosystems and reduces the frictions that currently turn scale into cost.</w:t>
      </w:r>
    </w:p>
    <w:p w14:paraId="129DDBDE" w14:textId="77777777" w:rsidR="006E34E0" w:rsidRDefault="006E34E0">
      <w:pPr>
        <w:rPr>
          <w:kern w:val="2"/>
          <w:lang w:eastAsia="en-NZ"/>
          <w14:ligatures w14:val="standardContextual"/>
        </w:rPr>
      </w:pPr>
      <w:r>
        <w:t>The second task is investment discipline. MBIE should be much more explicit about whether public and private capital is building productive capability or being soaked up by the costs of accommodating growth. Its economic strategy, investment, entity performance and innovation roles should test whether capital, land, research capability and firm support are being assembled in places where scale can plausibly produce frontier firms. In practice, that means taking Auckland's innovation corridors and precincts seriously as national productivity assets, not local amenities.</w:t>
      </w:r>
    </w:p>
    <w:p w14:paraId="4D08827A" w14:textId="77777777" w:rsidR="006E34E0" w:rsidRDefault="006E34E0">
      <w:pPr>
        <w:rPr>
          <w:kern w:val="2"/>
          <w:lang w:eastAsia="en-NZ"/>
          <w14:ligatures w14:val="standardContextual"/>
        </w:rPr>
      </w:pPr>
      <w:r>
        <w:t xml:space="preserve">The third task is to use MBIE's own levers spatially. Science reform, advanced technology investment, industry policy, investment attraction and international connections should not be scattered thinly across the map in the name of neutrality. They should be aligned where firms, talent, capital, research capability and specialised suppliers can </w:t>
      </w:r>
      <w:proofErr w:type="gramStart"/>
      <w:r>
        <w:t>actually interact</w:t>
      </w:r>
      <w:proofErr w:type="gramEnd"/>
      <w:r>
        <w:t>. That is not a case for generic regional subsidy. It is a case for building the ecosystems through which frontier firms are most likely to emerge.</w:t>
      </w:r>
    </w:p>
    <w:p w14:paraId="5A827050" w14:textId="77777777" w:rsidR="006E34E0" w:rsidRDefault="006E34E0">
      <w:pPr>
        <w:rPr>
          <w:kern w:val="2"/>
          <w:lang w:eastAsia="en-NZ"/>
          <w14:ligatures w14:val="standardContextual"/>
        </w:rPr>
      </w:pPr>
      <w:r>
        <w:t>The fourth task is to show up. MBIE should be a consistent voice in regional spatial planning, city and regional deals, infrastructure prioritisation, transport pricing, Crown property decisions, science investments and advanced technology precincts. It should not try to take over other agencies' roles, but it should keep asking the economic question they are not always set up to ask: does this decision help New Zealand convert growth into productivity?</w:t>
      </w:r>
    </w:p>
    <w:p w14:paraId="591B9FC7" w14:textId="77777777" w:rsidR="00425772" w:rsidRDefault="00425772" w:rsidP="00425772"/>
    <w:p w14:paraId="13CD72A8" w14:textId="77777777" w:rsidR="00425772" w:rsidRPr="00425772" w:rsidRDefault="00425772" w:rsidP="00425772"/>
    <w:p w14:paraId="4BB456F2" w14:textId="77777777" w:rsidR="006A6424" w:rsidRPr="009B2F01" w:rsidRDefault="003B184F" w:rsidP="00425772">
      <w:pPr>
        <w:pStyle w:val="Heading2"/>
        <w:rPr>
          <w:rFonts w:eastAsia="Times New Roman"/>
          <w:lang w:eastAsia="en-NZ"/>
        </w:rPr>
      </w:pPr>
      <w:r w:rsidRPr="00425772">
        <w:rPr>
          <w:rFonts w:eastAsia="Times New Roman"/>
          <w:lang w:eastAsia="en-NZ"/>
        </w:rPr>
        <w:br w:type="page"/>
      </w:r>
      <w:bookmarkStart w:id="13" w:name="_Toc234827739"/>
      <w:r w:rsidR="006A6424" w:rsidRPr="009B2F01">
        <w:rPr>
          <w:lang w:eastAsia="en-NZ"/>
        </w:rPr>
        <w:lastRenderedPageBreak/>
        <w:t>Bibliography</w:t>
      </w:r>
      <w:bookmarkEnd w:id="13"/>
    </w:p>
    <w:p w14:paraId="6078596E" w14:textId="77777777" w:rsidR="006A6424" w:rsidRPr="006A6424" w:rsidRDefault="006A6424" w:rsidP="00425772">
      <w:pPr>
        <w:rPr>
          <w:lang w:eastAsia="en-NZ"/>
        </w:rPr>
      </w:pPr>
      <w:r w:rsidRPr="006A6424">
        <w:rPr>
          <w:lang w:eastAsia="en-NZ"/>
        </w:rPr>
        <w:t>Ahlfeldt, G.M. and Pietrostefani, E. (2019). The economic effects of density: A synthesis. </w:t>
      </w:r>
      <w:r w:rsidRPr="006A6424">
        <w:rPr>
          <w:i/>
          <w:iCs/>
          <w:lang w:eastAsia="en-NZ"/>
        </w:rPr>
        <w:t>Journal of Urban Economics</w:t>
      </w:r>
      <w:r w:rsidRPr="006A6424">
        <w:rPr>
          <w:lang w:eastAsia="en-NZ"/>
        </w:rPr>
        <w:t>, 111, 93–107.</w:t>
      </w:r>
    </w:p>
    <w:p w14:paraId="040BB0CC" w14:textId="77777777" w:rsidR="006A6424" w:rsidRPr="006A6424" w:rsidRDefault="006A6424" w:rsidP="00425772">
      <w:pPr>
        <w:rPr>
          <w:lang w:eastAsia="en-NZ"/>
        </w:rPr>
      </w:pPr>
      <w:r w:rsidRPr="006A6424">
        <w:rPr>
          <w:lang w:eastAsia="en-NZ"/>
        </w:rPr>
        <w:t xml:space="preserve">Ahrend, R., </w:t>
      </w:r>
      <w:proofErr w:type="spellStart"/>
      <w:r w:rsidRPr="006A6424">
        <w:rPr>
          <w:lang w:eastAsia="en-NZ"/>
        </w:rPr>
        <w:t>Farchy</w:t>
      </w:r>
      <w:proofErr w:type="spellEnd"/>
      <w:r w:rsidRPr="006A6424">
        <w:rPr>
          <w:lang w:eastAsia="en-NZ"/>
        </w:rPr>
        <w:t>, E., Kaplanis, I. and Lembcke, A.C. (2015). </w:t>
      </w:r>
      <w:r w:rsidRPr="006A6424">
        <w:rPr>
          <w:i/>
          <w:iCs/>
          <w:lang w:eastAsia="en-NZ"/>
        </w:rPr>
        <w:t>What Makes Cities More Productive? Agglomeration Economies and the Role of Urban Governance: Evidence from 5 OECD Countries</w:t>
      </w:r>
      <w:r w:rsidRPr="006A6424">
        <w:rPr>
          <w:lang w:eastAsia="en-NZ"/>
        </w:rPr>
        <w:t>. SERC Discussion Paper 178. London: LSE Spatial Economics Research Centre.</w:t>
      </w:r>
    </w:p>
    <w:p w14:paraId="4F8A41CC" w14:textId="77777777" w:rsidR="006A6424" w:rsidRPr="006A6424" w:rsidRDefault="006A6424" w:rsidP="00425772">
      <w:pPr>
        <w:rPr>
          <w:lang w:eastAsia="en-NZ"/>
        </w:rPr>
      </w:pPr>
      <w:r w:rsidRPr="006A6424">
        <w:rPr>
          <w:lang w:eastAsia="en-NZ"/>
        </w:rPr>
        <w:t>Audretsch, D.B. and Feldman, M.P. (2004). Knowledge spillovers and the geography of innovation. In Henderson, J.V. and Thisse, J.-F. (eds.), </w:t>
      </w:r>
      <w:r w:rsidRPr="006A6424">
        <w:rPr>
          <w:i/>
          <w:iCs/>
          <w:lang w:eastAsia="en-NZ"/>
        </w:rPr>
        <w:t>Handbook of Regional and Urban Economics</w:t>
      </w:r>
      <w:r w:rsidRPr="006A6424">
        <w:rPr>
          <w:lang w:eastAsia="en-NZ"/>
        </w:rPr>
        <w:t>, vol. 4, pp. 2713–2739. Amsterdam: Elsevier.</w:t>
      </w:r>
    </w:p>
    <w:p w14:paraId="060B1816" w14:textId="77777777" w:rsidR="006A6424" w:rsidRPr="006A6424" w:rsidRDefault="006A6424" w:rsidP="00425772">
      <w:pPr>
        <w:rPr>
          <w:lang w:eastAsia="en-NZ"/>
        </w:rPr>
      </w:pPr>
      <w:r>
        <w:t xml:space="preserve">Auckland Transport. (2021). </w:t>
      </w:r>
      <w:r>
        <w:rPr>
          <w:i/>
        </w:rPr>
        <w:t>Auckland Region Transport Strategic Case 2021–2031</w:t>
      </w:r>
      <w:r>
        <w:t>. Future Connect | RLTP | ATAP, Final. Auckland: Auckland Transport.</w:t>
      </w:r>
    </w:p>
    <w:p w14:paraId="4E925244" w14:textId="77777777" w:rsidR="006A6424" w:rsidRPr="006A6424" w:rsidRDefault="006A6424" w:rsidP="00425772">
      <w:pPr>
        <w:rPr>
          <w:lang w:eastAsia="en-NZ"/>
        </w:rPr>
      </w:pPr>
      <w:r w:rsidRPr="006A6424">
        <w:rPr>
          <w:lang w:eastAsia="en-NZ"/>
        </w:rPr>
        <w:t>Blick, G. and Stewart, J. (2025). </w:t>
      </w:r>
      <w:r w:rsidRPr="006A6424">
        <w:rPr>
          <w:i/>
          <w:iCs/>
          <w:lang w:eastAsia="en-NZ"/>
        </w:rPr>
        <w:t>Auckland Economic Quarterly: Boosting Auckland's Productivity — Drivers, Barriers, and Policy Directions for Impact</w:t>
      </w:r>
      <w:r w:rsidRPr="006A6424">
        <w:rPr>
          <w:lang w:eastAsia="en-NZ"/>
        </w:rPr>
        <w:t>. Q1–Q2 2025. Auckland: Auckland Council Chief Economist Unit.</w:t>
      </w:r>
    </w:p>
    <w:p w14:paraId="72A7C9D3" w14:textId="77777777" w:rsidR="006A6424" w:rsidRPr="006A6424" w:rsidRDefault="006A6424" w:rsidP="00425772">
      <w:pPr>
        <w:rPr>
          <w:lang w:eastAsia="en-NZ"/>
        </w:rPr>
      </w:pPr>
      <w:r w:rsidRPr="006A6424">
        <w:rPr>
          <w:lang w:eastAsia="en-NZ"/>
        </w:rPr>
        <w:t>Coleman, A., Maré, D.C. and Zheng, W. (2019). </w:t>
      </w:r>
      <w:r w:rsidRPr="006A6424">
        <w:rPr>
          <w:i/>
          <w:iCs/>
          <w:lang w:eastAsia="en-NZ"/>
        </w:rPr>
        <w:t>New jobs, old jobs: the evolution of work in New Zealand's cities and towns</w:t>
      </w:r>
      <w:r w:rsidRPr="006A6424">
        <w:rPr>
          <w:lang w:eastAsia="en-NZ"/>
        </w:rPr>
        <w:t>. Productivity Commission Working Paper 2019/1. Wellington: New Zealand Productivity Commission.</w:t>
      </w:r>
    </w:p>
    <w:p w14:paraId="29F68895" w14:textId="77777777" w:rsidR="006A6424" w:rsidRPr="006A6424" w:rsidRDefault="006A6424" w:rsidP="00425772">
      <w:pPr>
        <w:rPr>
          <w:lang w:eastAsia="en-NZ"/>
        </w:rPr>
      </w:pPr>
      <w:r w:rsidRPr="006A6424">
        <w:rPr>
          <w:lang w:eastAsia="en-NZ"/>
        </w:rPr>
        <w:t xml:space="preserve">Collier, P., Jones, P. and </w:t>
      </w:r>
      <w:proofErr w:type="spellStart"/>
      <w:r w:rsidRPr="006A6424">
        <w:rPr>
          <w:lang w:eastAsia="en-NZ"/>
        </w:rPr>
        <w:t>Spijkerman</w:t>
      </w:r>
      <w:proofErr w:type="spellEnd"/>
      <w:r w:rsidRPr="006A6424">
        <w:rPr>
          <w:lang w:eastAsia="en-NZ"/>
        </w:rPr>
        <w:t>, D. (2018). </w:t>
      </w:r>
      <w:r w:rsidRPr="006A6424">
        <w:rPr>
          <w:i/>
          <w:iCs/>
          <w:lang w:eastAsia="en-NZ"/>
        </w:rPr>
        <w:t>Cities as Engines of Growth: Evidence from a New Global Sample of Cities</w:t>
      </w:r>
      <w:r w:rsidRPr="006A6424">
        <w:rPr>
          <w:lang w:eastAsia="en-NZ"/>
        </w:rPr>
        <w:t>. Working paper, 28 March 2018. University of Oxford / World Bank Global Research Program on Spatial Development of Cities.</w:t>
      </w:r>
    </w:p>
    <w:p w14:paraId="71E28961" w14:textId="77777777" w:rsidR="006A6424" w:rsidRPr="006A6424" w:rsidRDefault="006A6424" w:rsidP="00425772">
      <w:pPr>
        <w:rPr>
          <w:lang w:eastAsia="en-NZ"/>
        </w:rPr>
      </w:pPr>
      <w:r w:rsidRPr="009B2F01">
        <w:rPr>
          <w:lang w:val="fr-FR"/>
        </w:rPr>
        <w:t xml:space="preserve">Combes, P.-P., Duranton, G., Gobillon, L., Puga, D. and Roux, S. (2012). </w:t>
      </w:r>
      <w:r>
        <w:t xml:space="preserve">The productivity advantages of large cities: Distinguishing agglomeration from firm selection. </w:t>
      </w:r>
      <w:proofErr w:type="spellStart"/>
      <w:r>
        <w:rPr>
          <w:i/>
        </w:rPr>
        <w:t>Econometrica</w:t>
      </w:r>
      <w:proofErr w:type="spellEnd"/>
      <w:r>
        <w:t>, 80(6), 2211–2244.</w:t>
      </w:r>
    </w:p>
    <w:p w14:paraId="1ABD327F" w14:textId="77777777" w:rsidR="006A6424" w:rsidRPr="006A6424" w:rsidRDefault="006A6424" w:rsidP="00425772">
      <w:pPr>
        <w:rPr>
          <w:lang w:eastAsia="en-NZ"/>
        </w:rPr>
      </w:pPr>
      <w:r w:rsidRPr="006A6424">
        <w:rPr>
          <w:lang w:eastAsia="en-NZ"/>
        </w:rPr>
        <w:t>Committee for Auckland, Deloitte and Auckland Council. (2025). </w:t>
      </w:r>
      <w:r w:rsidRPr="006A6424">
        <w:rPr>
          <w:i/>
          <w:iCs/>
          <w:lang w:eastAsia="en-NZ"/>
        </w:rPr>
        <w:t xml:space="preserve">The State of the City 2025: Benchmarking </w:t>
      </w:r>
      <w:proofErr w:type="spellStart"/>
      <w:r w:rsidRPr="006A6424">
        <w:rPr>
          <w:i/>
          <w:iCs/>
          <w:lang w:eastAsia="en-NZ"/>
        </w:rPr>
        <w:t>Tāmaki</w:t>
      </w:r>
      <w:proofErr w:type="spellEnd"/>
      <w:r w:rsidRPr="006A6424">
        <w:rPr>
          <w:i/>
          <w:iCs/>
          <w:lang w:eastAsia="en-NZ"/>
        </w:rPr>
        <w:t xml:space="preserve"> Makaurau Auckland's international performance</w:t>
      </w:r>
      <w:r w:rsidRPr="006A6424">
        <w:rPr>
          <w:lang w:eastAsia="en-NZ"/>
        </w:rPr>
        <w:t> (3rd ed.). Auckland: Committee for Auckland.</w:t>
      </w:r>
    </w:p>
    <w:p w14:paraId="6746E71C" w14:textId="77777777" w:rsidR="006A6424" w:rsidRPr="006A6424" w:rsidRDefault="006A6424" w:rsidP="00425772">
      <w:pPr>
        <w:rPr>
          <w:lang w:eastAsia="en-NZ"/>
        </w:rPr>
      </w:pPr>
      <w:r w:rsidRPr="006A6424">
        <w:rPr>
          <w:lang w:eastAsia="en-NZ"/>
        </w:rPr>
        <w:t>Donovan, S. (2019). </w:t>
      </w:r>
      <w:r w:rsidRPr="006A6424">
        <w:rPr>
          <w:i/>
          <w:iCs/>
          <w:lang w:eastAsia="en-NZ"/>
        </w:rPr>
        <w:t>Triumph of the high-amenity city?</w:t>
      </w:r>
      <w:r w:rsidRPr="006A6424">
        <w:rPr>
          <w:lang w:eastAsia="en-NZ"/>
        </w:rPr>
        <w:t> Presentation at Te Pūnaha Matatini, funded by NZ National Science Challenge 11 (Building Better Homes, Towns and Cities), 3 October 2019.</w:t>
      </w:r>
    </w:p>
    <w:p w14:paraId="261D071F" w14:textId="77777777" w:rsidR="006A6424" w:rsidRPr="006A6424" w:rsidRDefault="006A6424" w:rsidP="00425772">
      <w:pPr>
        <w:rPr>
          <w:lang w:eastAsia="en-NZ"/>
        </w:rPr>
      </w:pPr>
      <w:r w:rsidRPr="006A6424">
        <w:rPr>
          <w:lang w:val="fr-FR" w:eastAsia="en-NZ"/>
        </w:rPr>
        <w:t xml:space="preserve">Donovan, S., de </w:t>
      </w:r>
      <w:proofErr w:type="spellStart"/>
      <w:r w:rsidRPr="006A6424">
        <w:rPr>
          <w:lang w:val="fr-FR" w:eastAsia="en-NZ"/>
        </w:rPr>
        <w:t>Graaff</w:t>
      </w:r>
      <w:proofErr w:type="spellEnd"/>
      <w:r w:rsidRPr="006A6424">
        <w:rPr>
          <w:lang w:val="fr-FR" w:eastAsia="en-NZ"/>
        </w:rPr>
        <w:t>, T., de Groot, H.L.F. and Koopmans, C.C. (2021). </w:t>
      </w:r>
      <w:r w:rsidRPr="006A6424">
        <w:rPr>
          <w:i/>
          <w:iCs/>
          <w:lang w:eastAsia="en-NZ"/>
        </w:rPr>
        <w:t>Unravelling urban advantages — A meta-analysis of agglomeration economies</w:t>
      </w:r>
      <w:r w:rsidRPr="006A6424">
        <w:rPr>
          <w:lang w:eastAsia="en-NZ"/>
        </w:rPr>
        <w:t>. Tinbergen Institute Discussion Paper TI 2021-026/VIII. Amsterdam: Tinbergen Institute.</w:t>
      </w:r>
    </w:p>
    <w:p w14:paraId="42A703F5" w14:textId="77777777" w:rsidR="006A6424" w:rsidRPr="006A6424" w:rsidRDefault="006A6424" w:rsidP="00425772">
      <w:pPr>
        <w:rPr>
          <w:lang w:eastAsia="en-NZ"/>
        </w:rPr>
      </w:pPr>
      <w:r w:rsidRPr="006A6424">
        <w:rPr>
          <w:lang w:eastAsia="en-NZ"/>
        </w:rPr>
        <w:t>Donovan, S., de Graaff, T., Grimes, A., de Groot, H.L.F. and Maré, D.C. (2022). Cities with forking paths? Agglomeration economies in New Zealand 1976–2018. </w:t>
      </w:r>
      <w:r w:rsidRPr="006A6424">
        <w:rPr>
          <w:i/>
          <w:iCs/>
          <w:lang w:eastAsia="en-NZ"/>
        </w:rPr>
        <w:t>Regional Science and Urban Economics</w:t>
      </w:r>
      <w:r w:rsidRPr="006A6424">
        <w:rPr>
          <w:lang w:eastAsia="en-NZ"/>
        </w:rPr>
        <w:t>, 95, Article 103799.</w:t>
      </w:r>
    </w:p>
    <w:p w14:paraId="1C4FA3B9" w14:textId="77777777" w:rsidR="006A6424" w:rsidRPr="006A6424" w:rsidRDefault="006A6424" w:rsidP="00425772">
      <w:pPr>
        <w:rPr>
          <w:lang w:eastAsia="en-NZ"/>
        </w:rPr>
      </w:pPr>
      <w:r w:rsidRPr="006A6424">
        <w:rPr>
          <w:lang w:eastAsia="en-NZ"/>
        </w:rPr>
        <w:t>Gluckman, P., Clyne, M. and Bardsley, A. (2022). </w:t>
      </w:r>
      <w:r w:rsidRPr="006A6424">
        <w:rPr>
          <w:i/>
          <w:iCs/>
          <w:lang w:eastAsia="en-NZ"/>
        </w:rPr>
        <w:t xml:space="preserve">Reimagining </w:t>
      </w:r>
      <w:proofErr w:type="spellStart"/>
      <w:r w:rsidRPr="006A6424">
        <w:rPr>
          <w:i/>
          <w:iCs/>
          <w:lang w:eastAsia="en-NZ"/>
        </w:rPr>
        <w:t>Tāmaki</w:t>
      </w:r>
      <w:proofErr w:type="spellEnd"/>
      <w:r w:rsidRPr="006A6424">
        <w:rPr>
          <w:i/>
          <w:iCs/>
          <w:lang w:eastAsia="en-NZ"/>
        </w:rPr>
        <w:t xml:space="preserve"> Makaurau Auckland: Harnessing the Region's Potential</w:t>
      </w:r>
      <w:r w:rsidRPr="006A6424">
        <w:rPr>
          <w:lang w:eastAsia="en-NZ"/>
        </w:rPr>
        <w:t>. Auckland: Koi Tū — The Centre for Informed Futures, University of Auckland.</w:t>
      </w:r>
    </w:p>
    <w:p w14:paraId="3648C241" w14:textId="77777777" w:rsidR="006A6424" w:rsidRPr="006A6424" w:rsidRDefault="006A6424" w:rsidP="00425772">
      <w:pPr>
        <w:rPr>
          <w:lang w:eastAsia="en-NZ"/>
        </w:rPr>
      </w:pPr>
      <w:r w:rsidRPr="006A6424">
        <w:rPr>
          <w:lang w:eastAsia="en-NZ"/>
        </w:rPr>
        <w:t>Jaffe, A.B., Trajtenberg, M. and Henderson, R. (1993). Geographic localization of knowledge spillovers as evidenced by patent citations. </w:t>
      </w:r>
      <w:r w:rsidRPr="006A6424">
        <w:rPr>
          <w:i/>
          <w:iCs/>
          <w:lang w:eastAsia="en-NZ"/>
        </w:rPr>
        <w:t>Quarterly Journal of Economics</w:t>
      </w:r>
      <w:r w:rsidRPr="006A6424">
        <w:rPr>
          <w:lang w:eastAsia="en-NZ"/>
        </w:rPr>
        <w:t>, 108(3), 577–598.</w:t>
      </w:r>
    </w:p>
    <w:p w14:paraId="20510D7C" w14:textId="77777777" w:rsidR="006A6424" w:rsidRPr="006A6424" w:rsidRDefault="006A6424" w:rsidP="00425772">
      <w:pPr>
        <w:rPr>
          <w:lang w:eastAsia="en-NZ"/>
        </w:rPr>
      </w:pPr>
      <w:r w:rsidRPr="006A6424">
        <w:rPr>
          <w:lang w:eastAsia="en-NZ"/>
        </w:rPr>
        <w:t>Javed, N., Power, I. and Richardson, A. (2026). </w:t>
      </w:r>
      <w:r w:rsidRPr="006A6424">
        <w:rPr>
          <w:i/>
          <w:iCs/>
          <w:lang w:eastAsia="en-NZ"/>
        </w:rPr>
        <w:t>Migration and the New Zealand economy: Evidence from sign-restricted SVARs</w:t>
      </w:r>
      <w:r w:rsidRPr="006A6424">
        <w:rPr>
          <w:lang w:eastAsia="en-NZ"/>
        </w:rPr>
        <w:t>. Reserve Bank of New Zealand Discussion Paper DP2026-04.</w:t>
      </w:r>
    </w:p>
    <w:p w14:paraId="0455F8C0" w14:textId="77777777" w:rsidR="006A6424" w:rsidRPr="006A6424" w:rsidRDefault="006A6424" w:rsidP="00425772">
      <w:pPr>
        <w:rPr>
          <w:lang w:eastAsia="en-NZ"/>
        </w:rPr>
      </w:pPr>
      <w:r w:rsidRPr="006A6424">
        <w:rPr>
          <w:lang w:eastAsia="en-NZ"/>
        </w:rPr>
        <w:t xml:space="preserve">Lall, S.V., </w:t>
      </w:r>
      <w:proofErr w:type="spellStart"/>
      <w:r w:rsidRPr="006A6424">
        <w:rPr>
          <w:lang w:eastAsia="en-NZ"/>
        </w:rPr>
        <w:t>Lebrand</w:t>
      </w:r>
      <w:proofErr w:type="spellEnd"/>
      <w:r w:rsidRPr="006A6424">
        <w:rPr>
          <w:lang w:eastAsia="en-NZ"/>
        </w:rPr>
        <w:t>, M., Park, H.G., Sturm, D. and Venables, A.J. (2021). </w:t>
      </w:r>
      <w:r w:rsidRPr="006A6424">
        <w:rPr>
          <w:i/>
          <w:iCs/>
          <w:lang w:eastAsia="en-NZ"/>
        </w:rPr>
        <w:t>Pancakes to Pyramids: City Form to Promote Sustainable Growth</w:t>
      </w:r>
      <w:r w:rsidRPr="006A6424">
        <w:rPr>
          <w:lang w:eastAsia="en-NZ"/>
        </w:rPr>
        <w:t>. Washington, DC: World Bank.</w:t>
      </w:r>
    </w:p>
    <w:p w14:paraId="7134981E" w14:textId="77777777" w:rsidR="006A6424" w:rsidRPr="006A6424" w:rsidRDefault="006A6424" w:rsidP="00425772">
      <w:pPr>
        <w:rPr>
          <w:lang w:eastAsia="en-NZ"/>
        </w:rPr>
      </w:pPr>
      <w:r w:rsidRPr="006A6424">
        <w:rPr>
          <w:lang w:eastAsia="en-NZ"/>
        </w:rPr>
        <w:t>Li, Y.A. (2014). Borders and distance in knowledge spillovers: Dying over time or dying with age? Evidence from patent citations. </w:t>
      </w:r>
      <w:r w:rsidRPr="006A6424">
        <w:rPr>
          <w:i/>
          <w:iCs/>
          <w:lang w:eastAsia="en-NZ"/>
        </w:rPr>
        <w:t>European Economic Review</w:t>
      </w:r>
      <w:r w:rsidRPr="006A6424">
        <w:rPr>
          <w:lang w:eastAsia="en-NZ"/>
        </w:rPr>
        <w:t>, 71, 152–172.</w:t>
      </w:r>
    </w:p>
    <w:p w14:paraId="09BCA3D9" w14:textId="77777777" w:rsidR="006A6424" w:rsidRPr="006A6424" w:rsidRDefault="006A6424" w:rsidP="00425772">
      <w:pPr>
        <w:rPr>
          <w:lang w:eastAsia="en-NZ"/>
        </w:rPr>
      </w:pPr>
      <w:r w:rsidRPr="006A6424">
        <w:rPr>
          <w:lang w:eastAsia="en-NZ"/>
        </w:rPr>
        <w:t>Maré, D.C. and Graham, D.J. (2009). </w:t>
      </w:r>
      <w:r w:rsidRPr="006A6424">
        <w:rPr>
          <w:i/>
          <w:iCs/>
          <w:lang w:eastAsia="en-NZ"/>
        </w:rPr>
        <w:t>Agglomeration Elasticities in New Zealand</w:t>
      </w:r>
      <w:r w:rsidRPr="006A6424">
        <w:rPr>
          <w:lang w:eastAsia="en-NZ"/>
        </w:rPr>
        <w:t>. Motu Working Paper 09-06 / NZ Transport Agency Research Report 376. Wellington: Motu Economic and Public Policy Research.</w:t>
      </w:r>
    </w:p>
    <w:p w14:paraId="24E67381" w14:textId="77777777" w:rsidR="006A6424" w:rsidRPr="006A6424" w:rsidRDefault="006A6424" w:rsidP="00425772">
      <w:pPr>
        <w:rPr>
          <w:lang w:eastAsia="en-NZ"/>
        </w:rPr>
      </w:pPr>
      <w:r/>
      <w:r>
        <w:t xml:space="preserve">Ministry of Housing and Urban Development. (2024). </w:t>
      </w:r>
      <w:r>
        <w:rPr>
          <w:i/>
        </w:rPr>
        <w:t>Research on housing as an enabler of economic growth and productivity</w:t>
      </w:r>
      <w:r>
        <w:t xml:space="preserve"> (Aide-memoire HUD2024-003621, 8 March 2024). Wellington: New Zealand Government. Proactively released. https://www.hud.govt.nz/documents/hud2024-003621-research-on-housing-as-an-enabler-of-economic-growth-and-productivity</w:t>
      </w:r>
    </w:p>
    <w:p w14:paraId="37E9F421" w14:textId="77777777" w:rsidR="006A6424" w:rsidRPr="006A6424" w:rsidRDefault="006A6424" w:rsidP="00425772">
      <w:pPr>
        <w:rPr>
          <w:lang w:eastAsia="en-NZ"/>
        </w:rPr>
      </w:pPr>
      <w:r w:rsidRPr="006A6424">
        <w:rPr>
          <w:lang w:eastAsia="en-NZ"/>
        </w:rPr>
        <w:t>New Zealand Government. (2026, June). </w:t>
      </w:r>
      <w:r w:rsidRPr="006A6424">
        <w:rPr>
          <w:i/>
          <w:iCs/>
          <w:lang w:eastAsia="en-NZ"/>
        </w:rPr>
        <w:t>Government Response to the National Infrastructure Plan 2026</w:t>
      </w:r>
      <w:r w:rsidRPr="006A6424">
        <w:rPr>
          <w:lang w:eastAsia="en-NZ"/>
        </w:rPr>
        <w:t> (J.23). Wellington: New Zealand Treasury.</w:t>
      </w:r>
    </w:p>
    <w:p w14:paraId="25476EC8" w14:textId="77777777" w:rsidR="006A6424" w:rsidRPr="006A6424" w:rsidRDefault="006A6424" w:rsidP="00425772">
      <w:pPr>
        <w:rPr>
          <w:lang w:eastAsia="en-NZ"/>
        </w:rPr>
      </w:pPr>
      <w:r w:rsidRPr="009B2F01">
        <w:rPr>
          <w:lang w:eastAsia="en-NZ"/>
        </w:rPr>
        <w:t xml:space="preserve">New Zealand Infrastructure Commission, Te Waihanga. </w:t>
      </w:r>
      <w:r w:rsidRPr="006A6424">
        <w:rPr>
          <w:lang w:val="fr-FR" w:eastAsia="en-NZ"/>
        </w:rPr>
        <w:t>(2026). </w:t>
      </w:r>
      <w:r w:rsidRPr="006A6424">
        <w:rPr>
          <w:i/>
          <w:iCs/>
          <w:lang w:val="fr-FR" w:eastAsia="en-NZ"/>
        </w:rPr>
        <w:t>National Infrastructure Plan 2026 / Mahere Tūāhanga ā-Motu</w:t>
      </w:r>
      <w:r w:rsidRPr="006A6424">
        <w:rPr>
          <w:lang w:val="fr-FR" w:eastAsia="en-NZ"/>
        </w:rPr>
        <w:t xml:space="preserve">. </w:t>
      </w:r>
      <w:r w:rsidRPr="006A6424">
        <w:rPr>
          <w:lang w:eastAsia="en-NZ"/>
        </w:rPr>
        <w:t>ISBN 978-1-0671325-0-7. Wellington: New Zealand Infrastructure Commission.</w:t>
      </w:r>
    </w:p>
    <w:p w14:paraId="4071AB80" w14:textId="77777777" w:rsidR="006A6424" w:rsidRPr="006A6424" w:rsidRDefault="006A6424" w:rsidP="00425772">
      <w:pPr>
        <w:rPr>
          <w:lang w:eastAsia="en-NZ"/>
        </w:rPr>
      </w:pPr>
      <w:r>
        <w:t xml:space="preserve">New Zealand Productivity Commission. (2021). </w:t>
      </w:r>
      <w:r>
        <w:rPr>
          <w:i/>
        </w:rPr>
        <w:t>New Zealand firms: Reaching for the frontier</w:t>
      </w:r>
      <w:r>
        <w:t>. Final report of the inquiry into maximising the economic contribution of New Zealand's frontier firms. Wellington: New Zealand Productivity Commission.</w:t>
      </w:r>
    </w:p>
    <w:p w14:paraId="63CD13DB" w14:textId="77777777" w:rsidR="006A6424" w:rsidRPr="006A6424" w:rsidRDefault="006A6424" w:rsidP="00425772">
      <w:pPr>
        <w:rPr>
          <w:lang w:eastAsia="en-NZ"/>
        </w:rPr>
      </w:pPr>
      <w:r w:rsidRPr="006A6424">
        <w:rPr>
          <w:lang w:eastAsia="en-NZ"/>
        </w:rPr>
        <w:t>New Zealand Productivity Commission. (2022, April). </w:t>
      </w:r>
      <w:r w:rsidRPr="006A6424">
        <w:rPr>
          <w:i/>
          <w:iCs/>
          <w:lang w:eastAsia="en-NZ"/>
        </w:rPr>
        <w:t>Immigration: Fit for the future</w:t>
      </w:r>
      <w:r w:rsidRPr="006A6424">
        <w:rPr>
          <w:lang w:eastAsia="en-NZ"/>
        </w:rPr>
        <w:t>. ISBN 978-1-98-851981-4. Wellington: New Zealand Productivity Commission.</w:t>
      </w:r>
    </w:p>
    <w:p w14:paraId="4D7FA7E7" w14:textId="77777777" w:rsidR="006A6424" w:rsidRPr="006A6424" w:rsidRDefault="006A6424" w:rsidP="00425772">
      <w:pPr>
        <w:rPr>
          <w:lang w:eastAsia="en-NZ"/>
        </w:rPr>
      </w:pPr>
      <w:r>
        <w:t xml:space="preserve">Nunns, P. (2019). </w:t>
      </w:r>
      <w:r>
        <w:rPr>
          <w:i/>
        </w:rPr>
        <w:t>The Causes and Economic Consequences of Rising Regional Housing Prices in New Zealand</w:t>
      </w:r>
      <w:r>
        <w:t>. Economic Policy Centre Working Paper No. 003. Auckland: University of Auckland. (Published in revised form in New Zealand Economic Papers, 55(1), 2021.)</w:t>
      </w:r>
    </w:p>
    <w:p w14:paraId="35591F9C" w14:textId="77777777" w:rsidR="006A6424" w:rsidRPr="006A6424" w:rsidRDefault="006A6424" w:rsidP="00425772">
      <w:pPr>
        <w:rPr>
          <w:lang w:eastAsia="en-NZ"/>
        </w:rPr>
      </w:pPr>
      <w:r>
        <w:t xml:space="preserve">Nunns, P. and Dodge, N. (2022, March). </w:t>
      </w:r>
      <w:r>
        <w:rPr>
          <w:i/>
        </w:rPr>
        <w:t>The decline of housing supply in New Zealand: Why it happened and how to reverse it</w:t>
      </w:r>
      <w:r>
        <w:t>. Te Waihanga Research Insights series. Wellington: New Zealand Infrastructure Commission, Te Waihanga.</w:t>
      </w:r>
    </w:p>
    <w:p w14:paraId="371E8395" w14:textId="77777777" w:rsidR="006A6424" w:rsidRPr="006A6424" w:rsidRDefault="006A6424" w:rsidP="00425772">
      <w:pPr>
        <w:rPr>
          <w:lang w:eastAsia="en-NZ"/>
        </w:rPr>
      </w:pPr>
      <w:r w:rsidRPr="006A6424">
        <w:rPr>
          <w:lang w:eastAsia="en-NZ"/>
        </w:rPr>
        <w:t>OECD. (2015). </w:t>
      </w:r>
      <w:r w:rsidRPr="006A6424">
        <w:rPr>
          <w:i/>
          <w:iCs/>
          <w:lang w:eastAsia="en-NZ"/>
        </w:rPr>
        <w:t>The Metropolitan Century: Understanding Urbanisation and its Consequences</w:t>
      </w:r>
      <w:r w:rsidRPr="006A6424">
        <w:rPr>
          <w:lang w:eastAsia="en-NZ"/>
        </w:rPr>
        <w:t>. Paris: OECD Publishing.</w:t>
      </w:r>
    </w:p>
    <w:p w14:paraId="28AAB1CA" w14:textId="77777777" w:rsidR="006A6424" w:rsidRPr="006A6424" w:rsidRDefault="006A6424" w:rsidP="00425772">
      <w:pPr>
        <w:rPr>
          <w:lang w:eastAsia="en-NZ"/>
        </w:rPr>
      </w:pPr>
      <w:r>
        <w:t xml:space="preserve">OECD. (2016). </w:t>
      </w:r>
      <w:r>
        <w:rPr>
          <w:i/>
        </w:rPr>
        <w:t>Skills Matter: Further Results from the Survey of Adult Skills</w:t>
      </w:r>
      <w:r>
        <w:t>. OECD Skills Studies. Paris: OECD Publishing.</w:t>
      </w:r>
    </w:p>
    <w:p w14:paraId="377350E0" w14:textId="77777777" w:rsidR="006A6424" w:rsidRPr="006A6424" w:rsidRDefault="006A6424" w:rsidP="00425772">
      <w:pPr>
        <w:rPr>
          <w:lang w:eastAsia="en-NZ"/>
        </w:rPr>
      </w:pPr>
      <w:r w:rsidRPr="006A6424">
        <w:rPr>
          <w:lang w:eastAsia="en-NZ"/>
        </w:rPr>
        <w:t>Preston, I., Maré, D.C., Grimes, A. and Donovan, S. (2018). </w:t>
      </w:r>
      <w:r w:rsidRPr="006A6424">
        <w:rPr>
          <w:i/>
          <w:iCs/>
          <w:lang w:eastAsia="en-NZ"/>
        </w:rPr>
        <w:t>Amenities and the attractiveness of New Zealand cities</w:t>
      </w:r>
      <w:r w:rsidRPr="006A6424">
        <w:rPr>
          <w:lang w:eastAsia="en-NZ"/>
        </w:rPr>
        <w:t>. Motu Working Paper 18-14. Wellington: Motu Economic and Public Policy Research.</w:t>
      </w:r>
    </w:p>
    <w:p w14:paraId="5DF26795" w14:textId="77777777" w:rsidR="006A6424" w:rsidRPr="006A6424" w:rsidRDefault="006A6424" w:rsidP="00425772">
      <w:pPr>
        <w:rPr>
          <w:lang w:eastAsia="en-NZ"/>
        </w:rPr>
      </w:pPr>
      <w:r>
        <w:t xml:space="preserve">Statistics New Zealand. (1991). </w:t>
      </w:r>
      <w:r>
        <w:rPr>
          <w:i/>
        </w:rPr>
        <w:t>1991 Census of Population and Dwellings</w:t>
      </w:r>
      <w:r>
        <w:t>. Wellington: Statistics New Zealand.</w:t>
      </w:r>
    </w:p>
    <w:p w14:paraId="5E6AE95F" w14:textId="77777777" w:rsidR="006A6424" w:rsidRPr="006A6424" w:rsidRDefault="006A6424" w:rsidP="00425772">
      <w:pPr>
        <w:rPr>
          <w:lang w:eastAsia="en-NZ"/>
        </w:rPr>
      </w:pPr>
      <w:r>
        <w:t xml:space="preserve">Statistics New Zealand. (2023). </w:t>
      </w:r>
      <w:r>
        <w:rPr>
          <w:i/>
        </w:rPr>
        <w:t>2023 Census population counts</w:t>
      </w:r>
      <w:r>
        <w:t>. Wellington: Statistics New Zealand.</w:t>
      </w:r>
    </w:p>
    <w:p w14:paraId="4687C637" w14:textId="77777777" w:rsidR="006A6424" w:rsidRPr="006A6424" w:rsidRDefault="006A6424" w:rsidP="00425772">
      <w:pPr>
        <w:rPr>
          <w:lang w:eastAsia="en-NZ"/>
        </w:rPr>
      </w:pPr>
      <w:r>
        <w:t xml:space="preserve">Statistics New Zealand. (2025). </w:t>
      </w:r>
      <w:r>
        <w:rPr>
          <w:i/>
        </w:rPr>
        <w:t>Subnational population estimates: At 30 June 2025</w:t>
      </w:r>
      <w:r>
        <w:t>. Wellington: Statistics New Zealand.</w:t>
      </w:r>
    </w:p>
    <w:p w14:paraId="4687C637" w14:textId="77777777" w:rsidR="006A6424" w:rsidRPr="006A6424" w:rsidRDefault="006A6424" w:rsidP="00425772">
      <w:pPr>
        <w:rPr>
          <w:lang w:eastAsia="en-NZ"/>
        </w:rPr>
      </w:pPr>
      <w:r w:rsidRPr="006A6424">
        <w:rPr>
          <w:lang w:eastAsia="en-NZ"/>
        </w:rPr>
        <w:t>Winter, R., Devine, G., Janssen, J. and Thompson, S. (2025, October). </w:t>
      </w:r>
      <w:r w:rsidRPr="006A6424">
        <w:rPr>
          <w:i/>
          <w:iCs/>
          <w:lang w:eastAsia="en-NZ"/>
        </w:rPr>
        <w:t>Why not both? The effects of innovation and capital on productivity in New Zealand</w:t>
      </w:r>
      <w:r w:rsidRPr="006A6424">
        <w:rPr>
          <w:lang w:eastAsia="en-NZ"/>
        </w:rPr>
        <w:t> (Analytical Note AN 25/12). Wellington: New Zealand Treasury.</w:t>
      </w:r>
    </w:p>
    <w:p w14:paraId="377CA089" w14:textId="77777777" w:rsidR="006A6424" w:rsidRPr="006A6424" w:rsidRDefault="006A6424" w:rsidP="00425772">
      <w:pPr>
        <w:rPr>
          <w:lang w:eastAsia="en-NZ"/>
        </w:rPr>
      </w:pPr>
      <w:r w:rsidRPr="006A6424">
        <w:rPr>
          <w:lang w:eastAsia="en-NZ"/>
        </w:rPr>
        <w:lastRenderedPageBreak/>
        <w:t>World Bank. (2009). </w:t>
      </w:r>
      <w:r w:rsidRPr="006A6424">
        <w:rPr>
          <w:i/>
          <w:iCs/>
          <w:lang w:eastAsia="en-NZ"/>
        </w:rPr>
        <w:t>World Development Report 2009: Reshaping Economic Geography</w:t>
      </w:r>
      <w:r w:rsidRPr="006A6424">
        <w:rPr>
          <w:lang w:eastAsia="en-NZ"/>
        </w:rPr>
        <w:t> (Chapter 7: Concentration without Congestion — Policies for an Inclusive Urbanisation). Washington, DC: World Bank.</w:t>
      </w:r>
    </w:p>
    <w:p w14:paraId="377CA089" w14:textId="77777777" w:rsidR="006A6424" w:rsidRPr="006A6424" w:rsidRDefault="006A6424" w:rsidP="00425772">
      <w:pPr>
        <w:rPr>
          <w:lang w:eastAsia="en-NZ"/>
        </w:rPr>
      </w:pPr>
      <w:r>
        <w:t xml:space="preserve">Zheng, G. (2016). </w:t>
      </w:r>
      <w:r>
        <w:rPr>
          <w:i/>
        </w:rPr>
        <w:t>Geographic proximity and productivity convergence across New Zealand firms</w:t>
      </w:r>
      <w:r>
        <w:t>. New Zealand Productivity Commission Working Paper 2016/04. Wellington: New Zealand Productivity Commission. https://www.treasury.govt.nz/publications/geographic-proximity-and-productivity-convergence-across-new-zealand-firms-pcwp-2016-04</w:t>
      </w:r>
    </w:p>
    <w:p w14:paraId="432786B4" w14:textId="77777777" w:rsidR="0017741E" w:rsidRPr="00B22259" w:rsidRDefault="0017741E" w:rsidP="006A6424">
      <w:pPr>
        <w:pStyle w:val="Heading1"/>
      </w:pPr>
    </w:p>
    <w:sectPr w:rsidR="0017741E" w:rsidRPr="00B22259" w:rsidSect="00D2741D">
      <w:headerReference w:type="default" r:id="rId22"/>
      <w:footerReference w:type="default" r:id="rId23"/>
      <w:footerReference w:type="first" r:id="rId24"/>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C2871" w14:textId="77777777" w:rsidR="00943D25" w:rsidRPr="006A6424" w:rsidRDefault="00943D25" w:rsidP="004434DB">
      <w:r w:rsidRPr="006A6424">
        <w:separator/>
      </w:r>
    </w:p>
  </w:endnote>
  <w:endnote w:type="continuationSeparator" w:id="0">
    <w:p w14:paraId="0EE42335" w14:textId="77777777" w:rsidR="00943D25" w:rsidRPr="006A6424" w:rsidRDefault="00943D25"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301A2C34" w14:textId="77777777" w:rsidTr="00556981">
      <w:tc>
        <w:tcPr>
          <w:tcW w:w="7938" w:type="dxa"/>
        </w:tcPr>
        <w:p w14:paraId="4D6E7C84" w14:textId="54756C8A" w:rsidR="00556981" w:rsidRPr="006A6424" w:rsidRDefault="00556981" w:rsidP="004434DB">
          <w:pPr>
            <w:pStyle w:val="Footer"/>
          </w:pPr>
        </w:p>
      </w:tc>
      <w:tc>
        <w:tcPr>
          <w:tcW w:w="1694" w:type="dxa"/>
        </w:tcPr>
        <w:p w14:paraId="22ABB3B7"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771E8D9F"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2851A7E" w14:textId="77777777" w:rsidTr="00C93AFC">
      <w:tc>
        <w:tcPr>
          <w:tcW w:w="7938" w:type="dxa"/>
        </w:tcPr>
        <w:p w14:paraId="03F0A72B" w14:textId="43DB919F" w:rsidR="003C54FF" w:rsidRPr="006A6424" w:rsidRDefault="005A2AAB" w:rsidP="003C54FF">
          <w:pPr>
            <w:pStyle w:val="Footer"/>
          </w:pPr>
          <w:r>
            <w:t>Cities and Spatial Policy</w:t>
          </w:r>
        </w:p>
      </w:tc>
      <w:tc>
        <w:tcPr>
          <w:tcW w:w="1694" w:type="dxa"/>
        </w:tcPr>
        <w:p w14:paraId="4249C130"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67561542"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558BDA32" w14:textId="77777777" w:rsidTr="00556981">
      <w:tc>
        <w:tcPr>
          <w:tcW w:w="8222" w:type="dxa"/>
        </w:tcPr>
        <w:p w14:paraId="79F84BF2" w14:textId="0213EC63" w:rsidR="006002A4" w:rsidRPr="006A6424" w:rsidRDefault="005A2AAB" w:rsidP="004434DB">
          <w:pPr>
            <w:pStyle w:val="Footer"/>
          </w:pPr>
          <w:r>
            <w:t>Cities and Spatial Policy</w:t>
          </w:r>
          <w:r w:rsidR="008F461E">
            <w:t xml:space="preserve"> – </w:t>
          </w:r>
          <w:r w:rsidR="008F461E" w:rsidRPr="008F461E">
            <w:rPr>
              <w:color w:val="FF0000"/>
            </w:rPr>
            <w:t>DRAFT</w:t>
          </w:r>
          <w:r w:rsidR="008F461E">
            <w:rPr>
              <w:color w:val="FF0000"/>
            </w:rPr>
            <w:t xml:space="preserve"> NOT FINAL NOT GOVERNMENT POLICY</w:t>
          </w:r>
        </w:p>
      </w:tc>
      <w:tc>
        <w:tcPr>
          <w:tcW w:w="1410" w:type="dxa"/>
        </w:tcPr>
        <w:p w14:paraId="45868AE9"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713E89ED"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7E2EF308" w14:textId="77777777" w:rsidTr="00E258CF">
      <w:tc>
        <w:tcPr>
          <w:tcW w:w="8217" w:type="dxa"/>
        </w:tcPr>
        <w:p w14:paraId="794A3AD7" w14:textId="25FE79FE" w:rsidR="00066273" w:rsidRPr="006A6424" w:rsidRDefault="00F175F9" w:rsidP="004434DB">
          <w:pPr>
            <w:pStyle w:val="Footer"/>
          </w:pPr>
          <w:fldSimple w:instr=" FILENAME  \* FirstCap  \* MERGEFORMAT ">
            <w:r>
              <w:rPr>
                <w:noProof/>
              </w:rPr>
              <w:t>Cities and Spatial Policy v1</w:t>
            </w:r>
          </w:fldSimple>
          <w:r w:rsidR="00066273" w:rsidRPr="006A6424">
            <w:t xml:space="preserve"> – edit on one page should update all pages</w:t>
          </w:r>
        </w:p>
      </w:tc>
      <w:tc>
        <w:tcPr>
          <w:tcW w:w="1139" w:type="dxa"/>
        </w:tcPr>
        <w:p w14:paraId="2FC0454A"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A2E8139"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7409F" w14:textId="77777777" w:rsidR="00943D25" w:rsidRPr="006A6424" w:rsidRDefault="00943D25" w:rsidP="004434DB">
      <w:bookmarkStart w:id="0" w:name="_Hlk104460753"/>
      <w:bookmarkEnd w:id="0"/>
      <w:r w:rsidRPr="006A6424">
        <w:separator/>
      </w:r>
    </w:p>
  </w:footnote>
  <w:footnote w:type="continuationSeparator" w:id="0">
    <w:p w14:paraId="65141BC1" w14:textId="77777777" w:rsidR="00943D25" w:rsidRPr="006A6424" w:rsidRDefault="00943D25"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54A8"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D7AE"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B53717"/>
    <w:multiLevelType w:val="hybridMultilevel"/>
    <w:tmpl w:val="3F3C66B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2"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1"/>
  </w:num>
  <w:num w:numId="2" w16cid:durableId="1571312470">
    <w:abstractNumId w:val="19"/>
  </w:num>
  <w:num w:numId="3" w16cid:durableId="600454666">
    <w:abstractNumId w:val="15"/>
  </w:num>
  <w:num w:numId="4" w16cid:durableId="476336255">
    <w:abstractNumId w:val="23"/>
  </w:num>
  <w:num w:numId="5" w16cid:durableId="487594335">
    <w:abstractNumId w:val="11"/>
  </w:num>
  <w:num w:numId="6" w16cid:durableId="414589779">
    <w:abstractNumId w:val="22"/>
  </w:num>
  <w:num w:numId="7" w16cid:durableId="1650479044">
    <w:abstractNumId w:val="18"/>
  </w:num>
  <w:num w:numId="8" w16cid:durableId="1546677858">
    <w:abstractNumId w:val="9"/>
  </w:num>
  <w:num w:numId="9" w16cid:durableId="1431968696">
    <w:abstractNumId w:val="26"/>
  </w:num>
  <w:num w:numId="10" w16cid:durableId="554244891">
    <w:abstractNumId w:val="25"/>
  </w:num>
  <w:num w:numId="11" w16cid:durableId="1851675462">
    <w:abstractNumId w:val="20"/>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6"/>
  </w:num>
  <w:num w:numId="22" w16cid:durableId="1060977792">
    <w:abstractNumId w:val="17"/>
  </w:num>
  <w:num w:numId="23" w16cid:durableId="513807504">
    <w:abstractNumId w:val="14"/>
  </w:num>
  <w:num w:numId="24" w16cid:durableId="1222789080">
    <w:abstractNumId w:val="28"/>
  </w:num>
  <w:num w:numId="25" w16cid:durableId="983045635">
    <w:abstractNumId w:val="24"/>
  </w:num>
  <w:num w:numId="26" w16cid:durableId="1369450177">
    <w:abstractNumId w:val="27"/>
  </w:num>
  <w:num w:numId="27" w16cid:durableId="183596903">
    <w:abstractNumId w:val="10"/>
  </w:num>
  <w:num w:numId="28" w16cid:durableId="535775774">
    <w:abstractNumId w:val="13"/>
  </w:num>
  <w:num w:numId="29" w16cid:durableId="238953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0984"/>
    <w:rsid w:val="00032C99"/>
    <w:rsid w:val="000424AB"/>
    <w:rsid w:val="00044EE9"/>
    <w:rsid w:val="00060260"/>
    <w:rsid w:val="00065347"/>
    <w:rsid w:val="00066273"/>
    <w:rsid w:val="00067197"/>
    <w:rsid w:val="00070339"/>
    <w:rsid w:val="00074C18"/>
    <w:rsid w:val="000909B1"/>
    <w:rsid w:val="000A6A27"/>
    <w:rsid w:val="000B224F"/>
    <w:rsid w:val="000B35AE"/>
    <w:rsid w:val="000C766A"/>
    <w:rsid w:val="000E07AB"/>
    <w:rsid w:val="000E3420"/>
    <w:rsid w:val="000E6C2A"/>
    <w:rsid w:val="000F3A64"/>
    <w:rsid w:val="001073F6"/>
    <w:rsid w:val="001308F8"/>
    <w:rsid w:val="00131B89"/>
    <w:rsid w:val="00144669"/>
    <w:rsid w:val="00167942"/>
    <w:rsid w:val="00172EC2"/>
    <w:rsid w:val="0017398A"/>
    <w:rsid w:val="0017741E"/>
    <w:rsid w:val="00177B4A"/>
    <w:rsid w:val="001858BC"/>
    <w:rsid w:val="001927B5"/>
    <w:rsid w:val="001B6714"/>
    <w:rsid w:val="001D3A83"/>
    <w:rsid w:val="001D7310"/>
    <w:rsid w:val="00205378"/>
    <w:rsid w:val="002152AB"/>
    <w:rsid w:val="002268F7"/>
    <w:rsid w:val="00265A65"/>
    <w:rsid w:val="00267918"/>
    <w:rsid w:val="002721AD"/>
    <w:rsid w:val="002755DA"/>
    <w:rsid w:val="002848BC"/>
    <w:rsid w:val="002A1986"/>
    <w:rsid w:val="002A2B6A"/>
    <w:rsid w:val="002C0894"/>
    <w:rsid w:val="002C3C6F"/>
    <w:rsid w:val="002D14FC"/>
    <w:rsid w:val="002F41A5"/>
    <w:rsid w:val="00336F64"/>
    <w:rsid w:val="00342DDB"/>
    <w:rsid w:val="00345E30"/>
    <w:rsid w:val="003501B4"/>
    <w:rsid w:val="00350578"/>
    <w:rsid w:val="00357F97"/>
    <w:rsid w:val="00370EF9"/>
    <w:rsid w:val="0037276F"/>
    <w:rsid w:val="0039171F"/>
    <w:rsid w:val="003B184F"/>
    <w:rsid w:val="003C54FF"/>
    <w:rsid w:val="003D61D1"/>
    <w:rsid w:val="003D695F"/>
    <w:rsid w:val="003E67A7"/>
    <w:rsid w:val="003F57E3"/>
    <w:rsid w:val="004069EE"/>
    <w:rsid w:val="0041099D"/>
    <w:rsid w:val="00415A50"/>
    <w:rsid w:val="00421EA3"/>
    <w:rsid w:val="00423B7D"/>
    <w:rsid w:val="00425772"/>
    <w:rsid w:val="00432247"/>
    <w:rsid w:val="00432CCD"/>
    <w:rsid w:val="004434DB"/>
    <w:rsid w:val="00450F36"/>
    <w:rsid w:val="004555C1"/>
    <w:rsid w:val="0047013B"/>
    <w:rsid w:val="0047724A"/>
    <w:rsid w:val="004827E2"/>
    <w:rsid w:val="004A3E71"/>
    <w:rsid w:val="004C253F"/>
    <w:rsid w:val="004C268F"/>
    <w:rsid w:val="004C2E47"/>
    <w:rsid w:val="004C6FAC"/>
    <w:rsid w:val="004D02DD"/>
    <w:rsid w:val="004D0AAC"/>
    <w:rsid w:val="004D2A61"/>
    <w:rsid w:val="004F49B7"/>
    <w:rsid w:val="004F4B85"/>
    <w:rsid w:val="00505D4B"/>
    <w:rsid w:val="00506C99"/>
    <w:rsid w:val="00525B62"/>
    <w:rsid w:val="005262F0"/>
    <w:rsid w:val="00532577"/>
    <w:rsid w:val="00542193"/>
    <w:rsid w:val="005457A5"/>
    <w:rsid w:val="00546B8F"/>
    <w:rsid w:val="00556981"/>
    <w:rsid w:val="00585A8E"/>
    <w:rsid w:val="00587391"/>
    <w:rsid w:val="00587E81"/>
    <w:rsid w:val="00592D3D"/>
    <w:rsid w:val="0059550F"/>
    <w:rsid w:val="005A107C"/>
    <w:rsid w:val="005A2082"/>
    <w:rsid w:val="005A2AAB"/>
    <w:rsid w:val="005C021F"/>
    <w:rsid w:val="005C6F0C"/>
    <w:rsid w:val="005D4A0E"/>
    <w:rsid w:val="005E4A30"/>
    <w:rsid w:val="005E7A89"/>
    <w:rsid w:val="006002A4"/>
    <w:rsid w:val="00641B21"/>
    <w:rsid w:val="0065533B"/>
    <w:rsid w:val="006606F0"/>
    <w:rsid w:val="00661336"/>
    <w:rsid w:val="0066185C"/>
    <w:rsid w:val="00676627"/>
    <w:rsid w:val="00694235"/>
    <w:rsid w:val="006958E4"/>
    <w:rsid w:val="006A53F6"/>
    <w:rsid w:val="006A6424"/>
    <w:rsid w:val="006C5C32"/>
    <w:rsid w:val="006D3167"/>
    <w:rsid w:val="006E34E0"/>
    <w:rsid w:val="006E526C"/>
    <w:rsid w:val="00703900"/>
    <w:rsid w:val="00705DFD"/>
    <w:rsid w:val="0071405A"/>
    <w:rsid w:val="00717D67"/>
    <w:rsid w:val="007204F5"/>
    <w:rsid w:val="007443CE"/>
    <w:rsid w:val="00746971"/>
    <w:rsid w:val="00750063"/>
    <w:rsid w:val="007505B2"/>
    <w:rsid w:val="00751BC0"/>
    <w:rsid w:val="00763C7C"/>
    <w:rsid w:val="00771ED4"/>
    <w:rsid w:val="007805B0"/>
    <w:rsid w:val="007A1E22"/>
    <w:rsid w:val="007C1AE0"/>
    <w:rsid w:val="007C3E3C"/>
    <w:rsid w:val="007D3E29"/>
    <w:rsid w:val="007F53FB"/>
    <w:rsid w:val="0080142D"/>
    <w:rsid w:val="0080550B"/>
    <w:rsid w:val="00811C14"/>
    <w:rsid w:val="00812AB0"/>
    <w:rsid w:val="00817008"/>
    <w:rsid w:val="00820C81"/>
    <w:rsid w:val="00830B3A"/>
    <w:rsid w:val="00841C29"/>
    <w:rsid w:val="008467D7"/>
    <w:rsid w:val="008522B6"/>
    <w:rsid w:val="0085384F"/>
    <w:rsid w:val="008666F9"/>
    <w:rsid w:val="00891B2B"/>
    <w:rsid w:val="008A3C9F"/>
    <w:rsid w:val="008B107F"/>
    <w:rsid w:val="008B3D67"/>
    <w:rsid w:val="008B4DDF"/>
    <w:rsid w:val="008D6889"/>
    <w:rsid w:val="008E6DE5"/>
    <w:rsid w:val="008F461E"/>
    <w:rsid w:val="00920D09"/>
    <w:rsid w:val="009238E1"/>
    <w:rsid w:val="009346E9"/>
    <w:rsid w:val="00935E72"/>
    <w:rsid w:val="00940330"/>
    <w:rsid w:val="009421A7"/>
    <w:rsid w:val="00943D25"/>
    <w:rsid w:val="00970ECB"/>
    <w:rsid w:val="00991D37"/>
    <w:rsid w:val="0099269E"/>
    <w:rsid w:val="009A444D"/>
    <w:rsid w:val="009B2F01"/>
    <w:rsid w:val="009C05CE"/>
    <w:rsid w:val="009C61D5"/>
    <w:rsid w:val="009E2A10"/>
    <w:rsid w:val="00A11B95"/>
    <w:rsid w:val="00A17B8B"/>
    <w:rsid w:val="00A204B0"/>
    <w:rsid w:val="00A373E7"/>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C6638"/>
    <w:rsid w:val="00AE2801"/>
    <w:rsid w:val="00AE685D"/>
    <w:rsid w:val="00AF0C1E"/>
    <w:rsid w:val="00AF1867"/>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757F9"/>
    <w:rsid w:val="00C935C1"/>
    <w:rsid w:val="00CA52A2"/>
    <w:rsid w:val="00CB06EC"/>
    <w:rsid w:val="00CB20DF"/>
    <w:rsid w:val="00CC091B"/>
    <w:rsid w:val="00CD3FFB"/>
    <w:rsid w:val="00CE43B9"/>
    <w:rsid w:val="00CE5647"/>
    <w:rsid w:val="00CE73FC"/>
    <w:rsid w:val="00D12DA8"/>
    <w:rsid w:val="00D22D31"/>
    <w:rsid w:val="00D24853"/>
    <w:rsid w:val="00D2741D"/>
    <w:rsid w:val="00D4476D"/>
    <w:rsid w:val="00D56963"/>
    <w:rsid w:val="00D6114E"/>
    <w:rsid w:val="00D70801"/>
    <w:rsid w:val="00D7320A"/>
    <w:rsid w:val="00DA262E"/>
    <w:rsid w:val="00DA303C"/>
    <w:rsid w:val="00DA734D"/>
    <w:rsid w:val="00DB154A"/>
    <w:rsid w:val="00DC273F"/>
    <w:rsid w:val="00DF6210"/>
    <w:rsid w:val="00E26440"/>
    <w:rsid w:val="00E41A61"/>
    <w:rsid w:val="00E42D3A"/>
    <w:rsid w:val="00E60C59"/>
    <w:rsid w:val="00E732DF"/>
    <w:rsid w:val="00E75EBB"/>
    <w:rsid w:val="00EA669D"/>
    <w:rsid w:val="00EB68C4"/>
    <w:rsid w:val="00EB7F87"/>
    <w:rsid w:val="00ED5A80"/>
    <w:rsid w:val="00F10D62"/>
    <w:rsid w:val="00F11AA7"/>
    <w:rsid w:val="00F175F9"/>
    <w:rsid w:val="00F228A1"/>
    <w:rsid w:val="00F45E78"/>
    <w:rsid w:val="00F50E83"/>
    <w:rsid w:val="00F5642A"/>
    <w:rsid w:val="00F57B20"/>
    <w:rsid w:val="00F605E6"/>
    <w:rsid w:val="00F71685"/>
    <w:rsid w:val="00F75D50"/>
    <w:rsid w:val="00F77967"/>
    <w:rsid w:val="00F94108"/>
    <w:rsid w:val="00FB05AF"/>
    <w:rsid w:val="00FB2CA4"/>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A2512"/>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6E34E0"/>
    <w:pPr>
      <w:tabs>
        <w:tab w:val="right" w:pos="9622"/>
      </w:tabs>
      <w:spacing w:after="24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chart" Target="charts/chart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City%20Premia%20XY%20Char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287071710346408E-2"/>
          <c:y val="3.7231589373329307E-2"/>
          <c:w val="0.92248380278962061"/>
          <c:h val="0.92620274092741806"/>
        </c:manualLayout>
      </c:layout>
      <c:scatterChart>
        <c:scatterStyle val="lineMarker"/>
        <c:varyColors val="0"/>
        <c:ser>
          <c:idx val="0"/>
          <c:order val="0"/>
          <c:tx>
            <c:v>Austria</c:v>
          </c:tx>
          <c:spPr>
            <a:ln w="38100" cap="rnd">
              <a:noFill/>
              <a:round/>
            </a:ln>
            <a:effectLst/>
          </c:spPr>
          <c:marker>
            <c:symbol val="circle"/>
            <c:size val="5"/>
            <c:spPr>
              <a:solidFill>
                <a:schemeClr val="accent1"/>
              </a:solidFill>
              <a:ln w="9525">
                <a:solidFill>
                  <a:schemeClr val="accent1"/>
                </a:solidFill>
              </a:ln>
              <a:effectLst/>
            </c:spPr>
          </c:marker>
          <c:dLbls>
            <c:dLbl>
              <c:idx val="0"/>
              <c:layout>
                <c:manualLayout>
                  <c:x val="-0.11525810600629907"/>
                  <c:y val="-0.11606357555384124"/>
                </c:manualLayout>
              </c:layout>
              <c:tx>
                <c:rich>
                  <a:bodyPr/>
                  <a:lstStyle/>
                  <a:p>
                    <a:fld id="{52CC4972-DB7C-46FF-AEF2-26538A21BD34}"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9029-42F7-B8D8-188967F6DC7A}"/>
                </c:ext>
              </c:extLst>
            </c:dLbl>
            <c:dLbl>
              <c:idx val="1"/>
              <c:tx>
                <c:rich>
                  <a:bodyPr/>
                  <a:lstStyle/>
                  <a:p>
                    <a:fld id="{5B7DD4CE-71DD-44FB-8DAD-43D7C05C275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9029-42F7-B8D8-188967F6DC7A}"/>
                </c:ext>
              </c:extLst>
            </c:dLbl>
            <c:dLbl>
              <c:idx val="2"/>
              <c:tx>
                <c:rich>
                  <a:bodyPr/>
                  <a:lstStyle/>
                  <a:p>
                    <a:fld id="{31FD4853-A95B-4D98-8510-AF1F80E9BB4A}"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full_city_premia!$C$2:$C$4</c:f>
              <c:numCache>
                <c:formatCode>General</c:formatCode>
                <c:ptCount val="3"/>
                <c:pt idx="0">
                  <c:v>78702</c:v>
                </c:pt>
                <c:pt idx="1">
                  <c:v>67730</c:v>
                </c:pt>
                <c:pt idx="2">
                  <c:v>64425</c:v>
                </c:pt>
              </c:numCache>
            </c:numRef>
          </c:xVal>
          <c:yVal>
            <c:numRef>
              <c:f>full_city_premia!$D$2:$D$4</c:f>
              <c:numCache>
                <c:formatCode>General</c:formatCode>
                <c:ptCount val="3"/>
                <c:pt idx="0">
                  <c:v>24.92609049</c:v>
                </c:pt>
                <c:pt idx="1">
                  <c:v>7.5098994799999996</c:v>
                </c:pt>
                <c:pt idx="2">
                  <c:v>2.263771947</c:v>
                </c:pt>
              </c:numCache>
            </c:numRef>
          </c:yVal>
          <c:smooth val="0"/>
          <c:extLst>
            <c:ext xmlns:c15="http://schemas.microsoft.com/office/drawing/2012/chart" uri="{02D57815-91ED-43cb-92C2-25804820EDAC}">
              <c15:datalabelsRange>
                <c15:f>full_city_premia!$B$2:$B$4</c15:f>
                <c15:dlblRangeCache>
                  <c:ptCount val="3"/>
                  <c:pt idx="0">
                    <c:v>Salzburg</c:v>
                  </c:pt>
                  <c:pt idx="1">
                    <c:v>Linz</c:v>
                  </c:pt>
                  <c:pt idx="2">
                    <c:v>Wien</c:v>
                  </c:pt>
                </c15:dlblRangeCache>
              </c15:datalabelsRange>
            </c:ext>
            <c:ext xmlns:c16="http://schemas.microsoft.com/office/drawing/2014/chart" uri="{C3380CC4-5D6E-409C-BE32-E72D297353CC}">
              <c16:uniqueId val="{00000003-9029-42F7-B8D8-188967F6DC7A}"/>
            </c:ext>
          </c:extLst>
        </c:ser>
        <c:ser>
          <c:idx val="1"/>
          <c:order val="1"/>
          <c:tx>
            <c:v>Belgium</c:v>
          </c:tx>
          <c:spPr>
            <a:ln w="25400" cap="rnd">
              <a:noFill/>
              <a:round/>
            </a:ln>
            <a:effectLst/>
          </c:spPr>
          <c:marker>
            <c:symbol val="circle"/>
            <c:size val="5"/>
            <c:spPr>
              <a:solidFill>
                <a:schemeClr val="accent2"/>
              </a:solidFill>
              <a:ln w="9525">
                <a:solidFill>
                  <a:schemeClr val="accent2"/>
                </a:solidFill>
              </a:ln>
              <a:effectLst/>
            </c:spPr>
          </c:marker>
          <c:dLbls>
            <c:dLbl>
              <c:idx val="0"/>
              <c:layout>
                <c:manualLayout>
                  <c:x val="-0.22855905585848574"/>
                  <c:y val="-0.1000256468173218"/>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3F30D57E-89A3-4087-AA96-8499176B6B47}" type="CELLRANGE">
                      <a:rPr lang="en-US"/>
                      <a:pPr>
                        <a:defRPr/>
                      </a:pPr>
                      <a:t>[CELLRANGE]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NZ"/>
                </a:p>
              </c:txPr>
              <c:showLegendKey val="0"/>
              <c:showVal val="0"/>
              <c:showCatName val="0"/>
              <c:showSerName val="0"/>
              <c:showPercent val="0"/>
              <c:showBubbleSize val="0"/>
              <c:extLst>
                <c:ext xmlns:c15="http://schemas.microsoft.com/office/drawing/2012/chart" uri="{CE6537A1-D6FC-4f65-9D91-7224C49458BB}">
                  <c15:layout>
                    <c:manualLayout>
                      <c:w val="0.23144630975826258"/>
                      <c:h val="6.4657258074795915E-2"/>
                    </c:manualLayout>
                  </c15:layout>
                  <c15:dlblFieldTable/>
                  <c15:showDataLabelsRange val="1"/>
                </c:ext>
                <c:ext xmlns:c16="http://schemas.microsoft.com/office/drawing/2014/chart" uri="{C3380CC4-5D6E-409C-BE32-E72D297353CC}">
                  <c16:uniqueId val="{00000004-9029-42F7-B8D8-188967F6DC7A}"/>
                </c:ext>
              </c:extLst>
            </c:dLbl>
            <c:dLbl>
              <c:idx val="1"/>
              <c:layout>
                <c:manualLayout>
                  <c:x val="-0.13146623672721533"/>
                  <c:y val="0"/>
                </c:manualLayout>
              </c:layout>
              <c:tx>
                <c:rich>
                  <a:bodyPr/>
                  <a:lstStyle/>
                  <a:p>
                    <a:fld id="{2676BDE6-AC12-44D4-93A7-57D7DE249EB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9029-42F7-B8D8-188967F6DC7A}"/>
                </c:ext>
              </c:extLst>
            </c:dLbl>
            <c:dLbl>
              <c:idx val="2"/>
              <c:layout>
                <c:manualLayout>
                  <c:x val="-8.7644157818144355E-3"/>
                  <c:y val="-3.2377194829643604E-3"/>
                </c:manualLayout>
              </c:layout>
              <c:tx>
                <c:rich>
                  <a:bodyPr/>
                  <a:lstStyle/>
                  <a:p>
                    <a:fld id="{20B19FCE-301F-4A7B-A1C5-06AC8583BF2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full_city_premia!$C$5:$C$7</c:f>
              <c:numCache>
                <c:formatCode>General</c:formatCode>
                <c:ptCount val="3"/>
                <c:pt idx="0">
                  <c:v>74135</c:v>
                </c:pt>
                <c:pt idx="1">
                  <c:v>71621</c:v>
                </c:pt>
                <c:pt idx="2">
                  <c:v>68082</c:v>
                </c:pt>
              </c:numCache>
            </c:numRef>
          </c:xVal>
          <c:yVal>
            <c:numRef>
              <c:f>full_city_premia!$D$5:$D$7</c:f>
              <c:numCache>
                <c:formatCode>General</c:formatCode>
                <c:ptCount val="3"/>
                <c:pt idx="0">
                  <c:v>22.196564970000001</c:v>
                </c:pt>
                <c:pt idx="1">
                  <c:v>18.05274404</c:v>
                </c:pt>
                <c:pt idx="2">
                  <c:v>12.21941777</c:v>
                </c:pt>
              </c:numCache>
            </c:numRef>
          </c:yVal>
          <c:smooth val="0"/>
          <c:extLst>
            <c:ext xmlns:c15="http://schemas.microsoft.com/office/drawing/2012/chart" uri="{02D57815-91ED-43cb-92C2-25804820EDAC}">
              <c15:datalabelsRange>
                <c15:f>full_city_premia!$B$5:$B$7</c15:f>
                <c15:dlblRangeCache>
                  <c:ptCount val="3"/>
                  <c:pt idx="0">
                    <c:v>Bruxelles/Brussel/Leuven</c:v>
                  </c:pt>
                  <c:pt idx="1">
                    <c:v>Antwerpen</c:v>
                  </c:pt>
                  <c:pt idx="2">
                    <c:v>Gent</c:v>
                  </c:pt>
                </c15:dlblRangeCache>
              </c15:datalabelsRange>
            </c:ext>
            <c:ext xmlns:c16="http://schemas.microsoft.com/office/drawing/2014/chart" uri="{C3380CC4-5D6E-409C-BE32-E72D297353CC}">
              <c16:uniqueId val="{00000007-9029-42F7-B8D8-188967F6DC7A}"/>
            </c:ext>
          </c:extLst>
        </c:ser>
        <c:ser>
          <c:idx val="2"/>
          <c:order val="2"/>
          <c:tx>
            <c:v>Switzerland</c:v>
          </c:tx>
          <c:spPr>
            <a:ln w="25400" cap="rnd">
              <a:noFill/>
              <a:round/>
            </a:ln>
            <a:effectLst/>
          </c:spPr>
          <c:marker>
            <c:symbol val="circle"/>
            <c:size val="5"/>
            <c:spPr>
              <a:solidFill>
                <a:schemeClr val="accent3"/>
              </a:solidFill>
              <a:ln w="9525">
                <a:solidFill>
                  <a:schemeClr val="accent3"/>
                </a:solidFill>
              </a:ln>
              <a:effectLst/>
            </c:spPr>
          </c:marker>
          <c:dLbls>
            <c:dLbl>
              <c:idx val="0"/>
              <c:tx>
                <c:rich>
                  <a:bodyPr/>
                  <a:lstStyle/>
                  <a:p>
                    <a:fld id="{C2051821-A17E-4422-AFCF-5DD657A127D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9029-42F7-B8D8-188967F6DC7A}"/>
                </c:ext>
              </c:extLst>
            </c:dLbl>
            <c:dLbl>
              <c:idx val="1"/>
              <c:tx>
                <c:rich>
                  <a:bodyPr/>
                  <a:lstStyle/>
                  <a:p>
                    <a:fld id="{D34EF09C-71B1-44B9-9CA3-9AAA574C6B6F}"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9029-42F7-B8D8-188967F6DC7A}"/>
                </c:ext>
              </c:extLst>
            </c:dLbl>
            <c:dLbl>
              <c:idx val="2"/>
              <c:tx>
                <c:rich>
                  <a:bodyPr/>
                  <a:lstStyle/>
                  <a:p>
                    <a:fld id="{A4E58B82-C361-4AA0-BFD5-516D34F88B6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9029-42F7-B8D8-188967F6DC7A}"/>
                </c:ext>
              </c:extLst>
            </c:dLbl>
            <c:dLbl>
              <c:idx val="3"/>
              <c:tx>
                <c:rich>
                  <a:bodyPr/>
                  <a:lstStyle/>
                  <a:p>
                    <a:fld id="{99061B25-1308-46B0-91C1-D7372B4FA083}"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full_city_premia!$C$8:$C$11</c:f>
              <c:numCache>
                <c:formatCode>General</c:formatCode>
                <c:ptCount val="4"/>
                <c:pt idx="0">
                  <c:v>105756</c:v>
                </c:pt>
                <c:pt idx="1">
                  <c:v>90741</c:v>
                </c:pt>
                <c:pt idx="2">
                  <c:v>85660</c:v>
                </c:pt>
                <c:pt idx="3">
                  <c:v>70870</c:v>
                </c:pt>
              </c:numCache>
            </c:numRef>
          </c:xVal>
          <c:yVal>
            <c:numRef>
              <c:f>full_city_premia!$D$8:$D$11</c:f>
              <c:numCache>
                <c:formatCode>General</c:formatCode>
                <c:ptCount val="4"/>
                <c:pt idx="0">
                  <c:v>26.669403849999998</c:v>
                </c:pt>
                <c:pt idx="1">
                  <c:v>8.6851656160000008</c:v>
                </c:pt>
                <c:pt idx="2">
                  <c:v>2.5993904269999999</c:v>
                </c:pt>
                <c:pt idx="3">
                  <c:v>-15.115353730000001</c:v>
                </c:pt>
              </c:numCache>
            </c:numRef>
          </c:yVal>
          <c:smooth val="0"/>
          <c:extLst>
            <c:ext xmlns:c15="http://schemas.microsoft.com/office/drawing/2012/chart" uri="{02D57815-91ED-43cb-92C2-25804820EDAC}">
              <c15:datalabelsRange>
                <c15:f>full_city_premia!$B$8:$B$11</c15:f>
                <c15:dlblRangeCache>
                  <c:ptCount val="4"/>
                  <c:pt idx="0">
                    <c:v>Basel</c:v>
                  </c:pt>
                  <c:pt idx="1">
                    <c:v>Geneva</c:v>
                  </c:pt>
                  <c:pt idx="2">
                    <c:v>Zurich</c:v>
                  </c:pt>
                  <c:pt idx="3">
                    <c:v>Bern</c:v>
                  </c:pt>
                </c15:dlblRangeCache>
              </c15:datalabelsRange>
            </c:ext>
            <c:ext xmlns:c16="http://schemas.microsoft.com/office/drawing/2014/chart" uri="{C3380CC4-5D6E-409C-BE32-E72D297353CC}">
              <c16:uniqueId val="{0000000C-9029-42F7-B8D8-188967F6DC7A}"/>
            </c:ext>
          </c:extLst>
        </c:ser>
        <c:ser>
          <c:idx val="3"/>
          <c:order val="3"/>
          <c:tx>
            <c:v>Denmark</c:v>
          </c:tx>
          <c:spPr>
            <a:ln w="25400" cap="rnd">
              <a:noFill/>
              <a:round/>
            </a:ln>
            <a:effectLst/>
          </c:spPr>
          <c:marker>
            <c:symbol val="circle"/>
            <c:size val="5"/>
            <c:spPr>
              <a:solidFill>
                <a:schemeClr val="accent4"/>
              </a:solidFill>
              <a:ln w="9525">
                <a:solidFill>
                  <a:schemeClr val="accent4"/>
                </a:solidFill>
              </a:ln>
              <a:effectLst/>
            </c:spPr>
          </c:marker>
          <c:dLbls>
            <c:dLbl>
              <c:idx val="0"/>
              <c:layout>
                <c:manualLayout>
                  <c:x val="1.0993130802867068E-2"/>
                  <c:y val="6.2587412052576483E-4"/>
                </c:manualLayout>
              </c:layout>
              <c:tx>
                <c:rich>
                  <a:bodyPr/>
                  <a:lstStyle/>
                  <a:p>
                    <a:fld id="{E3E1EA97-0416-4D18-A84C-5BBB9C68336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full_city_premia!$C$12</c:f>
              <c:numCache>
                <c:formatCode>General</c:formatCode>
                <c:ptCount val="1"/>
                <c:pt idx="0">
                  <c:v>83591</c:v>
                </c:pt>
              </c:numCache>
            </c:numRef>
          </c:xVal>
          <c:yVal>
            <c:numRef>
              <c:f>full_city_premia!$D$12</c:f>
              <c:numCache>
                <c:formatCode>General</c:formatCode>
                <c:ptCount val="1"/>
                <c:pt idx="0">
                  <c:v>20.52561154</c:v>
                </c:pt>
              </c:numCache>
            </c:numRef>
          </c:yVal>
          <c:smooth val="0"/>
          <c:extLst>
            <c:ext xmlns:c15="http://schemas.microsoft.com/office/drawing/2012/chart" uri="{02D57815-91ED-43cb-92C2-25804820EDAC}">
              <c15:datalabelsRange>
                <c15:f>full_city_premia!$B$12</c15:f>
                <c15:dlblRangeCache>
                  <c:ptCount val="1"/>
                  <c:pt idx="0">
                    <c:v>Copenhagen</c:v>
                  </c:pt>
                </c15:dlblRangeCache>
              </c15:datalabelsRange>
            </c:ext>
            <c:ext xmlns:c16="http://schemas.microsoft.com/office/drawing/2014/chart" uri="{C3380CC4-5D6E-409C-BE32-E72D297353CC}">
              <c16:uniqueId val="{0000000E-9029-42F7-B8D8-188967F6DC7A}"/>
            </c:ext>
          </c:extLst>
        </c:ser>
        <c:ser>
          <c:idx val="4"/>
          <c:order val="4"/>
          <c:tx>
            <c:v>Finland</c:v>
          </c:tx>
          <c:spPr>
            <a:ln w="25400" cap="rnd">
              <a:noFill/>
              <a:round/>
            </a:ln>
            <a:effectLst/>
          </c:spPr>
          <c:marker>
            <c:symbol val="circle"/>
            <c:size val="5"/>
            <c:spPr>
              <a:solidFill>
                <a:schemeClr val="accent5"/>
              </a:solidFill>
              <a:ln w="9525">
                <a:solidFill>
                  <a:schemeClr val="accent5"/>
                </a:solidFill>
              </a:ln>
              <a:effectLst/>
            </c:spPr>
          </c:marker>
          <c:dLbls>
            <c:dLbl>
              <c:idx val="0"/>
              <c:layout>
                <c:manualLayout>
                  <c:x val="-0.24043207879692866"/>
                  <c:y val="-2.6118198685842864E-2"/>
                </c:manualLayout>
              </c:layout>
              <c:tx>
                <c:rich>
                  <a:bodyPr/>
                  <a:lstStyle/>
                  <a:p>
                    <a:fld id="{1BF81EA3-96F8-4968-B905-E026AA3B924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F-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full_city_premia!$C$13</c:f>
              <c:numCache>
                <c:formatCode>General</c:formatCode>
                <c:ptCount val="1"/>
                <c:pt idx="0">
                  <c:v>68954</c:v>
                </c:pt>
              </c:numCache>
            </c:numRef>
          </c:xVal>
          <c:yVal>
            <c:numRef>
              <c:f>full_city_premia!$D$13</c:f>
              <c:numCache>
                <c:formatCode>General</c:formatCode>
                <c:ptCount val="1"/>
                <c:pt idx="0">
                  <c:v>21.42896867</c:v>
                </c:pt>
              </c:numCache>
            </c:numRef>
          </c:yVal>
          <c:smooth val="0"/>
          <c:extLst>
            <c:ext xmlns:c15="http://schemas.microsoft.com/office/drawing/2012/chart" uri="{02D57815-91ED-43cb-92C2-25804820EDAC}">
              <c15:datalabelsRange>
                <c15:f>full_city_premia!$B$13</c15:f>
                <c15:dlblRangeCache>
                  <c:ptCount val="1"/>
                  <c:pt idx="0">
                    <c:v>Helsinki/Helsingfors</c:v>
                  </c:pt>
                </c15:dlblRangeCache>
              </c15:datalabelsRange>
            </c:ext>
            <c:ext xmlns:c16="http://schemas.microsoft.com/office/drawing/2014/chart" uri="{C3380CC4-5D6E-409C-BE32-E72D297353CC}">
              <c16:uniqueId val="{00000010-9029-42F7-B8D8-188967F6DC7A}"/>
            </c:ext>
          </c:extLst>
        </c:ser>
        <c:ser>
          <c:idx val="5"/>
          <c:order val="5"/>
          <c:tx>
            <c:v>France</c:v>
          </c:tx>
          <c:spPr>
            <a:ln w="25400" cap="rnd">
              <a:noFill/>
              <a:round/>
            </a:ln>
            <a:effectLst/>
          </c:spPr>
          <c:marker>
            <c:symbol val="circle"/>
            <c:size val="5"/>
            <c:spPr>
              <a:solidFill>
                <a:schemeClr val="accent6"/>
              </a:solidFill>
              <a:ln w="9525">
                <a:solidFill>
                  <a:schemeClr val="accent6"/>
                </a:solidFill>
              </a:ln>
              <a:effectLst/>
            </c:spPr>
          </c:marker>
          <c:dLbls>
            <c:dLbl>
              <c:idx val="0"/>
              <c:tx>
                <c:rich>
                  <a:bodyPr/>
                  <a:lstStyle/>
                  <a:p>
                    <a:fld id="{1A614866-3484-4DE8-BD4A-615BF15EE58F}"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1-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full_city_premia!$C$14</c:f>
              <c:numCache>
                <c:formatCode>General</c:formatCode>
                <c:ptCount val="1"/>
                <c:pt idx="0">
                  <c:v>84339</c:v>
                </c:pt>
              </c:numCache>
            </c:numRef>
          </c:xVal>
          <c:yVal>
            <c:numRef>
              <c:f>full_city_premia!$D$14</c:f>
              <c:numCache>
                <c:formatCode>General</c:formatCode>
                <c:ptCount val="1"/>
                <c:pt idx="0">
                  <c:v>60.865451870000001</c:v>
                </c:pt>
              </c:numCache>
            </c:numRef>
          </c:yVal>
          <c:smooth val="0"/>
          <c:extLst>
            <c:ext xmlns:c15="http://schemas.microsoft.com/office/drawing/2012/chart" uri="{02D57815-91ED-43cb-92C2-25804820EDAC}">
              <c15:datalabelsRange>
                <c15:f>full_city_premia!$B$14</c15:f>
                <c15:dlblRangeCache>
                  <c:ptCount val="1"/>
                  <c:pt idx="0">
                    <c:v>Paris</c:v>
                  </c:pt>
                </c15:dlblRangeCache>
              </c15:datalabelsRange>
            </c:ext>
            <c:ext xmlns:c16="http://schemas.microsoft.com/office/drawing/2014/chart" uri="{C3380CC4-5D6E-409C-BE32-E72D297353CC}">
              <c16:uniqueId val="{00000012-9029-42F7-B8D8-188967F6DC7A}"/>
            </c:ext>
          </c:extLst>
        </c:ser>
        <c:ser>
          <c:idx val="6"/>
          <c:order val="6"/>
          <c:tx>
            <c:v>Netherlands</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dLbls>
            <c:dLbl>
              <c:idx val="0"/>
              <c:layout>
                <c:manualLayout>
                  <c:x val="4.541451114659434E-3"/>
                  <c:y val="-1.6513134178743529E-2"/>
                </c:manualLayout>
              </c:layout>
              <c:tx>
                <c:rich>
                  <a:bodyPr/>
                  <a:lstStyle/>
                  <a:p>
                    <a:fld id="{7A320A6A-46F8-411D-B37C-40E05239B45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9029-42F7-B8D8-188967F6DC7A}"/>
                </c:ext>
              </c:extLst>
            </c:dLbl>
            <c:dLbl>
              <c:idx val="1"/>
              <c:layout>
                <c:manualLayout>
                  <c:x val="2.9985343757467223E-4"/>
                  <c:y val="2.8212263869548847E-2"/>
                </c:manualLayout>
              </c:layout>
              <c:tx>
                <c:rich>
                  <a:bodyPr/>
                  <a:lstStyle/>
                  <a:p>
                    <a:fld id="{52147B04-69FA-46C6-BB84-F6716405760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4-9029-42F7-B8D8-188967F6DC7A}"/>
                </c:ext>
              </c:extLst>
            </c:dLbl>
            <c:dLbl>
              <c:idx val="2"/>
              <c:layout>
                <c:manualLayout>
                  <c:x val="-6.5733118363607663E-3"/>
                  <c:y val="-3.2377194829643604E-3"/>
                </c:manualLayout>
              </c:layout>
              <c:tx>
                <c:rich>
                  <a:bodyPr/>
                  <a:lstStyle/>
                  <a:p>
                    <a:fld id="{A3EDD246-024C-456C-BB66-EC4D960C2D1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5-9029-42F7-B8D8-188967F6DC7A}"/>
                </c:ext>
              </c:extLst>
            </c:dLbl>
            <c:dLbl>
              <c:idx val="3"/>
              <c:layout>
                <c:manualLayout>
                  <c:x val="-2.1642170399543436E-3"/>
                  <c:y val="3.9149235653263448E-2"/>
                </c:manualLayout>
              </c:layout>
              <c:tx>
                <c:rich>
                  <a:bodyPr/>
                  <a:lstStyle/>
                  <a:p>
                    <a:fld id="{AA1E3D12-5AED-4A24-A8AC-9F49C10A526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full_city_premia!$C$15:$C$18</c:f>
              <c:numCache>
                <c:formatCode>General</c:formatCode>
                <c:ptCount val="4"/>
                <c:pt idx="0">
                  <c:v>84034</c:v>
                </c:pt>
                <c:pt idx="1">
                  <c:v>81588</c:v>
                </c:pt>
                <c:pt idx="2">
                  <c:v>76908</c:v>
                </c:pt>
                <c:pt idx="3">
                  <c:v>66217</c:v>
                </c:pt>
              </c:numCache>
            </c:numRef>
          </c:xVal>
          <c:yVal>
            <c:numRef>
              <c:f>full_city_premia!$D$15:$D$18</c:f>
              <c:numCache>
                <c:formatCode>General</c:formatCode>
                <c:ptCount val="4"/>
                <c:pt idx="0">
                  <c:v>22.54542622</c:v>
                </c:pt>
                <c:pt idx="1">
                  <c:v>18.97846389</c:v>
                </c:pt>
                <c:pt idx="2">
                  <c:v>12.153695409999999</c:v>
                </c:pt>
                <c:pt idx="3">
                  <c:v>-3.4368173839999998</c:v>
                </c:pt>
              </c:numCache>
            </c:numRef>
          </c:yVal>
          <c:smooth val="0"/>
          <c:extLst>
            <c:ext xmlns:c15="http://schemas.microsoft.com/office/drawing/2012/chart" uri="{02D57815-91ED-43cb-92C2-25804820EDAC}">
              <c15:datalabelsRange>
                <c15:f>full_city_premia!$B$15:$B$18</c15:f>
                <c15:dlblRangeCache>
                  <c:ptCount val="4"/>
                  <c:pt idx="0">
                    <c:v>Amsterdam</c:v>
                  </c:pt>
                  <c:pt idx="1">
                    <c:v>Utrecht</c:v>
                  </c:pt>
                  <c:pt idx="2">
                    <c:v>Eindhoven</c:v>
                  </c:pt>
                  <c:pt idx="3">
                    <c:v>Rotterdam</c:v>
                  </c:pt>
                </c15:dlblRangeCache>
              </c15:datalabelsRange>
            </c:ext>
            <c:ext xmlns:c16="http://schemas.microsoft.com/office/drawing/2014/chart" uri="{C3380CC4-5D6E-409C-BE32-E72D297353CC}">
              <c16:uniqueId val="{00000017-9029-42F7-B8D8-188967F6DC7A}"/>
            </c:ext>
          </c:extLst>
        </c:ser>
        <c:ser>
          <c:idx val="7"/>
          <c:order val="7"/>
          <c:tx>
            <c:v>New Zealand</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0.12489292489085464"/>
                  <c:y val="-1.1871500963610053E-16"/>
                </c:manualLayout>
              </c:layout>
              <c:tx>
                <c:rich>
                  <a:bodyPr/>
                  <a:lstStyle/>
                  <a:p>
                    <a:fld id="{7213A8DD-7190-4E19-857A-B408798D6294}"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8-9029-42F7-B8D8-188967F6DC7A}"/>
                </c:ext>
              </c:extLst>
            </c:dLbl>
            <c:dLbl>
              <c:idx val="1"/>
              <c:layout>
                <c:manualLayout>
                  <c:x val="-0.12051071699994742"/>
                  <c:y val="-1.1871500963610053E-16"/>
                </c:manualLayout>
              </c:layout>
              <c:tx>
                <c:rich>
                  <a:bodyPr/>
                  <a:lstStyle/>
                  <a:p>
                    <a:fld id="{F4D8E2E5-9938-47E1-A972-8AB01C5219B5}"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9029-42F7-B8D8-188967F6DC7A}"/>
                </c:ext>
              </c:extLst>
            </c:dLbl>
            <c:dLbl>
              <c:idx val="2"/>
              <c:layout>
                <c:manualLayout>
                  <c:x val="-5.6965704421164512E-2"/>
                  <c:y val="-8.0943148255083947E-2"/>
                </c:manualLayout>
              </c:layout>
              <c:tx>
                <c:rich>
                  <a:bodyPr/>
                  <a:lstStyle/>
                  <a:p>
                    <a:fld id="{C4456764-F5FD-4B4F-AFB3-E3FFBC93300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A-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full_city_premia!$C$19:$C$21</c:f>
              <c:numCache>
                <c:formatCode>General</c:formatCode>
                <c:ptCount val="3"/>
                <c:pt idx="0">
                  <c:v>55499</c:v>
                </c:pt>
                <c:pt idx="1">
                  <c:v>53383</c:v>
                </c:pt>
                <c:pt idx="2">
                  <c:v>44952</c:v>
                </c:pt>
              </c:numCache>
            </c:numRef>
          </c:xVal>
          <c:yVal>
            <c:numRef>
              <c:f>full_city_premia!$D$19:$D$21</c:f>
              <c:numCache>
                <c:formatCode>General</c:formatCode>
                <c:ptCount val="3"/>
                <c:pt idx="0">
                  <c:v>15.1381668</c:v>
                </c:pt>
                <c:pt idx="1">
                  <c:v>10.74831543</c:v>
                </c:pt>
                <c:pt idx="2">
                  <c:v>-6.7426282679999998</c:v>
                </c:pt>
              </c:numCache>
            </c:numRef>
          </c:yVal>
          <c:smooth val="0"/>
          <c:extLst>
            <c:ext xmlns:c15="http://schemas.microsoft.com/office/drawing/2012/chart" uri="{02D57815-91ED-43cb-92C2-25804820EDAC}">
              <c15:datalabelsRange>
                <c15:f>full_city_premia!$B$19:$B$21</c15:f>
                <c15:dlblRangeCache>
                  <c:ptCount val="3"/>
                  <c:pt idx="0">
                    <c:v>Wellington</c:v>
                  </c:pt>
                  <c:pt idx="1">
                    <c:v>Auckland</c:v>
                  </c:pt>
                  <c:pt idx="2">
                    <c:v>Christchurch</c:v>
                  </c:pt>
                </c15:dlblRangeCache>
              </c15:datalabelsRange>
            </c:ext>
            <c:ext xmlns:c16="http://schemas.microsoft.com/office/drawing/2014/chart" uri="{C3380CC4-5D6E-409C-BE32-E72D297353CC}">
              <c16:uniqueId val="{0000001B-9029-42F7-B8D8-188967F6DC7A}"/>
            </c:ext>
          </c:extLst>
        </c:ser>
        <c:dLbls>
          <c:showLegendKey val="0"/>
          <c:showVal val="0"/>
          <c:showCatName val="0"/>
          <c:showSerName val="0"/>
          <c:showPercent val="0"/>
          <c:showBubbleSize val="0"/>
        </c:dLbls>
        <c:axId val="1361875552"/>
        <c:axId val="1361876992"/>
      </c:scatterChart>
      <c:valAx>
        <c:axId val="1361875552"/>
        <c:scaling>
          <c:orientation val="minMax"/>
        </c:scaling>
        <c:delete val="0"/>
        <c:axPos val="b"/>
        <c:majorGridlines>
          <c:spPr>
            <a:ln w="9525" cap="flat" cmpd="sng" algn="ctr">
              <a:solidFill>
                <a:schemeClr val="tx1">
                  <a:lumMod val="15000"/>
                  <a:lumOff val="85000"/>
                </a:schemeClr>
              </a:solidFill>
              <a:round/>
            </a:ln>
            <a:effectLst/>
          </c:spPr>
        </c:majorGridlines>
        <c:numFmt formatCode="&quot;$&quot;#,##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6992"/>
        <c:crosses val="autoZero"/>
        <c:crossBetween val="midCat"/>
      </c:valAx>
      <c:valAx>
        <c:axId val="13618769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5552"/>
        <c:crosses val="autoZero"/>
        <c:crossBetween val="midCat"/>
        <c:dispUnits>
          <c:builtInUnit val="hundre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65</TotalTime>
  <Pages>30</Pages>
  <Words>10980</Words>
  <Characters>64564</Characters>
  <Application>Microsoft Office Word</Application>
  <DocSecurity>0</DocSecurity>
  <Lines>963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7</cp:revision>
  <cp:lastPrinted>2026-07-03T04:26:00Z</cp:lastPrinted>
  <dcterms:created xsi:type="dcterms:W3CDTF">2026-07-06T21:28:00Z</dcterms:created>
  <dcterms:modified xsi:type="dcterms:W3CDTF">2026-07-12T21:35:00Z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2026-07-06T21:28:18Z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29ff97be-768b-498d-bdc4-84c34bbf42de</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