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D41"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3CC2FF54"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75C9BADD"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1FCA15C1"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26B15798"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C7A2AD2"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6238E04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5712A4CC"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01491156"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6B2AC0F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432B2A3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B01CE01"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4F48C2A5"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5601C51"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54D64B02"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A0045B1"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277E87D8"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C2E3C91"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685CC38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C087EBE"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CF311E5"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040253FD"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40B3789"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C73D0F"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7B7E48CE"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6BBF74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1423C648"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D5E788F"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4C43CE1B"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046B893"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3E676C2E"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FEDA261" w14:textId="79B59096" w:rsidR="005A107C" w:rsidRPr="005A107C" w:rsidRDefault="005A107C">
            <w:pPr>
              <w:rPr>
                <w:b w:val="0"/>
                <w:bCs w:val="0"/>
                <w:sz w:val="18"/>
                <w:szCs w:val="18"/>
              </w:rPr>
            </w:pPr>
            <w:r>
              <w:rPr>
                <w:b w:val="0"/>
                <w:bCs w:val="0"/>
                <w:sz w:val="18"/>
                <w:szCs w:val="18"/>
              </w:rPr>
              <w:t>Version 1.1</w:t>
            </w:r>
          </w:p>
        </w:tc>
        <w:tc>
          <w:tcPr>
            <w:tcW w:w="884" w:type="pct"/>
          </w:tcPr>
          <w:p w14:paraId="7A7B1656" w14:textId="6D91AB0C"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4B9DC7E9"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r>
        <w:tc>
          <w:tcPr>
            <w:tcW w:type="dxa" w:w="1696"/>
          </w:tcPr>
          <w:p>
            <w:r>
              <w:t>Version 1.2</w:t>
            </w:r>
          </w:p>
        </w:tc>
        <w:tc>
          <w:tcPr>
            <w:tcW w:type="dxa" w:w="1701"/>
          </w:tcPr>
          <w:p>
            <w:r>
              <w:t>July 2026</w:t>
            </w:r>
          </w:p>
        </w:tc>
        <w:tc>
          <w:tcPr>
            <w:tcW w:type="dxa" w:w="6225"/>
          </w:tcPr>
          <w:p>
            <w:r>
              <w:t>The Treasury (2017) Auckland Story cited: frontier-firm concentration in Auckland added to Section 7 and hypothesis language strengthened; 2017 underperformance precedent added to the Auckland Productivity Premium box. Bibliography audit corrections re-applied (Donovan et al. 2021 Tinbergen number TI 2021-026/VIII; Donovan et al. 2022 article number 103799 and author order) — full 33-entry bibliography previously verified against source documents</w:t>
            </w:r>
          </w:p>
        </w:tc>
      </w:tr>
      <w:tr>
        <w:tc>
          <w:tcPr>
            <w:tcW w:type="dxa" w:w="1696"/>
          </w:tcPr>
          <w:p>
            <w:r>
              <w:t>Version 1.3</w:t>
            </w:r>
          </w:p>
        </w:tc>
        <w:tc>
          <w:tcPr>
            <w:tcW w:type="dxa" w:w="1701"/>
          </w:tcPr>
          <w:p>
            <w:r>
              <w:t>August 2026</w:t>
            </w:r>
          </w:p>
        </w:tc>
        <w:tc>
          <w:tcPr>
            <w:tcW w:type="dxa" w:w="6225"/>
          </w:tcPr>
          <w:p>
            <w:r>
              <w:t>Publication readiness: all unpublished and in-confidence sources removed. Kānoa RD (2026, internal presentation) replaced by Statistics New Zealand subnational population estimates; The Treasury (2017) Auckland Story (IN-CONFIDENCE draft) replaced by Zheng (2016), the publicly available primary analysis it relayed, and its quote removed from the Auckland Productivity Premium box; MHUD (2024) citation updated to note proactive release with URL. Every remaining source is publicly available.</w:t>
            </w:r>
          </w:p>
        </w:tc>
      </w:tr>
      <w:tr>
        <w:tc>
          <w:tcPr>
            <w:tcW w:type="dxa" w:w="1696"/>
          </w:tcPr>
          <w:p>
            <w:r>
              <w:t>Version 1.4</w:t>
            </w:r>
          </w:p>
        </w:tc>
        <w:tc>
          <w:tcPr>
            <w:tcW w:type="dxa" w:w="1701"/>
          </w:tcPr>
          <w:p>
            <w:r>
              <w:t>August 2026</w:t>
            </w:r>
          </w:p>
        </w:tc>
        <w:tc>
          <w:tcPr>
            <w:tcW w:type="dxa" w:w="6225"/>
          </w:tcPr>
          <w:p>
            <w:r>
              <w:t xml:space="preserve">State of the City 2026 (Committee for Auckland &amp; The Business of Cities, released 25 August 2026) ingested and cited. New evidence added at 5 (city centre productivity in the bottom third of international peers; gateway flows within 5% of the comparable-city average), 5.1 (housing delivery record sustained through a downturn, but new supply concentrated at the centre and the urban edge rather than transit-served suburbs), 5.3 (transit-corridor population growth lagging peers; congestion in the global bottom 5%), 5.4 (jobs and people drifting apart; commutable catchment narrower than peers) and 7 (Auckland's 8-point high-skill premium; innovation ecosystem rising but thin on founders, corporate depth and later-stage capital). Executive summary sharpened accordingly. Figure 8 added (distribution of jobs in Auckland by H3 hexagon, from the CRL Benefits Realisation Plan); former Figure 8 renumbered to Figure 9. Bibliography extended to 36 entries.</w:t>
            </w:r>
          </w:p>
        </w:tc>
      </w:tr>
      <w:tr>
        <w:tc>
          <w:tcPr>
            <w:tcW w:type="dxa" w:w="1696"/>
          </w:tcPr>
          <w:p>
            <w:r>
              <w:t xml:space="preserve">Version 1.5</w:t>
            </w:r>
          </w:p>
        </w:tc>
        <w:tc>
          <w:tcPr>
            <w:tcW w:type="dxa" w:w="1701"/>
          </w:tcPr>
          <w:p>
            <w:r>
              <w:t xml:space="preserve">August 2026</w:t>
            </w:r>
          </w:p>
        </w:tc>
        <w:tc>
          <w:tcPr>
            <w:tcW w:type="dxa" w:w="6225"/>
          </w:tcPr>
          <w:p>
            <w:r>
              <w:t xml:space="preserve">Executive summary returned to its original register. The benchmarking-statistics paragraph added in 1.4 is removed; its one genuinely new finding — that the productivity shortfall reaches into the city centre itself, not only the outer suburbs — is folded into the Auckland paragraph in plain terms. The executive summary again carries no statistics and no citations, and the link between 'Auckland is central to this story' and 'This much is supported by strong evidence' is restored. The supporting evidence and citation remain in Section 5, where they belong.</w:t>
            </w:r>
          </w:p>
        </w:tc>
      </w:tr>
    </w:tbl>
    <w:p w14:paraId="3B7A7AB1" w14:textId="77777777" w:rsidR="009421A7" w:rsidRPr="006A6424" w:rsidRDefault="009421A7" w:rsidP="004434DB"/>
    <w:p w14:paraId="64C1BD87" w14:textId="1459799B" w:rsidR="006A6424" w:rsidRPr="006A6424" w:rsidRDefault="008B107F">
      <w:pPr>
        <w:spacing w:after="0"/>
        <w:rPr>
          <w:b/>
          <w:bCs/>
          <w:sz w:val="56"/>
          <w:szCs w:val="56"/>
        </w:rPr>
      </w:pPr>
      <w:bookmarkStart w:id="2" w:name="_Toc189460583"/>
      <w:r w:rsidRPr="008B107F">
        <w:rPr>
          <w:b/>
          <w:bCs/>
          <w:color w:val="FF0000"/>
        </w:rPr>
        <w:t xml:space="preserve">This version is in draft. It has not been peer reviewed. It is not government policy. It represents the thoughts and findings of the </w:t>
      </w:r>
      <w:proofErr w:type="gramStart"/>
      <w:r w:rsidRPr="008B107F">
        <w:rPr>
          <w:b/>
          <w:bCs/>
          <w:color w:val="FF0000"/>
        </w:rPr>
        <w:t>author, and</w:t>
      </w:r>
      <w:proofErr w:type="gramEnd"/>
      <w:r w:rsidRPr="008B107F">
        <w:rPr>
          <w:b/>
          <w:bCs/>
          <w:color w:val="FF0000"/>
        </w:rPr>
        <w:t xml:space="preserve"> is not an official MBIE position.  </w:t>
      </w:r>
      <w:r w:rsidR="006A6424" w:rsidRPr="006A6424">
        <w:rPr>
          <w:b/>
          <w:bCs/>
          <w:sz w:val="56"/>
          <w:szCs w:val="56"/>
        </w:rPr>
        <w:br w:type="page"/>
      </w:r>
    </w:p>
    <w:p w14:paraId="7790CD17" w14:textId="77777777" w:rsidR="009421A7" w:rsidRPr="006A6424" w:rsidRDefault="009421A7" w:rsidP="004434DB">
      <w:pPr>
        <w:rPr>
          <w:b/>
          <w:bCs/>
          <w:sz w:val="56"/>
          <w:szCs w:val="56"/>
        </w:rPr>
      </w:pPr>
      <w:r w:rsidRPr="006A6424">
        <w:rPr>
          <w:b/>
          <w:bCs/>
          <w:sz w:val="56"/>
          <w:szCs w:val="56"/>
        </w:rPr>
        <w:lastRenderedPageBreak/>
        <w:t>Contents</w:t>
      </w:r>
      <w:bookmarkEnd w:id="2"/>
    </w:p>
    <w:p w14:paraId="2FB8E6BF" w14:textId="1FAD53D6" w:rsidR="00D24853"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4827729" w:history="1">
        <w:r w:rsidR="00D24853" w:rsidRPr="00E747A1">
          <w:rPr>
            <w:rStyle w:val="Hyperlink"/>
            <w:rFonts w:eastAsia="Times New Roman"/>
            <w:lang w:eastAsia="en-NZ"/>
          </w:rPr>
          <w:t>Executive Summary</w:t>
        </w:r>
        <w:r w:rsidR="00D24853">
          <w:rPr>
            <w:webHidden/>
          </w:rPr>
          <w:tab/>
        </w:r>
        <w:r w:rsidR="00D24853">
          <w:rPr>
            <w:webHidden/>
          </w:rPr>
          <w:fldChar w:fldCharType="begin"/>
        </w:r>
        <w:r w:rsidR="00D24853">
          <w:rPr>
            <w:webHidden/>
          </w:rPr>
          <w:instrText xml:space="preserve"> PAGEREF _Toc234827729 \h </w:instrText>
        </w:r>
        <w:r w:rsidR="00D24853">
          <w:rPr>
            <w:webHidden/>
          </w:rPr>
        </w:r>
        <w:r w:rsidR="00D24853">
          <w:rPr>
            <w:webHidden/>
          </w:rPr>
          <w:fldChar w:fldCharType="separate"/>
        </w:r>
        <w:r w:rsidR="00D24853">
          <w:rPr>
            <w:webHidden/>
          </w:rPr>
          <w:t>4</w:t>
        </w:r>
        <w:r w:rsidR="00D24853">
          <w:rPr>
            <w:webHidden/>
          </w:rPr>
          <w:fldChar w:fldCharType="end"/>
        </w:r>
      </w:hyperlink>
    </w:p>
    <w:p w14:paraId="637905BA" w14:textId="641EB90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0" w:history="1">
        <w:r w:rsidRPr="00E747A1">
          <w:rPr>
            <w:rStyle w:val="Hyperlink"/>
            <w:rFonts w:eastAsia="Times New Roman"/>
            <w:lang w:eastAsia="en-NZ"/>
          </w:rPr>
          <w:t>1. Purpose</w:t>
        </w:r>
        <w:r>
          <w:rPr>
            <w:webHidden/>
          </w:rPr>
          <w:tab/>
        </w:r>
        <w:r>
          <w:rPr>
            <w:webHidden/>
          </w:rPr>
          <w:fldChar w:fldCharType="begin"/>
        </w:r>
        <w:r>
          <w:rPr>
            <w:webHidden/>
          </w:rPr>
          <w:instrText xml:space="preserve"> PAGEREF _Toc234827730 \h </w:instrText>
        </w:r>
        <w:r>
          <w:rPr>
            <w:webHidden/>
          </w:rPr>
        </w:r>
        <w:r>
          <w:rPr>
            <w:webHidden/>
          </w:rPr>
          <w:fldChar w:fldCharType="separate"/>
        </w:r>
        <w:r>
          <w:rPr>
            <w:webHidden/>
          </w:rPr>
          <w:t>5</w:t>
        </w:r>
        <w:r>
          <w:rPr>
            <w:webHidden/>
          </w:rPr>
          <w:fldChar w:fldCharType="end"/>
        </w:r>
      </w:hyperlink>
    </w:p>
    <w:p w14:paraId="34DD9054" w14:textId="7AB70FD3"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1" w:history="1">
        <w:r w:rsidRPr="00E747A1">
          <w:rPr>
            <w:rStyle w:val="Hyperlink"/>
            <w:rFonts w:eastAsia="Times New Roman"/>
            <w:lang w:eastAsia="en-NZ"/>
          </w:rPr>
          <w:t>2. What We Expect from Cities</w:t>
        </w:r>
        <w:r>
          <w:rPr>
            <w:webHidden/>
          </w:rPr>
          <w:tab/>
        </w:r>
        <w:r>
          <w:rPr>
            <w:webHidden/>
          </w:rPr>
          <w:fldChar w:fldCharType="begin"/>
        </w:r>
        <w:r>
          <w:rPr>
            <w:webHidden/>
          </w:rPr>
          <w:instrText xml:space="preserve"> PAGEREF _Toc234827731 \h </w:instrText>
        </w:r>
        <w:r>
          <w:rPr>
            <w:webHidden/>
          </w:rPr>
        </w:r>
        <w:r>
          <w:rPr>
            <w:webHidden/>
          </w:rPr>
          <w:fldChar w:fldCharType="separate"/>
        </w:r>
        <w:r>
          <w:rPr>
            <w:webHidden/>
          </w:rPr>
          <w:t>6</w:t>
        </w:r>
        <w:r>
          <w:rPr>
            <w:webHidden/>
          </w:rPr>
          <w:fldChar w:fldCharType="end"/>
        </w:r>
      </w:hyperlink>
    </w:p>
    <w:p w14:paraId="32F6C59A" w14:textId="4A2935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2" w:history="1">
        <w:r w:rsidRPr="00E747A1">
          <w:rPr>
            <w:rStyle w:val="Hyperlink"/>
          </w:rPr>
          <w:t>3. Core Diagnosis: Growth, Capital Pressure, and Productivity</w:t>
        </w:r>
        <w:r>
          <w:rPr>
            <w:webHidden/>
          </w:rPr>
          <w:tab/>
        </w:r>
        <w:r>
          <w:rPr>
            <w:webHidden/>
          </w:rPr>
          <w:fldChar w:fldCharType="begin"/>
        </w:r>
        <w:r>
          <w:rPr>
            <w:webHidden/>
          </w:rPr>
          <w:instrText xml:space="preserve"> PAGEREF _Toc234827732 \h </w:instrText>
        </w:r>
        <w:r>
          <w:rPr>
            <w:webHidden/>
          </w:rPr>
        </w:r>
        <w:r>
          <w:rPr>
            <w:webHidden/>
          </w:rPr>
          <w:fldChar w:fldCharType="separate"/>
        </w:r>
        <w:r>
          <w:rPr>
            <w:webHidden/>
          </w:rPr>
          <w:t>8</w:t>
        </w:r>
        <w:r>
          <w:rPr>
            <w:webHidden/>
          </w:rPr>
          <w:fldChar w:fldCharType="end"/>
        </w:r>
      </w:hyperlink>
    </w:p>
    <w:p w14:paraId="40076BAE" w14:textId="15533429"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3" w:history="1">
        <w:r w:rsidRPr="00E747A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_Toc234827733 \h </w:instrText>
        </w:r>
        <w:r>
          <w:rPr>
            <w:webHidden/>
          </w:rPr>
        </w:r>
        <w:r>
          <w:rPr>
            <w:webHidden/>
          </w:rPr>
          <w:fldChar w:fldCharType="separate"/>
        </w:r>
        <w:r>
          <w:rPr>
            <w:webHidden/>
          </w:rPr>
          <w:t>12</w:t>
        </w:r>
        <w:r>
          <w:rPr>
            <w:webHidden/>
          </w:rPr>
          <w:fldChar w:fldCharType="end"/>
        </w:r>
      </w:hyperlink>
    </w:p>
    <w:p w14:paraId="77BAB7AB" w14:textId="381113C6"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4" w:history="1">
        <w:r w:rsidRPr="00E747A1">
          <w:rPr>
            <w:rStyle w:val="Hyperlink"/>
          </w:rPr>
          <w:t>5. The New Zealand Spatial System — Evidence and Mechanisms</w:t>
        </w:r>
        <w:r>
          <w:rPr>
            <w:webHidden/>
          </w:rPr>
          <w:tab/>
        </w:r>
        <w:r>
          <w:rPr>
            <w:webHidden/>
          </w:rPr>
          <w:fldChar w:fldCharType="begin"/>
        </w:r>
        <w:r>
          <w:rPr>
            <w:webHidden/>
          </w:rPr>
          <w:instrText xml:space="preserve"> PAGEREF _Toc234827734 \h </w:instrText>
        </w:r>
        <w:r>
          <w:rPr>
            <w:webHidden/>
          </w:rPr>
        </w:r>
        <w:r>
          <w:rPr>
            <w:webHidden/>
          </w:rPr>
          <w:fldChar w:fldCharType="separate"/>
        </w:r>
        <w:r>
          <w:rPr>
            <w:webHidden/>
          </w:rPr>
          <w:t>13</w:t>
        </w:r>
        <w:r>
          <w:rPr>
            <w:webHidden/>
          </w:rPr>
          <w:fldChar w:fldCharType="end"/>
        </w:r>
      </w:hyperlink>
    </w:p>
    <w:p w14:paraId="51250392" w14:textId="17452DA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5" w:history="1">
        <w:r w:rsidRPr="00E747A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_Toc234827735 \h </w:instrText>
        </w:r>
        <w:r>
          <w:rPr>
            <w:webHidden/>
          </w:rPr>
        </w:r>
        <w:r>
          <w:rPr>
            <w:webHidden/>
          </w:rPr>
          <w:fldChar w:fldCharType="separate"/>
        </w:r>
        <w:r>
          <w:rPr>
            <w:webHidden/>
          </w:rPr>
          <w:t>21</w:t>
        </w:r>
        <w:r>
          <w:rPr>
            <w:webHidden/>
          </w:rPr>
          <w:fldChar w:fldCharType="end"/>
        </w:r>
      </w:hyperlink>
    </w:p>
    <w:p w14:paraId="1406D9F9" w14:textId="2649D32C"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6" w:history="1">
        <w:r w:rsidRPr="00E747A1">
          <w:rPr>
            <w:rStyle w:val="Hyperlink"/>
          </w:rPr>
          <w:t>7. New Zealand's Final Frontier</w:t>
        </w:r>
        <w:r>
          <w:rPr>
            <w:webHidden/>
          </w:rPr>
          <w:tab/>
        </w:r>
        <w:r>
          <w:rPr>
            <w:webHidden/>
          </w:rPr>
          <w:fldChar w:fldCharType="begin"/>
        </w:r>
        <w:r>
          <w:rPr>
            <w:webHidden/>
          </w:rPr>
          <w:instrText xml:space="preserve"> PAGEREF _Toc234827736 \h </w:instrText>
        </w:r>
        <w:r>
          <w:rPr>
            <w:webHidden/>
          </w:rPr>
        </w:r>
        <w:r>
          <w:rPr>
            <w:webHidden/>
          </w:rPr>
          <w:fldChar w:fldCharType="separate"/>
        </w:r>
        <w:r>
          <w:rPr>
            <w:webHidden/>
          </w:rPr>
          <w:t>23</w:t>
        </w:r>
        <w:r>
          <w:rPr>
            <w:webHidden/>
          </w:rPr>
          <w:fldChar w:fldCharType="end"/>
        </w:r>
      </w:hyperlink>
    </w:p>
    <w:p w14:paraId="65E4E871" w14:textId="4E958C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7" w:history="1">
        <w:r w:rsidRPr="00E747A1">
          <w:rPr>
            <w:rStyle w:val="Hyperlink"/>
            <w:rFonts w:eastAsia="Times New Roman"/>
            <w:lang w:eastAsia="en-NZ"/>
          </w:rPr>
          <w:t>8. Implications for Policy</w:t>
        </w:r>
        <w:r>
          <w:rPr>
            <w:webHidden/>
          </w:rPr>
          <w:tab/>
        </w:r>
        <w:r>
          <w:rPr>
            <w:webHidden/>
          </w:rPr>
          <w:fldChar w:fldCharType="begin"/>
        </w:r>
        <w:r>
          <w:rPr>
            <w:webHidden/>
          </w:rPr>
          <w:instrText xml:space="preserve"> PAGEREF _Toc234827737 \h </w:instrText>
        </w:r>
        <w:r>
          <w:rPr>
            <w:webHidden/>
          </w:rPr>
        </w:r>
        <w:r>
          <w:rPr>
            <w:webHidden/>
          </w:rPr>
          <w:fldChar w:fldCharType="separate"/>
        </w:r>
        <w:r>
          <w:rPr>
            <w:webHidden/>
          </w:rPr>
          <w:t>25</w:t>
        </w:r>
        <w:r>
          <w:rPr>
            <w:webHidden/>
          </w:rPr>
          <w:fldChar w:fldCharType="end"/>
        </w:r>
      </w:hyperlink>
    </w:p>
    <w:p w14:paraId="19B61FBA" w14:textId="777E368A"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8" w:history="1">
        <w:r w:rsidRPr="00E747A1">
          <w:rPr>
            <w:rStyle w:val="Hyperlink"/>
            <w:rFonts w:eastAsia="Times New Roman"/>
            <w:lang w:eastAsia="en-NZ"/>
          </w:rPr>
          <w:t>9. What MBIE should do next</w:t>
        </w:r>
        <w:r>
          <w:rPr>
            <w:webHidden/>
          </w:rPr>
          <w:tab/>
        </w:r>
        <w:r>
          <w:rPr>
            <w:webHidden/>
          </w:rPr>
          <w:fldChar w:fldCharType="begin"/>
        </w:r>
        <w:r>
          <w:rPr>
            <w:webHidden/>
          </w:rPr>
          <w:instrText xml:space="preserve"> PAGEREF _Toc234827738 \h </w:instrText>
        </w:r>
        <w:r>
          <w:rPr>
            <w:webHidden/>
          </w:rPr>
        </w:r>
        <w:r>
          <w:rPr>
            <w:webHidden/>
          </w:rPr>
          <w:fldChar w:fldCharType="separate"/>
        </w:r>
        <w:r>
          <w:rPr>
            <w:webHidden/>
          </w:rPr>
          <w:t>26</w:t>
        </w:r>
        <w:r>
          <w:rPr>
            <w:webHidden/>
          </w:rPr>
          <w:fldChar w:fldCharType="end"/>
        </w:r>
      </w:hyperlink>
    </w:p>
    <w:p w14:paraId="7AEBF2E4" w14:textId="3D5D30C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9" w:history="1">
        <w:r w:rsidRPr="00E747A1">
          <w:rPr>
            <w:rStyle w:val="Hyperlink"/>
            <w:lang w:eastAsia="en-NZ"/>
          </w:rPr>
          <w:t>Bibliography</w:t>
        </w:r>
        <w:r>
          <w:rPr>
            <w:webHidden/>
          </w:rPr>
          <w:tab/>
        </w:r>
        <w:r>
          <w:rPr>
            <w:webHidden/>
          </w:rPr>
          <w:fldChar w:fldCharType="begin"/>
        </w:r>
        <w:r>
          <w:rPr>
            <w:webHidden/>
          </w:rPr>
          <w:instrText xml:space="preserve"> PAGEREF _Toc234827739 \h </w:instrText>
        </w:r>
        <w:r>
          <w:rPr>
            <w:webHidden/>
          </w:rPr>
        </w:r>
        <w:r>
          <w:rPr>
            <w:webHidden/>
          </w:rPr>
          <w:fldChar w:fldCharType="separate"/>
        </w:r>
        <w:r>
          <w:rPr>
            <w:webHidden/>
          </w:rPr>
          <w:t>28</w:t>
        </w:r>
        <w:r>
          <w:rPr>
            <w:webHidden/>
          </w:rPr>
          <w:fldChar w:fldCharType="end"/>
        </w:r>
      </w:hyperlink>
    </w:p>
    <w:p w14:paraId="203636A3" w14:textId="48D20A3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5ADAC8F4" w14:textId="77777777" w:rsidR="006E34E0" w:rsidRDefault="006E34E0" w:rsidP="006E34E0">
      <w:pPr>
        <w:pStyle w:val="Heading2"/>
        <w:rPr>
          <w:rFonts w:eastAsia="Times New Roman"/>
          <w:lang w:eastAsia="en-NZ"/>
        </w:rPr>
      </w:pPr>
      <w:bookmarkStart w:id="3" w:name="_Toc234827729"/>
      <w:r>
        <w:rPr>
          <w:rFonts w:eastAsia="Times New Roman"/>
          <w:lang w:eastAsia="en-NZ"/>
        </w:rPr>
        <w:lastRenderedPageBreak/>
        <w:t>Executive Summary</w:t>
      </w:r>
      <w:bookmarkEnd w:id="3"/>
    </w:p>
    <w:p w14:paraId="165C2C42"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691A9DDD"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D2728D6" w14:textId="77777777" w:rsidR="00F11AA7" w:rsidRDefault="00F11AA7">
      <w:pPr>
        <w:rPr>
          <w:kern w:val="2"/>
          <w:lang w:eastAsia="en-NZ"/>
          <w14:ligatures w14:val="standardContextual"/>
        </w:rPr>
      </w:pPr>
      <w:r>
        <w:t xml:space="preserve">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 Nor is this confined to the city's sprawling edges. The shortfall reaches into the centre itself — the densest and most specialised ground in the country, and precisely where the advantages of urban scale should be easiest to see.</w:t>
      </w:r>
    </w:p>
    <w:p w14:paraId="225675C2"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9F0490C" w14:textId="06D927CE"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422F4CB1" w14:textId="77777777"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6C2040B" w14:textId="50A436C5" w:rsidR="006E34E0" w:rsidRPr="00EB7F87" w:rsidRDefault="00F11AA7" w:rsidP="00EB7F87">
      <w:pPr>
        <w:rPr>
          <w:kern w:val="2"/>
          <w:lang w:eastAsia="en-NZ"/>
          <w14:ligatures w14:val="standardContextual"/>
        </w:rPr>
      </w:pPr>
      <w:r>
        <w:t xml:space="preserve">MBIE does not need to run the spatial system, but it does need to stop pretending it sits outside </w:t>
      </w:r>
      <w:proofErr w:type="gramStart"/>
      <w:r>
        <w:t>it, and</w:t>
      </w:r>
      <w:proofErr w:type="gramEnd"/>
      <w:r>
        <w:t xml:space="preserve">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r w:rsidR="006E34E0">
        <w:rPr>
          <w:rFonts w:eastAsia="Times New Roman"/>
          <w:lang w:eastAsia="en-NZ"/>
        </w:rPr>
        <w:br w:type="page"/>
      </w:r>
    </w:p>
    <w:p w14:paraId="3C21F63C" w14:textId="77777777" w:rsidR="006A6424" w:rsidRPr="006A6424" w:rsidRDefault="006A6424" w:rsidP="006A6424">
      <w:pPr>
        <w:pStyle w:val="Heading2"/>
        <w:rPr>
          <w:rFonts w:eastAsia="Times New Roman"/>
          <w:lang w:eastAsia="en-NZ"/>
        </w:rPr>
      </w:pPr>
      <w:bookmarkStart w:id="4" w:name="_Toc234827730"/>
      <w:r w:rsidRPr="006A6424">
        <w:rPr>
          <w:rFonts w:eastAsia="Times New Roman"/>
          <w:lang w:eastAsia="en-NZ"/>
        </w:rPr>
        <w:lastRenderedPageBreak/>
        <w:t>1. Purpose</w:t>
      </w:r>
      <w:bookmarkEnd w:id="4"/>
    </w:p>
    <w:p w14:paraId="7DF02646"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0F93A67"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4423557"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2B054617" w14:textId="77777777"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045EAC90"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3F0EB96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2EA6008" w14:textId="4C1B59DA" w:rsidR="006A6424" w:rsidRPr="006A6424" w:rsidRDefault="006A6424" w:rsidP="006A6424">
      <w:pPr>
        <w:pStyle w:val="Heading2"/>
        <w:rPr>
          <w:rFonts w:eastAsia="Times New Roman"/>
          <w:lang w:eastAsia="en-NZ"/>
        </w:rPr>
      </w:pPr>
      <w:bookmarkStart w:id="5" w:name="_Toc234827731"/>
      <w:r w:rsidRPr="006A6424">
        <w:rPr>
          <w:rFonts w:eastAsia="Times New Roman"/>
          <w:lang w:eastAsia="en-NZ"/>
        </w:rPr>
        <w:lastRenderedPageBreak/>
        <w:t>2. What We Expect from Cities</w:t>
      </w:r>
      <w:bookmarkEnd w:id="5"/>
    </w:p>
    <w:p w14:paraId="6472E9AC"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277B525D"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41137C52"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23953B05"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2F05F181"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120EAEAB"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84F9090"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F69D839" w14:textId="77777777" w:rsidR="00FF2A7E" w:rsidRPr="006A6424" w:rsidRDefault="00FF2A7E" w:rsidP="00FF2A7E">
      <w:pPr>
        <w:pStyle w:val="ListParagraph"/>
        <w:numPr>
          <w:ilvl w:val="0"/>
          <w:numId w:val="0"/>
        </w:numPr>
        <w:ind w:left="720"/>
        <w:rPr>
          <w:lang w:eastAsia="en-NZ"/>
        </w:rPr>
      </w:pPr>
    </w:p>
    <w:p w14:paraId="1A9902D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7B0E9698" w14:textId="77777777" w:rsidR="005A2AAB" w:rsidRPr="006A6424" w:rsidRDefault="005A2AAB" w:rsidP="005A2AAB">
      <w:pPr>
        <w:pStyle w:val="ListParagraph"/>
        <w:numPr>
          <w:ilvl w:val="0"/>
          <w:numId w:val="0"/>
        </w:numPr>
        <w:ind w:left="720"/>
        <w:rPr>
          <w:lang w:eastAsia="en-NZ"/>
        </w:rPr>
      </w:pPr>
    </w:p>
    <w:p w14:paraId="79B430AA"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0BBD5E2" w14:textId="77777777" w:rsidR="005A2AAB" w:rsidRPr="006A6424" w:rsidRDefault="005A2AAB" w:rsidP="005A2AAB">
      <w:pPr>
        <w:pStyle w:val="ListParagraph"/>
        <w:numPr>
          <w:ilvl w:val="0"/>
          <w:numId w:val="0"/>
        </w:numPr>
        <w:ind w:left="283"/>
        <w:rPr>
          <w:lang w:eastAsia="en-NZ"/>
        </w:rPr>
      </w:pPr>
    </w:p>
    <w:p w14:paraId="1108F6C7"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FEFE233" w14:textId="77777777" w:rsidR="005A2AAB" w:rsidRPr="006A6424" w:rsidRDefault="005A2AAB" w:rsidP="005A2AAB">
      <w:pPr>
        <w:pStyle w:val="ListParagraph"/>
        <w:numPr>
          <w:ilvl w:val="0"/>
          <w:numId w:val="0"/>
        </w:numPr>
        <w:ind w:left="283"/>
        <w:rPr>
          <w:lang w:eastAsia="en-NZ"/>
        </w:rPr>
      </w:pPr>
    </w:p>
    <w:p w14:paraId="50C570F4" w14:textId="071F6F60"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418B23D9" w14:textId="77777777" w:rsidR="005A2AAB" w:rsidRPr="006A6424" w:rsidRDefault="005A2AAB" w:rsidP="005A2AAB">
      <w:pPr>
        <w:pStyle w:val="ListParagraph"/>
        <w:numPr>
          <w:ilvl w:val="0"/>
          <w:numId w:val="0"/>
        </w:numPr>
        <w:ind w:left="283"/>
        <w:rPr>
          <w:lang w:eastAsia="en-NZ"/>
        </w:rPr>
      </w:pPr>
    </w:p>
    <w:p w14:paraId="11EB023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FBFDAC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7E390158"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6BF593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7215820" w14:textId="77777777" w:rsidR="006A6424" w:rsidRPr="00FF2A7E" w:rsidRDefault="006A6424" w:rsidP="00FF2A7E">
      <w:pPr>
        <w:pStyle w:val="Heading2"/>
      </w:pPr>
      <w:bookmarkStart w:id="6" w:name="_Toc234827732"/>
      <w:r w:rsidRPr="00FF2A7E">
        <w:lastRenderedPageBreak/>
        <w:t>3. Core Diagnosis: Growth, Capital Pressure, and Productivity</w:t>
      </w:r>
      <w:bookmarkEnd w:id="6"/>
    </w:p>
    <w:p w14:paraId="653EAB66" w14:textId="77777777" w:rsidR="006A6424" w:rsidRPr="006A6424" w:rsidRDefault="006A6424" w:rsidP="006A6424">
      <w:pPr>
        <w:rPr>
          <w:lang w:eastAsia="en-NZ"/>
        </w:rPr>
      </w:pPr>
      <w:r w:rsidRPr="006A6424">
        <w:rPr>
          <w:lang w:eastAsia="en-NZ"/>
        </w:rPr>
        <w:t>New Zealand's productivity problem is, in part, a spatial allocation problem.</w:t>
      </w:r>
    </w:p>
    <w:p w14:paraId="304257D9"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7C30F9F8" w14:textId="77777777" w:rsidR="006A6424" w:rsidRPr="006A6424" w:rsidRDefault="006A6424" w:rsidP="006A6424">
      <w:pPr>
        <w:rPr>
          <w:lang w:eastAsia="en-NZ"/>
        </w:rPr>
      </w:pPr>
      <w:r w:rsidRPr="006A6424">
        <w:rPr>
          <w:lang w:eastAsia="en-NZ"/>
        </w:rPr>
        <w:t>This can be understood as a sequence of empirically observable developments.</w:t>
      </w:r>
    </w:p>
    <w:p w14:paraId="7DF28CA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5D0A38A2" w14:textId="77777777" w:rsidR="0080550B" w:rsidRDefault="006A6424" w:rsidP="006A6424">
      <w:pPr>
        <w:rPr>
          <w:lang w:eastAsia="en-NZ"/>
        </w:rPr>
      </w:pPr>
      <w:r>
        <w:t>New Zealand has experienced sustained population growth — 27.3% between 2006 and 2025, an increase of approximately 1.14 million people (Statistics New Zealand, 2025). This sustained growth rate differentiates New Zealand from many OECD peers, where population growth has slowed more markedly and is increasingly driven by ageing dynamics rather than migration.</w:t>
      </w:r>
    </w:p>
    <w:p w14:paraId="6C2B7C96"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5B57693F"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436D7F50"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9E95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939A12C" w14:textId="77777777" w:rsidR="006A6424" w:rsidRPr="006A6424" w:rsidRDefault="006A6424" w:rsidP="0080550B">
      <w:pPr>
        <w:rPr>
          <w:lang w:eastAsia="en-NZ"/>
        </w:rPr>
      </w:pPr>
      <w: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(Statistics New Zealand, 2025).</w:t>
      </w:r>
    </w:p>
    <w:p w14:paraId="22E8E469"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5B8F584D" w14:textId="77777777" w:rsidR="006A6424" w:rsidRDefault="006A6424" w:rsidP="0080550B">
      <w:pPr>
        <w:pStyle w:val="Caption"/>
      </w:pPr>
      <w:r w:rsidRPr="006A6424">
        <w:t>Figure 2: Components of population growth (migration vs natural increase, 1990–present)</w:t>
      </w:r>
    </w:p>
    <w:p w14:paraId="253B58BE"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C831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4B213DAB" w14:textId="77777777" w:rsidR="006A6424" w:rsidRPr="006A6424" w:rsidRDefault="006A6424" w:rsidP="0080550B">
      <w:pPr>
        <w:rPr>
          <w:lang w:eastAsia="en-NZ"/>
        </w:rPr>
      </w:pPr>
      <w:r>
        <w:t>The shift to migration-led growth resulted in a relatively rapid metropolitanisation of population growth. New Zealand urbanised, i.e. moved to towns rather than the countryside, around the same time as most comparator advanced economies, but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5547AE59"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39F87562"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BFD68"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45F5393A"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6BA1339E"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22463487"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A59E9E5" w14:textId="77777777" w:rsidR="006A6424" w:rsidRDefault="006A6424" w:rsidP="00AF0C1E">
      <w:pPr>
        <w:pStyle w:val="Caption"/>
      </w:pPr>
      <w:r w:rsidRPr="00AF0C1E">
        <w:t>Figure 4: Infrastructure investment vs estimated demand / gap</w:t>
      </w:r>
      <w:r w:rsidR="00AF0C1E">
        <w:t xml:space="preserve"> (Te Waihanga 2026)</w:t>
      </w:r>
    </w:p>
    <w:p w14:paraId="666EE1A3"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46D31656"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2B0CBF34"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230FFF31"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7BDB159" w14:textId="77777777" w:rsidR="006A6424" w:rsidRPr="00AF0C1E" w:rsidRDefault="006A6424" w:rsidP="006A6424">
      <w:pPr>
        <w:rPr>
          <w:lang w:eastAsia="en-NZ"/>
        </w:rPr>
      </w:pPr>
      <w:r w:rsidRPr="00AF0C1E">
        <w:rPr>
          <w:lang w:eastAsia="en-NZ"/>
        </w:rPr>
        <w:t>These pressures are not cyclical—they are systemic features of the growth model.</w:t>
      </w:r>
    </w:p>
    <w:p w14:paraId="0349862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36ACC32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1CC6F34E"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1770BCCC" w14:textId="77777777" w:rsidR="006A6424" w:rsidRPr="005A2AAB" w:rsidRDefault="0066185C" w:rsidP="00AF1867">
      <w:pPr>
        <w:pStyle w:val="Heading4"/>
      </w:pPr>
      <w:r>
        <w:lastRenderedPageBreak/>
        <w:t>3</w:t>
      </w:r>
      <w:r w:rsidR="006A6424" w:rsidRPr="005A2AAB">
        <w:t>.</w:t>
      </w:r>
      <w:r>
        <w:t>8</w:t>
      </w:r>
      <w:r w:rsidR="006A6424" w:rsidRPr="005A2AAB">
        <w:t xml:space="preserve"> These dynamics create binding constraints within metropolitan areas</w:t>
      </w:r>
    </w:p>
    <w:p w14:paraId="5B07A032"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E997FF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71CE4253"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10D35B13"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7599131"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223BB7F"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FDCE7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28B970EC"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DC5B4" w14:textId="77777777" w:rsidR="006A6424" w:rsidRPr="006A6424" w:rsidRDefault="006A6424" w:rsidP="005A2AAB">
      <w:pPr>
        <w:pStyle w:val="Heading2"/>
        <w:rPr>
          <w:rFonts w:eastAsia="Times New Roman"/>
          <w:lang w:eastAsia="en-NZ"/>
        </w:rPr>
      </w:pPr>
      <w:bookmarkStart w:id="7" w:name="_Toc234827733"/>
      <w:r w:rsidRPr="006A6424">
        <w:rPr>
          <w:rFonts w:eastAsia="Times New Roman"/>
          <w:lang w:eastAsia="en-NZ"/>
        </w:rPr>
        <w:lastRenderedPageBreak/>
        <w:t>4. Spatial Policy as a System Lever</w:t>
      </w:r>
      <w:bookmarkEnd w:id="7"/>
    </w:p>
    <w:p w14:paraId="10067E88"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6430EFDC"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46EBD9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676B13B4"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11DFCACB" w14:textId="77777777" w:rsidR="00920D09" w:rsidRPr="005A2AAB" w:rsidRDefault="00920D09" w:rsidP="00920D09">
      <w:pPr>
        <w:pStyle w:val="ListParagraph"/>
        <w:numPr>
          <w:ilvl w:val="0"/>
          <w:numId w:val="0"/>
        </w:numPr>
        <w:ind w:left="720"/>
        <w:rPr>
          <w:lang w:eastAsia="en-NZ"/>
        </w:rPr>
      </w:pPr>
    </w:p>
    <w:p w14:paraId="51737E86"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6C9BE09" w14:textId="77777777" w:rsidR="00920D09" w:rsidRPr="005A2AAB" w:rsidRDefault="00920D09" w:rsidP="00920D09">
      <w:pPr>
        <w:pStyle w:val="ListParagraph"/>
        <w:numPr>
          <w:ilvl w:val="0"/>
          <w:numId w:val="0"/>
        </w:numPr>
        <w:ind w:left="283"/>
        <w:rPr>
          <w:lang w:eastAsia="en-NZ"/>
        </w:rPr>
      </w:pPr>
    </w:p>
    <w:p w14:paraId="148C3391"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1A30269" w14:textId="77777777" w:rsidR="00920D09" w:rsidRPr="005A2AAB" w:rsidRDefault="00920D09" w:rsidP="00920D09">
      <w:pPr>
        <w:pStyle w:val="ListParagraph"/>
        <w:numPr>
          <w:ilvl w:val="0"/>
          <w:numId w:val="0"/>
        </w:numPr>
        <w:ind w:left="283"/>
        <w:rPr>
          <w:lang w:eastAsia="en-NZ"/>
        </w:rPr>
      </w:pPr>
    </w:p>
    <w:p w14:paraId="45A073F3"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378D0A25" w14:textId="77777777" w:rsidR="00920D09" w:rsidRPr="005A2AAB" w:rsidRDefault="00920D09" w:rsidP="00920D09">
      <w:pPr>
        <w:pStyle w:val="ListParagraph"/>
        <w:numPr>
          <w:ilvl w:val="0"/>
          <w:numId w:val="0"/>
        </w:numPr>
        <w:ind w:left="283"/>
        <w:rPr>
          <w:lang w:eastAsia="en-NZ"/>
        </w:rPr>
      </w:pPr>
    </w:p>
    <w:p w14:paraId="38CAF14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5C960CD9" w14:textId="77777777" w:rsidR="00920D09" w:rsidRPr="005A2AAB" w:rsidRDefault="00920D09" w:rsidP="00920D09">
      <w:pPr>
        <w:pStyle w:val="ListParagraph"/>
        <w:numPr>
          <w:ilvl w:val="0"/>
          <w:numId w:val="0"/>
        </w:numPr>
        <w:ind w:left="283"/>
        <w:rPr>
          <w:lang w:eastAsia="en-NZ"/>
        </w:rPr>
      </w:pPr>
    </w:p>
    <w:p w14:paraId="0377D08E"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2688846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E4BE1FE"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2029BC2B"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7C2490D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21D666EC" w14:textId="77777777" w:rsidR="00920D09" w:rsidRDefault="00920D09" w:rsidP="00920D09">
      <w:pPr>
        <w:rPr>
          <w:lang w:eastAsia="en-NZ"/>
        </w:rPr>
      </w:pPr>
    </w:p>
    <w:p w14:paraId="3937304B" w14:textId="77777777" w:rsidR="00920D09" w:rsidRPr="006A6424" w:rsidRDefault="00920D09" w:rsidP="00920D09">
      <w:pPr>
        <w:rPr>
          <w:lang w:eastAsia="en-NZ"/>
        </w:rPr>
      </w:pPr>
    </w:p>
    <w:p w14:paraId="15448ECE" w14:textId="77777777" w:rsidR="006A6424" w:rsidRPr="006A6424" w:rsidRDefault="006A6424" w:rsidP="00920D09">
      <w:pPr>
        <w:pStyle w:val="Heading2"/>
        <w:rPr>
          <w:rFonts w:eastAsia="Times New Roman"/>
          <w:lang w:eastAsia="en-NZ"/>
        </w:rPr>
      </w:pPr>
      <w:bookmarkStart w:id="8" w:name="_Toc234827734"/>
      <w:r>
        <w:lastRenderedPageBreak/>
        <w:t>5. The New Zealand Spatial System — Evidence and Mechanisms</w:t>
      </w:r>
      <w:bookmarkEnd w:id="8"/>
    </w:p>
    <w:p w14:paraId="02273B59"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361C75E3"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7CE353EA"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38172FA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38FA16D1" w14:textId="77777777" w:rsidTr="002C3C6F">
        <w:tc>
          <w:tcPr>
            <w:tcW w:w="9622" w:type="dxa"/>
            <w:shd w:val="clear" w:color="auto" w:fill="D0EBB3"/>
            <w:tcMar>
              <w:top w:w="170" w:type="dxa"/>
              <w:left w:w="170" w:type="dxa"/>
              <w:bottom w:w="170" w:type="dxa"/>
              <w:right w:w="170" w:type="dxa"/>
            </w:tcMar>
          </w:tcPr>
          <w:p w14:paraId="6C8C901B" w14:textId="77777777" w:rsidR="0066185C" w:rsidRPr="0066185C" w:rsidRDefault="0066185C" w:rsidP="00920D09">
            <w:pPr>
              <w:rPr>
                <w:b/>
                <w:bCs/>
                <w:lang w:eastAsia="en-NZ"/>
              </w:rPr>
            </w:pPr>
            <w:r>
              <w:rPr>
                <w:b/>
                <w:bCs/>
                <w:lang w:eastAsia="en-NZ"/>
              </w:rPr>
              <w:t>The Auckland Productivity Premium</w:t>
            </w:r>
          </w:p>
          <w:p w14:paraId="6781459B"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6558376E"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045354ED"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2658346D"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BEDB309" w14:textId="03657FE2" w:rsidR="008D6889" w:rsidRDefault="008D6889" w:rsidP="00920D09">
            <w:pPr>
              <w:rPr>
                <w:lang w:eastAsia="en-NZ"/>
              </w:rPr>
            </w:pPr>
            <w:r>
              <w:rPr>
                <w:lang w:eastAsia="en-NZ"/>
              </w:rPr>
              <w:t xml:space="preserve">None of these premia – as far as I can work out – are controlled for selection effects, so we would expect the real premia to be substantially lower. </w:t>
            </w:r>
          </w:p>
        </w:tc>
      </w:tr>
    </w:tbl>
    <w:p w14:paraId="6D4A32C1" w14:textId="77777777" w:rsidR="002C3C6F" w:rsidRPr="006A6424" w:rsidRDefault="002C3C6F" w:rsidP="00920D09">
      <w:pPr>
        <w:rPr>
          <w:lang w:eastAsia="en-NZ"/>
        </w:rPr>
      </w:pPr>
    </w:p>
    <w:p w14:paraId="528A065B"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528A065B" w14:textId="77777777" w:rsidR="006A6424" w:rsidRPr="006A6424" w:rsidRDefault="006A6424" w:rsidP="00920D09">
      <w:pPr>
        <w:rPr>
          <w:lang w:eastAsia="en-NZ"/>
        </w:rPr>
      </w:pPr>
      <w:r w:rsidRPr="006A6424">
        <w:rPr>
          <w:lang w:eastAsia="en-NZ"/>
        </w:rPr>
        <w:t xml:space="preserve">The 2026 State of the City evidence supports that conclusion from both directions. On the concentration side, Auckland’s gateway roles — corporate headquarters, air arrivals, international students, trade, capital-raising firms — aggregate to within 5% of the average share captured by comparable international cities, and on a population-adjusted basis Auckland runs well above proportional on most of them: 2.12× for corporate headquarters, 2.1× for air passengers, 1.61× for international students. The report’s own judgement is that Auckland’s challenge “lies in converting these flows into more investment, visitors and tradeable industries” (The Business of Cities &amp; Committee for Auckland, 2026, p. 25). Concentration is broadly normal; conversion is not.</w:t>
      </w:r>
      <w:proofErr w:type="gramStart"/>
      <w:proofErr w:type="gramEnd"/>
    </w:p>
    <w:p w14:paraId="528A065B" w14:textId="77777777" w:rsidR="006A6424" w:rsidRPr="006A6424" w:rsidRDefault="006A6424" w:rsidP="00920D09">
      <w:pPr>
        <w:rPr>
          <w:lang w:eastAsia="en-NZ"/>
        </w:rPr>
      </w:pPr>
      <w:r w:rsidRPr="006A6424">
        <w:rPr>
          <w:lang w:eastAsia="en-NZ"/>
        </w:rPr>
        <w:t xml:space="preserve">On the performance side, the same evidence locates the shortfall more precisely than previous editions. Auckland’s city centre generates about 8% of New Zealand’s GDP and holds 5.3% of all national employment in fewer than five square kilometres — a national role comparable to Helsinki’s in Finland or Dublin’s in Ireland — and hosts roughly one in four of New Zealand’s finance jobs and one in six of its professional and technical jobs. Yet it produces about US$121,000 of GDP per worker, which places it in the bottom third of comparable international city centres, and its peak job density of some 37,000 workers per square kilometre sits just below the peer-city average (The Business of Cities &amp; Committee for Auckland, 2026). This matters for the argument of this paper. It means Auckland’s productivity problem is not solely a story about sprawl, peripheral growth and thin outer-suburban labour markets, real though those are. The under-performance is present in the core itself: in the one place in New Zealand where density, specialisation and labour-market depth are all at their highest, and where the agglomeration mechanisms set out in Section 2 should be most visible in the data.</w:t>
      </w:r>
      <w:proofErr w:type="gramStart"/>
      <w:proofErr w:type="gramEnd"/>
    </w:p>
    <w:p w14:paraId="1422AECC"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w:t>
      </w:r>
      <w:r w:rsidRPr="006A6424">
        <w:rPr>
          <w:lang w:eastAsia="en-NZ"/>
        </w:rPr>
        <w:lastRenderedPageBreak/>
        <w:t xml:space="preserve">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11988481"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23200BC7"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1F708CA3" w14:textId="77777777" w:rsidR="00030984" w:rsidRDefault="00F94108" w:rsidP="003F57E3">
      <w:pPr>
        <w:rPr>
          <w:lang w:eastAsia="en-NZ"/>
        </w:rPr>
      </w:pPr>
      <w:r w:rsidRPr="00030984">
        <w:rPr>
          <w:noProof/>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232DE0A"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noProof/>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02F040C5"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noProof/>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7485D97"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noProof/>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noProof/>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D01DA9" w14:textId="77777777" w:rsidR="00030984" w:rsidRPr="006A6424" w:rsidRDefault="00030984" w:rsidP="003F57E3">
      <w:pPr>
        <w:rPr>
          <w:lang w:eastAsia="en-NZ"/>
        </w:rPr>
      </w:pPr>
    </w:p>
    <w:p w14:paraId="3A0EAB12"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5FC5A0BD"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3BB44C4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0EDEFC9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1B8BDFB4"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6011C97D"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256BBD18"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3141FEC9"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4BD84048"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4BD84048" w14:textId="77777777" w:rsidR="006A6424" w:rsidRPr="006A6424" w:rsidRDefault="006A6424" w:rsidP="003F57E3">
      <w:pPr>
        <w:rPr>
          <w:lang w:eastAsia="en-NZ"/>
        </w:rPr>
      </w:pPr>
      <w:r w:rsidRPr="006A6424">
        <w:rPr>
          <w:lang w:eastAsia="en-NZ"/>
        </w:rPr>
        <w:t xml:space="preserve">That gain has since proved durable under adverse conditions. Through a weakening development cycle, Auckland recorded one of the ten most positive housing-delivery trendlines of any major city, measured affordability improved ahead of many close peers, and the medium-density share of new consents shifted faster than in Vancouver or Brisbane (The Business of Cities &amp; Committee for Auckland, 2026). Holding delivery gains through a downturn is the harder test, and Auckland passed it.</w:t>
      </w:r>
    </w:p>
    <w:p w14:paraId="4BD84048" w14:textId="77777777" w:rsidR="006A6424" w:rsidRPr="006A6424" w:rsidRDefault="006A6424" w:rsidP="003F57E3">
      <w:pPr>
        <w:rPr>
          <w:lang w:eastAsia="en-NZ"/>
        </w:rPr>
      </w:pPr>
      <w:r w:rsidRPr="006A6424">
        <w:rPr>
          <w:lang w:eastAsia="en-NZ"/>
        </w:rPr>
        <w:t xml:space="preserve">The location of that supply is a different matter, and the two findings are simultaneous rather than sequential. New housing has gone to the city centre and to the urban edge, with comparatively little in the suburbs that public transport already serves; Auckland sits in the global bottom decile for residential density, street connectivity and access to mixed-use locations, and shows one of the steepest walkability gaps between its central and outer suburbs (The Business of Cities &amp; Committee for Auckland, 2026). The volume problem and the location problem are not the same problem, and New Zealand has made far more progress on the first than the second. Supply reform has therefore not compounded with the accessibility and labour-market mechanisms it should reinforce: the dwellings were built, but not in the places where they would have added most to effective density.</w:t>
      </w:r>
    </w:p>
    <w:p w14:paraId="4BD84048" w14:textId="77777777" w:rsidR="006A6424" w:rsidRPr="006A6424" w:rsidRDefault="006A6424" w:rsidP="003F57E3">
      <w:pPr>
        <w:rPr>
          <w:lang w:eastAsia="en-NZ"/>
        </w:rPr>
      </w:pPr>
      <w:r w:rsidRPr="006A6424">
        <w:rPr>
          <w:lang w:eastAsia="en-NZ"/>
        </w:rPr>
        <w:t xml:space="preserve">There is, however, direct evidence that intensification delivers where it is allowed to happen. Beyond Auckland’s core, neighbourhoods that added gentle density gained businesses, young people and a mix of uses substantially faster than those that did not — a pattern the same report finds recurring in comparable international cities (The Business of Cities &amp; Committee for Auckland, 2026). This is observational rather than causal, and vulnerable to selection: areas already gaining economic activity may be the ones that intensified. It is nonetheless the most directly relevant New Zealand evidence against the standard objection that density degrades neighbourhood life, and it suggests the constraint on intensification is political rather than economic.</w:t>
      </w:r>
    </w:p>
    <w:p w14:paraId="4226ED23"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6A642F87"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208049C0"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49A2051"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57D6ADE6"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61DA2EBD"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3FEEDE"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51BB64D5"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1D182356"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210598F"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08488916" w14:textId="77777777"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61BFC511"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4F8003C"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092DB639"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092DB639" w14:textId="77777777" w:rsidR="006A6424" w:rsidRPr="006A6424" w:rsidRDefault="006A6424" w:rsidP="003F57E3">
      <w:pPr>
        <w:rPr>
          <w:lang w:eastAsia="en-NZ"/>
        </w:rPr>
      </w:pPr>
      <w:r w:rsidRPr="006A6424">
        <w:rPr>
          <w:lang w:eastAsia="en-NZ"/>
        </w:rPr>
        <w:t xml:space="preserve">Auckland is a clear case of this coordination failing in a specific and correctable way. The city has built substantial rapid transit capacity over three decades — the Northern Busway, rail electrification, and now the City Rail Link — but the population living along its better-connected public transport corridors has grown much more slowly than in comparable cities (The Business of Cities &amp; Committee for Auckland, 2026). Transit capacity and residential intensification have been sequenced independently rather than jointly, so each has delivered less than it would have alongside the other. Auckland meanwhile remains the most congested city in Oceania and sits in the global bottom 5% on congestion outcomes, with the burden “spread more evenly across the whole city than most” (The Business of Cities &amp; Committee for Auckland, 2026) — a pattern indicating dispersed origins and destinations rather than a conventional radial commuting problem, and a warning that centre-focused transit investment alone will not resolve it.</w:t>
      </w:r>
    </w:p>
    <w:p w14:paraId="092DB639" w14:textId="77777777" w:rsidR="006A6424" w:rsidRPr="006A6424" w:rsidRDefault="006A6424" w:rsidP="003F57E3">
      <w:pPr>
        <w:rPr>
          <w:lang w:eastAsia="en-NZ"/>
        </w:rPr>
      </w:pPr>
      <w:r w:rsidRPr="006A6424">
        <w:rPr>
          <w:lang w:eastAsia="en-NZ"/>
        </w:rPr>
        <w:t xml:space="preserve">The City Rail Link is the natural test of whether this can be corrected. It is expected to bring Auckland’s commutable catchment share much closer to peer benchmarks, and the benchmarking report sets a 2030 marker of more than one million residents within 45 minutes door-to-door of the city centre by public transport (The Business of Cities &amp; Committee for Auckland, 2026). Whether that materialises depends only partly on the rail project itself. It depends on feeder bus frequency and reliability, and above all on whether growth is directed to the new and existing rail catchments — which is a land use decision, not a transport one.</w:t>
      </w:r>
    </w:p>
    <w:p w14:paraId="39B45391"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55F6B79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EF0F59"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22CB934" w14:textId="77777777" w:rsidR="006A6424" w:rsidRDefault="006A6424" w:rsidP="003F57E3">
      <w:pPr>
        <w:rPr>
          <w:i/>
          <w:iCs/>
          <w:lang w:eastAsia="en-NZ"/>
        </w:rPr>
      </w:pPr>
      <w: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Figure 8 shows the resulting employment surface: a single dominant peak in the city centre, the university precinct immediately beside it, and secondary concentrations at Takapuna, Newmarket, Ellerslie, Middlemore, Manukau, Albany and Henderson that are an order of magnitude smaller.</w:t>
      </w:r>
    </w:p>
    <w:p w14:paraId="252D0C7B" w14:textId="53AA21C0" w:rsidR="005A107C" w:rsidRPr="005A107C" w:rsidRDefault="005A107C" w:rsidP="005A107C">
      <w:pPr>
        <w:pStyle w:val="Caption"/>
      </w:pPr>
      <w:r>
        <w:t xml:space="preserve">Figure 8: Distribution of jobs in Auckland on CRL opening day, by H3 hexagon (Auckland Council and Auckland Transport, 2026, p. 41)</w:t>
      </w:r>
    </w:p>
    <w:p w14:paraId="2DEDAF81" w14:textId="2587CFD7" w:rsidR="005A107C" w:rsidRPr="006A6424" w:rsidRDefault="005A107C" w:rsidP="003F57E3">
      <w:pPr>
        <w:rPr>
          <w:lang w:eastAsia="en-NZ"/>
        </w:rPr>
      </w:pPr>
      <w:r>
        <w:drawing>
          <wp:inline xmlns:a="http://schemas.openxmlformats.org/drawingml/2006/main" xmlns:pic="http://schemas.openxmlformats.org/drawingml/2006/picture">
            <wp:extent cx="4896000" cy="6039621"/>
            <wp:docPr id="2003787486" name="Picture 2003787486"/>
            <wp:cNvGraphicFramePr>
              <a:graphicFrameLocks noChangeAspect="1"/>
            </wp:cNvGraphicFramePr>
            <a:graphic>
              <a:graphicData uri="http://schemas.openxmlformats.org/drawingml/2006/picture">
                <pic:pic>
                  <pic:nvPicPr>
                    <pic:cNvPr id="0" name="figure-08-auckland-job-distribution.png"/>
                    <pic:cNvPicPr/>
                  </pic:nvPicPr>
                  <pic:blipFill>
                    <a:blip r:embed="rId27"/>
                    <a:stretch>
                      <a:fillRect/>
                    </a:stretch>
                  </pic:blipFill>
                  <pic:spPr>
                    <a:xfrm>
                      <a:off x="0" y="0"/>
                      <a:ext cx="4896000" cy="6039621"/>
                    </a:xfrm>
                    <a:prstGeom prst="rect"/>
                  </pic:spPr>
                </pic:pic>
              </a:graphicData>
            </a:graphic>
          </wp:inline>
        </w:drawing>
      </w:r>
    </w:p>
    <w:p w14:paraId="122CB934" w14:textId="77777777" w:rsidR="006A6424" w:rsidRDefault="006A6424" w:rsidP="003F57E3">
      <w:pPr>
        <w:rPr>
          <w:i/>
          <w:iCs/>
          <w:lang w:eastAsia="en-NZ"/>
        </w:rPr>
      </w:pPr>
      <w:r>
        <w:t xml:space="preserve">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Māngere, Titirangi or Botany Downs, and south of Takanini fewer than 100,000 jobs are accessible even by car (Auckland Transport, 2021).</w:t>
      </w:r>
    </w:p>
    <w:p w14:paraId="252D0C7B" w14:textId="53AA21C0" w:rsidR="005A107C" w:rsidRPr="005A107C" w:rsidRDefault="005A107C" w:rsidP="005A107C">
      <w:pPr>
        <w:pStyle w:val="Caption"/>
      </w:pPr>
      <w:r>
        <w:t>Figure 9: Number of Jobs Accessible by Mode from locations within Auckland (2031)</w:t>
      </w:r>
    </w:p>
    <w:p w14:paraId="2DEDAF81" w14:textId="2587CFD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1"/>
                    <a:stretch>
                      <a:fillRect/>
                    </a:stretch>
                  </pic:blipFill>
                  <pic:spPr>
                    <a:xfrm>
                      <a:off x="0" y="0"/>
                      <a:ext cx="6116320" cy="3571240"/>
                    </a:xfrm>
                    <a:prstGeom prst="rect">
                      <a:avLst/>
                    </a:prstGeom>
                  </pic:spPr>
                </pic:pic>
              </a:graphicData>
            </a:graphic>
          </wp:inline>
        </w:drawing>
      </w:r>
    </w:p>
    <w:p w14:paraId="58C9BAB5"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w:t>
      </w:r>
      <w:r w:rsidRPr="006A6424">
        <w:rPr>
          <w:lang w:eastAsia="en-NZ"/>
        </w:rPr>
        <w:lastRenderedPageBreak/>
        <w:t xml:space="preserve">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4E0CA22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4E0CA225" w14:textId="77777777" w:rsidR="006A6424" w:rsidRPr="006A6424" w:rsidRDefault="006A6424" w:rsidP="003F57E3">
      <w:pPr>
        <w:rPr>
          <w:lang w:eastAsia="en-NZ"/>
        </w:rPr>
      </w:pPr>
      <w:r w:rsidRPr="006A6424">
        <w:rPr>
          <w:lang w:eastAsia="en-NZ"/>
        </w:rPr>
        <w:t xml:space="preserve">The 2026 benchmarking evidence indicates this gap is widening rather than closing. Its finding is stated plainly: “the distance between where Aucklanders live and where jobs are being created is rising, creating a key drag on medium-term productivity and liveability.” Businesses are being created fastest in the inner suburbs, while most new housing is going elsewhere — a spatial mismatch that “raises travel times and recruitment challenges” (The Business of Cities &amp; Committee for Auckland, 2026, p. 46). This is the mechanism of this section observed directly in the data, and it names both sides of the loss: workers lose accessibility, and firms lose matching depth. It also explains why housing volume alone is insufficient. New dwellings added at distance from where employment is forming add to the nominal city without adding to the effective labour market of either party.</w:t>
      </w:r>
      <w:proofErr w:type="gramStart"/>
      <w:proofErr w:type="gramEnd"/>
    </w:p>
    <w:p w14:paraId="4E0CA225" w14:textId="77777777" w:rsidR="006A6424" w:rsidRPr="006A6424" w:rsidRDefault="006A6424" w:rsidP="003F57E3">
      <w:pPr>
        <w:rPr>
          <w:lang w:eastAsia="en-NZ"/>
        </w:rPr>
      </w:pPr>
      <w:r w:rsidRPr="006A6424">
        <w:rPr>
          <w:lang w:eastAsia="en-NZ"/>
        </w:rPr>
        <w:t xml:space="preserve">The same pattern constrains the city centre from the other end. Auckland’s centre generates more than 20% of regional GDP, but a smaller share of Aucklanders live within a convenient commute of it than in most comparable cities (The Business of Cities &amp; Committee for Auckland, 2026). The productivity value of a job concentration depends on how many workers can reach it, not on how many jobs it contains: a centre with 160,000 jobs and a thin catchment realises less agglomeration benefit than the raw job count implies. Auckland’s centre is, on these measures, a deep labour market that too few Aucklanders can actually access.</w:t>
      </w:r>
      <w:proofErr w:type="gramStart"/>
      <w:proofErr w:type="gramEnd"/>
    </w:p>
    <w:p w14:paraId="55B550F6"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27EFE04F"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387D029A"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2ED9A7DC"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6F097B8F"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9D61894"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0579DAE2" w14:textId="77777777" w:rsidR="006A6424" w:rsidRPr="006A6424" w:rsidRDefault="006A6424" w:rsidP="003F57E3">
      <w:pPr>
        <w:rPr>
          <w:lang w:eastAsia="en-NZ"/>
        </w:rPr>
      </w:pPr>
      <w:r w:rsidRPr="006A6424">
        <w:rPr>
          <w:lang w:eastAsia="en-NZ"/>
        </w:rPr>
        <w:t xml:space="preserve">This matters because delivering effective urban outcomes requires these components to operate jointly. Where planning, funding, and delivery are not fully aligned, outcomes are shaped by the </w:t>
      </w:r>
      <w:r w:rsidRPr="006A6424">
        <w:rPr>
          <w:lang w:eastAsia="en-NZ"/>
        </w:rPr>
        <w:lastRenderedPageBreak/>
        <w:t>interaction of separate decisions rather than a single integrated approach. This can slow responses to growth and limit the system's ability to optimise spatial outcomes.</w:t>
      </w:r>
    </w:p>
    <w:p w14:paraId="2ECEBFE8"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4CA4FCC6"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0821B6F" w14:textId="77777777" w:rsidR="004C268F" w:rsidRPr="006A6424" w:rsidRDefault="004C268F" w:rsidP="003F57E3">
      <w:pPr>
        <w:rPr>
          <w:lang w:eastAsia="en-NZ"/>
        </w:rPr>
      </w:pPr>
      <w:r>
        <w:rPr>
          <w:lang w:eastAsia="en-NZ"/>
        </w:rPr>
        <w:t xml:space="preserve">The ‘super city’ reforms, and subsequent spatial plan, were both extremely important steps in the right direction, but there is some way still to go, and 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4A63538E"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F894D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316FC67A"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281E0406"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228D1B85"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1A657FC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42E3D38E"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937B565"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2936B01F"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320F533B"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10F8BA3B"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310D1AF6"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5ED02BA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732883A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744FAEE0"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FF4C87A"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5CBBC8F6" w14:textId="77777777" w:rsidR="00920D09" w:rsidRDefault="00920D09">
      <w:pPr>
        <w:spacing w:after="0"/>
        <w:rPr>
          <w:lang w:eastAsia="en-NZ"/>
        </w:rPr>
      </w:pPr>
      <w:r>
        <w:rPr>
          <w:lang w:eastAsia="en-NZ"/>
        </w:rPr>
        <w:br w:type="page"/>
      </w:r>
    </w:p>
    <w:p w14:paraId="2B195AA3" w14:textId="77777777" w:rsidR="006A6424" w:rsidRPr="006A6424" w:rsidRDefault="006A6424" w:rsidP="003F57E3">
      <w:pPr>
        <w:pStyle w:val="Heading2"/>
        <w:rPr>
          <w:rFonts w:eastAsia="Times New Roman"/>
          <w:lang w:eastAsia="en-NZ"/>
        </w:rPr>
      </w:pPr>
      <w:bookmarkStart w:id="9" w:name="_Toc234827735"/>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06B6EDD2"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32CE3328"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2B8D6345"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w:t>
      </w:r>
    </w:p>
    <w:p w14:paraId="6A260A75"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506C13C7"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5D3F9AFF"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6C2A2371"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name ‘tangata whenua’; the indivisibility of iwi and rohe is a central part of this national character.</w:t>
      </w:r>
    </w:p>
    <w:p w14:paraId="279E9B17"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14:paraId="0AB090B5"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32AC30F1" w14:textId="77777777" w:rsidR="004C268F" w:rsidRDefault="004C268F">
      <w:pPr>
        <w:spacing w:after="0"/>
        <w:rPr>
          <w:rFonts w:asciiTheme="majorHAnsi" w:eastAsiaTheme="majorEastAsia" w:hAnsiTheme="majorHAnsi" w:cstheme="majorBidi"/>
          <w:b/>
          <w:sz w:val="32"/>
          <w:szCs w:val="32"/>
        </w:rPr>
      </w:pPr>
      <w:r>
        <w:br w:type="page"/>
      </w:r>
    </w:p>
    <w:p w14:paraId="12DE6871" w14:textId="77777777" w:rsidR="00AF1867" w:rsidRDefault="00AF1867" w:rsidP="00AF1867">
      <w:pPr>
        <w:pStyle w:val="Heading2"/>
        <w:rPr>
          <w:rFonts w:eastAsia="Times New Roman"/>
          <w:lang w:eastAsia="en-NZ"/>
        </w:rPr>
      </w:pPr>
      <w:bookmarkStart w:id="10" w:name="_Toc234827736"/>
      <w:r>
        <w:lastRenderedPageBreak/>
        <w:t>7. New Zealand's Final Frontier</w:t>
      </w:r>
      <w:bookmarkEnd w:id="10"/>
    </w:p>
    <w:p w14:paraId="79597730"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783E58DB" w14:textId="77777777" w:rsidR="00265A65" w:rsidRDefault="00505D4B">
      <w:r>
        <w:t>A more provocative interpretation is possible.</w:t>
      </w:r>
    </w:p>
    <w:p w14:paraId="0AE3C378" w14:textId="77777777" w:rsidR="00265A65" w:rsidRDefault="00505D4B">
      <w:r>
        <w:rPr>
          <w:b/>
        </w:rPr>
        <w:t>New Zealand's productivity problem is an Auckland frontier</w:t>
      </w:r>
      <w:r w:rsidR="000424AB">
        <w:rPr>
          <w:b/>
        </w:rPr>
        <w:t xml:space="preserve"> </w:t>
      </w:r>
      <w:r>
        <w:rPr>
          <w:b/>
        </w:rPr>
        <w:t>firm problem.</w:t>
      </w:r>
    </w:p>
    <w:p w14:paraId="5ECE9A73"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37080F09"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4B359D44"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62DF211A"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2505D5C3" w14:textId="77777777" w:rsidR="00265A65" w:rsidRDefault="00505D4B">
      <w:r>
        <w:t>Viewed through a spatial lens, these are eye-opening descriptions. Almost every ingredient identified by the Productivity Commission is also an urban phenomenon.</w:t>
      </w:r>
    </w:p>
    <w:p w14:paraId="6BE66238"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052EA05" w14:textId="77777777" w:rsidR="008B4DDF" w:rsidRDefault="0071405A">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07E8760C" w14:textId="77777777" w:rsidR="00265A65" w:rsidRDefault="00505D4B">
      <w:r>
        <w:lastRenderedPageBreak/>
        <w:t>If this is true, then the frontier firm question becomes spatial. More specifically, in the New Zealand context it becomes metropolitan, and in New Zealand, metropolitan means Auckland.</w:t>
      </w:r>
    </w:p>
    <w:p w14:paraId="7C054E9F"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pPr/>
      <w:r>
        <w:t>This is not merely inference. Firm-level analysis of the Longitudinal Business Database finds that New Zealand's productivity frontier is more spatially concentrated than economic activity generally: the three major cities hold 48% of firms and 63% of employment, but 52% of national-frontier firms and 73% of frontier-firm employment — and the services frontier, the relevant one here, is disproportionately clustered in them, with Auckland much the largest component (Zheng, 2016). The frontier is not hypothetically metropolitan; it is measurably concentrated in New Zealand's major cities, and above all in Auckland.</w:t>
      </w:r>
    </w:p>
    <w:p w14:paraId="72A6350B"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D4DCB5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6D4DCB53" w14:textId="77777777" w:rsidR="00265A65" w:rsidRDefault="00505D4B">
      <w:r>
        <w:t xml:space="preserve">There is now direct evidence on the skills side of that hypothesis. Auckland’s highly-skilled population premium over the rest of New Zealand is only 8 percentage points, placing it behind Dublin, Lisbon, Stockholm and Oslo and giving it “less of a ‘gateway premium’ than most peer regions”. The 2026 report attributes to this thin premium exactly the consequences the frontier-firm argument would predict: “slower productivity gains from job-switching and specialist depth, fewer pathways for New Zealanders into higher-value roles, and large knowledge-intensive firms forming less readily” (The Business of Cities &amp; Committee for Auckland, 2026, p. 22). That is not a causal estimate, and it should not be read as one. But it is the mechanism named independently, by benchmarking analysts working from a different evidence base and with no stake in this paper’s argument — and the thin skill premium is the labour-market counterpart of the thin productivity premium documented in Section 5.</w:t>
      </w:r>
    </w:p>
    <w:p w14:paraId="6D4DCB53" w14:textId="77777777" w:rsidR="00265A65" w:rsidRDefault="00505D4B">
      <w:r>
        <w:t xml:space="preserve">The innovation evidence points the same way, and is more equivocal in an instructive fashion. Auckland has genuinely improved: its startup ecosystem rose 11 places to 75th strongest globally, its enterprise value has multiplied nineteenfold since 2019, and it is the only OECD city among the top 17 “rising stars” of more than 300 assessed. It also holds between 48% and 55% of New Zealand’s stock of internationally visible investable firms, with the share rising among larger, better-funded and more recently founded companies, and it is decisively clear of Wellington (141st) and Christchurch (261st) — particularly at the point companies reach breakout stage (The Business of Cities &amp; Committee for Auckland, 2026). This corroborates, on a different and more recent data source, the frontier concentration Zheng (2016) identified in the firm-level data.</w:t>
      </w:r>
    </w:p>
    <w:p w14:paraId="6D4DCB53" w14:textId="77777777" w:rsidR="00265A65" w:rsidRDefault="00505D4B">
      <w:r>
        <w:t xml:space="preserve">But the ecosystem thins precisely where the Productivity Commission’s account says it must hold. Auckland’s alumni founder base is less than half the size of Lisbon’s, Helsinki’s or Vancouver’s, and its “position weakens at each stage of business growth”. The share of corporates in its technology ecosystem is half that of Vancouver or Dublin, “which makes it harder for reference customers, later-stage capital and first commercial deals to land”. Scale-ups absorb 50% of the venture capital deployed in Auckland against 29% globally, indicating limited capital for earlier-stage firms. And the report finds that peer cities retain more businesses as they add staff and raise external capital, with New Zealand firms appearing “to move offshore earlier, weakening Auckland’s role as a home for high-quality growth companies” (The Business of Cities &amp; Committee for Auckland, 2026, pp. 22, 26, 28).</w:t>
      </w:r>
    </w:p>
    <w:p w14:paraId="6D4DCB53" w14:textId="77777777" w:rsidR="00265A65" w:rsidRDefault="00505D4B">
      <w:r>
        <w:t xml:space="preserve">Read against the Productivity Commission’s description of what frontier firm ecosystems require — anchor firms providing canopy cover, deep investor networks, pipelines of skilled workers, specialised suppliers — this is a list of missing ingredients rather than a list of missing firms. Auckland is generating frontier-firm candidates at a rate that is now internationally visible. What it is not doing is holding them, capitalising them, or surrounding them with the corporate and institutional depth that would let them scale in place. That is a description of an ecosystem problem, and ecosystems are metropolitan artefacts.</w:t>
      </w:r>
    </w:p>
    <w:p w14:paraId="5C7E1162"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6B6DBB89" w14:textId="77777777" w:rsidR="00265A65" w:rsidRDefault="00505D4B">
      <w:r>
        <w:t>Parts of this hypothesis require further testing, and the Productivity Commission does not make the argument directly. But its central premise is no longer speculative: the national productivity frontier is measurably concentrated in New Zealand's major cities, and above all in Auckland (Zheng, 2016). If frontier firms depend on metropolitan ecosystems, and Auckland is New Zealand's only metropolitan ecosystem of international scale, then the performance of Auckland is unlikely to be merely one productivity issue among many. It is the most important one.</w:t>
      </w:r>
    </w:p>
    <w:p w14:paraId="6BC055ED" w14:textId="77777777" w:rsidR="00265A65" w:rsidRDefault="00505D4B">
      <w:r>
        <w:t>Under that interpretation, improving Auckland's performance is not principally a regional policy objective. It is a national productivity strategy.</w:t>
      </w:r>
    </w:p>
    <w:p w14:paraId="4CAD5950"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3148216A" w14:textId="77777777" w:rsidR="006A6424" w:rsidRPr="006A6424" w:rsidRDefault="00AF1867" w:rsidP="003F57E3">
      <w:pPr>
        <w:pStyle w:val="Heading2"/>
        <w:rPr>
          <w:rFonts w:eastAsia="Times New Roman"/>
          <w:lang w:eastAsia="en-NZ"/>
        </w:rPr>
      </w:pPr>
      <w:bookmarkStart w:id="11" w:name="_Toc234827737"/>
      <w:r>
        <w:rPr>
          <w:rFonts w:eastAsia="Times New Roman"/>
          <w:lang w:eastAsia="en-NZ"/>
        </w:rPr>
        <w:lastRenderedPageBreak/>
        <w:t>8</w:t>
      </w:r>
      <w:r w:rsidR="006A6424" w:rsidRPr="006A6424">
        <w:rPr>
          <w:rFonts w:eastAsia="Times New Roman"/>
          <w:lang w:eastAsia="en-NZ"/>
        </w:rPr>
        <w:t>. Implications for Policy</w:t>
      </w:r>
      <w:bookmarkEnd w:id="11"/>
    </w:p>
    <w:p w14:paraId="3736A0B2"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45BFA78D"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648BB2B9"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5E544FA0"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637FA6F5" w14:textId="77777777"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3334EC2E" w14:textId="77777777"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557F20"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3AFA9D02" w14:textId="77777777" w:rsidR="006A6424" w:rsidRPr="006A6424" w:rsidRDefault="00AF1867" w:rsidP="004C2E47">
      <w:pPr>
        <w:pStyle w:val="Heading2"/>
        <w:rPr>
          <w:rFonts w:eastAsia="Times New Roman"/>
          <w:lang w:eastAsia="en-NZ"/>
        </w:rPr>
      </w:pPr>
      <w:bookmarkStart w:id="12" w:name="_Toc234827738"/>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14:paraId="3B6619E9" w14:textId="77777777" w:rsidR="008B4DDF" w:rsidRDefault="0071405A">
      <w:r>
        <w:rPr>
          <w:b/>
        </w:rPr>
        <w:t>The Missing Institution</w:t>
      </w:r>
    </w:p>
    <w:p w14:paraId="56FCE4B9" w14:textId="77777777" w:rsidR="008B4DDF" w:rsidRDefault="0071405A">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3EDF6852" w14:textId="77777777" w:rsidR="008B4DDF" w:rsidRDefault="0071405A">
      <w:r>
        <w:t xml:space="preserve">This leaves a persistent institutional gap despite the creation of MCERT. Many agencies are responsible for delivering parts of the spatial system, but no agency is clearly responsible for ensuring that the system </w:t>
      </w:r>
      <w:proofErr w:type="gramStart"/>
      <w:r>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1BB1E6D6" w14:textId="77777777" w:rsidR="008B4DDF" w:rsidRDefault="0071405A">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12F15971"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5000F248" w14:textId="77777777" w:rsidR="00425772" w:rsidRDefault="00425772" w:rsidP="00425772">
      <w:r>
        <w:t>The next steps from that idea can be boiled down to a couple of simple propositions –</w:t>
      </w:r>
    </w:p>
    <w:p w14:paraId="4F5B90C4" w14:textId="77777777"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6CD9C87" w14:textId="77777777" w:rsidR="00717D67" w:rsidRDefault="00717D67" w:rsidP="00717D67">
      <w:pPr>
        <w:pStyle w:val="ListParagraph"/>
        <w:numPr>
          <w:ilvl w:val="0"/>
          <w:numId w:val="0"/>
        </w:numPr>
        <w:ind w:left="720"/>
      </w:pPr>
    </w:p>
    <w:p w14:paraId="18FA9B0C" w14:textId="77777777"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611AD115" w14:textId="77777777" w:rsidR="00717D67" w:rsidRDefault="00717D67" w:rsidP="00717D67">
      <w:pPr>
        <w:pStyle w:val="ListParagraph"/>
        <w:numPr>
          <w:ilvl w:val="0"/>
          <w:numId w:val="0"/>
        </w:numPr>
        <w:ind w:left="283"/>
      </w:pPr>
    </w:p>
    <w:p w14:paraId="5CD3F588" w14:textId="77777777" w:rsidR="006E34E0" w:rsidRDefault="006E34E0">
      <w:pPr>
        <w:rPr>
          <w:kern w:val="2"/>
          <w:lang w:eastAsia="en-NZ"/>
          <w14:ligatures w14:val="standardContextual"/>
        </w:rPr>
      </w:pPr>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4A7F599E" w14:textId="77777777" w:rsidR="006E34E0" w:rsidRDefault="006E34E0">
      <w:pPr>
        <w:rPr>
          <w:kern w:val="2"/>
          <w:lang w:eastAsia="en-NZ"/>
          <w14:ligatures w14:val="standardContextual"/>
        </w:rPr>
      </w:pPr>
      <w:r>
        <w:t xml:space="preserve">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w:t>
      </w:r>
      <w:r>
        <w:lastRenderedPageBreak/>
        <w:t>policy deepens labour markets, improves access to productive locations, supports frontier-firm ecosystems and reduces the frictions that currently turn scale into cost.</w:t>
      </w:r>
    </w:p>
    <w:p w14:paraId="129DDBDE"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08827A"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5A827050"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591B9FC7" w14:textId="77777777" w:rsidR="00425772" w:rsidRDefault="00425772" w:rsidP="00425772"/>
    <w:p w14:paraId="13CD72A8" w14:textId="77777777" w:rsidR="00425772" w:rsidRPr="00425772" w:rsidRDefault="00425772" w:rsidP="00425772"/>
    <w:p w14:paraId="4BB456F2"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4827739"/>
      <w:r w:rsidR="006A6424" w:rsidRPr="009B2F01">
        <w:rPr>
          <w:lang w:eastAsia="en-NZ"/>
        </w:rPr>
        <w:lastRenderedPageBreak/>
        <w:t>Bibliography</w:t>
      </w:r>
      <w:bookmarkEnd w:id="13"/>
    </w:p>
    <w:p w14:paraId="6078596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040BB0C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4F8A41CC"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060B1816" w14:textId="77777777" w:rsidR="006A6424" w:rsidRPr="006A6424" w:rsidRDefault="006A6424" w:rsidP="00425772">
      <w:pPr>
        <w:rPr>
          <w:lang w:eastAsia="en-NZ"/>
        </w:rPr>
      </w:pPr>
      <w:r>
        <w:t xml:space="preserve">Auckland Council and Auckland Transport. (2026). </w:t>
      </w:r>
      <w:r>
        <w:rPr>
          <w:i/>
        </w:rPr>
        <w:t xml:space="preserve">City Rail Link Benefits Realisation Plan</w:t>
      </w:r>
      <w:r>
        <w:t xml:space="preserve">. July 2026, Version 10. Prepared by Invise, UrbanUmber and Ascari. Auckland: Auckland Council.</w:t>
      </w:r>
    </w:p>
    <w:p w14:paraId="060B1816"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4E925244"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72A7C9D3"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9F68895"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71E28961"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1ABD327F"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1ABD327F" w14:textId="77777777" w:rsidR="006A6424" w:rsidRPr="006A6424" w:rsidRDefault="006A6424" w:rsidP="00425772">
      <w:pPr>
        <w:rPr>
          <w:lang w:eastAsia="en-NZ"/>
        </w:rPr>
      </w:pPr>
      <w:proofErr w:type="spellStart"/>
      <w:proofErr w:type="spellEnd"/>
      <w:r w:rsidRPr="006A6424">
        <w:rPr>
          <w:lang w:eastAsia="en-NZ"/>
        </w:rPr>
        <w:t xml:space="preserve">The Business of Cities and Committee for Auckland. (2026). </w:t>
      </w:r>
      <w:r w:rsidRPr="006A6424">
        <w:rPr>
          <w:i/>
          <w:iCs/>
          <w:lang w:eastAsia="en-NZ"/>
        </w:rPr>
        <w:t xml:space="preserve">State of the City 2026: Evidence and insights for Auckland’s Action Agenda</w:t>
      </w:r>
      <w:r w:rsidRPr="006A6424">
        <w:rPr>
          <w:lang w:eastAsia="en-NZ"/>
        </w:rPr>
        <w:t xml:space="preserve">. Auckland: Committee for Auckland.</w:t>
      </w:r>
    </w:p>
    <w:p w14:paraId="6746E71C"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261D071F"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2021-026/VIII. Amsterdam: Tinbergen Institute.</w:t>
      </w:r>
    </w:p>
    <w:p w14:paraId="42A703F5" w14:textId="77777777" w:rsidR="006A6424" w:rsidRPr="006A6424" w:rsidRDefault="006A6424" w:rsidP="00425772">
      <w:pPr>
        <w:rPr>
          <w:lang w:eastAsia="en-NZ"/>
        </w:rPr>
      </w:pPr>
      <w:r w:rsidRPr="006A6424">
        <w:rPr>
          <w:lang w:eastAsia="en-NZ"/>
        </w:rPr>
        <w:t>Donovan, S., de Graaff, T., Grimes, A., de Groot, H.L.F. and Maré, D.C. (2022). Cities with forking paths? Agglomeration economies in New Zealand 1976–2018. </w:t>
      </w:r>
      <w:r w:rsidRPr="006A6424">
        <w:rPr>
          <w:i/>
          <w:iCs/>
          <w:lang w:eastAsia="en-NZ"/>
        </w:rPr>
        <w:t>Regional Science and Urban Economics</w:t>
      </w:r>
      <w:r w:rsidRPr="006A6424">
        <w:rPr>
          <w:lang w:eastAsia="en-NZ"/>
        </w:rPr>
        <w:t>, 95, Article 103799.</w:t>
      </w:r>
    </w:p>
    <w:p w14:paraId="1C4FA3B9"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648C241"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20510D7C"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0455F8C0"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7134981E"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9BCA3D9"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4E67381" w14:textId="77777777" w:rsidR="006A6424" w:rsidRPr="006A6424" w:rsidRDefault="006A6424" w:rsidP="00425772">
      <w:pPr>
        <w:rPr>
          <w:lang w:eastAsia="en-NZ"/>
        </w:rPr>
      </w:pPr>
      <w:r/>
      <w:r>
        <w:t xml:space="preserve">Ministry of Housing and Urban Development. (2024). </w:t>
      </w:r>
      <w:r>
        <w:rPr>
          <w:i/>
        </w:rPr>
        <w:t>Research on housing as an enabler of economic growth and productivity</w:t>
      </w:r>
      <w:r>
        <w:t xml:space="preserve"> (Aide-memoire HUD2024-003621, 8 March 2024). Wellington: New Zealand Government. Proactively released. https://www.hud.govt.nz/documents/hud2024-003621-research-on-housing-as-an-enabler-of-economic-growth-and-productivity</w:t>
      </w:r>
    </w:p>
    <w:p w14:paraId="37E9F42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25476EC8"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4071AB80"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63CD13DB"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4D7FA7E7"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35591F9C"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371E8395"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28AAB1CA"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377350E0"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5DF26795"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5E6AE95F"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4687C637" w14:textId="77777777" w:rsidR="006A6424" w:rsidRPr="006A6424" w:rsidRDefault="006A6424" w:rsidP="00425772">
      <w:pPr>
        <w:rPr>
          <w:lang w:eastAsia="en-NZ"/>
        </w:rPr>
      </w:pPr>
      <w:r>
        <w:t xml:space="preserve">Statistics New Zealand. (2025). </w:t>
      </w:r>
      <w:r>
        <w:rPr>
          <w:i/>
        </w:rPr>
        <w:t>Subnational population estimates: At 30 June 2025</w:t>
      </w:r>
      <w:r>
        <w:t>. Wellington: Statistics New Zealand.</w:t>
      </w:r>
    </w:p>
    <w:p w14:paraId="4687C637"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77CA089" w14:textId="77777777" w:rsidR="006A6424" w:rsidRPr="006A6424" w:rsidRDefault="006A6424" w:rsidP="00425772">
      <w:pPr>
        <w:rPr>
          <w:lang w:eastAsia="en-NZ"/>
        </w:rPr>
      </w:pPr>
      <w:r w:rsidRPr="006A6424">
        <w:rPr>
          <w:lang w:eastAsia="en-NZ"/>
        </w:rPr>
        <w:lastRenderedPageBreak/>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377CA089" w14:textId="77777777" w:rsidR="006A6424" w:rsidRPr="006A6424" w:rsidRDefault="006A6424" w:rsidP="00425772">
      <w:pPr>
        <w:rPr>
          <w:lang w:eastAsia="en-NZ"/>
        </w:rPr>
      </w:pPr>
      <w:r>
        <w:t xml:space="preserve">Zheng, G. (2016). </w:t>
      </w:r>
      <w:r>
        <w:rPr>
          <w:i/>
        </w:rPr>
        <w:t>Geographic proximity and productivity convergence across New Zealand firms</w:t>
      </w:r>
      <w:r>
        <w:t>. New Zealand Productivity Commission Working Paper 2016/04. Wellington: New Zealand Productivity Commission. https://www.treasury.govt.nz/publications/geographic-proximity-and-productivity-convergence-across-new-zealand-firms-pcwp-2016-04</w:t>
      </w:r>
    </w:p>
    <w:p w14:paraId="432786B4" w14:textId="77777777" w:rsidR="0017741E" w:rsidRPr="00B22259" w:rsidRDefault="0017741E" w:rsidP="006A6424">
      <w:pPr>
        <w:pStyle w:val="Heading1"/>
      </w:pPr>
    </w:p>
    <w:sectPr w:rsidR="0017741E" w:rsidRPr="00B22259" w:rsidSect="00D2741D">
      <w:headerReference w:type="default" r:id="rId22"/>
      <w:footerReference w:type="default" r:id="rId23"/>
      <w:footerReference w:type="first" r:id="rId24"/>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2871" w14:textId="77777777" w:rsidR="00943D25" w:rsidRPr="006A6424" w:rsidRDefault="00943D25" w:rsidP="004434DB">
      <w:r w:rsidRPr="006A6424">
        <w:separator/>
      </w:r>
    </w:p>
  </w:endnote>
  <w:endnote w:type="continuationSeparator" w:id="0">
    <w:p w14:paraId="0EE42335" w14:textId="77777777" w:rsidR="00943D25" w:rsidRPr="006A6424" w:rsidRDefault="00943D25"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301A2C34" w14:textId="77777777" w:rsidTr="00556981">
      <w:tc>
        <w:tcPr>
          <w:tcW w:w="7938" w:type="dxa"/>
        </w:tcPr>
        <w:p w14:paraId="4D6E7C84" w14:textId="54756C8A" w:rsidR="00556981" w:rsidRPr="006A6424" w:rsidRDefault="00556981" w:rsidP="004434DB">
          <w:pPr>
            <w:pStyle w:val="Footer"/>
          </w:pPr>
        </w:p>
      </w:tc>
      <w:tc>
        <w:tcPr>
          <w:tcW w:w="1694" w:type="dxa"/>
        </w:tcPr>
        <w:p w14:paraId="22ABB3B7"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771E8D9F"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2851A7E" w14:textId="77777777" w:rsidTr="00C93AFC">
      <w:tc>
        <w:tcPr>
          <w:tcW w:w="7938" w:type="dxa"/>
        </w:tcPr>
        <w:p w14:paraId="03F0A72B" w14:textId="43DB919F" w:rsidR="003C54FF" w:rsidRPr="006A6424" w:rsidRDefault="005A2AAB" w:rsidP="003C54FF">
          <w:pPr>
            <w:pStyle w:val="Footer"/>
          </w:pPr>
          <w:r>
            <w:t>Cities and Spatial Policy</w:t>
          </w:r>
        </w:p>
      </w:tc>
      <w:tc>
        <w:tcPr>
          <w:tcW w:w="1694" w:type="dxa"/>
        </w:tcPr>
        <w:p w14:paraId="4249C130"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7561542"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558BDA32" w14:textId="77777777" w:rsidTr="00556981">
      <w:tc>
        <w:tcPr>
          <w:tcW w:w="8222" w:type="dxa"/>
        </w:tcPr>
        <w:p w14:paraId="79F84BF2" w14:textId="0213EC63"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45868AE9"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13E89ED"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7E2EF308" w14:textId="77777777" w:rsidTr="00E258CF">
      <w:tc>
        <w:tcPr>
          <w:tcW w:w="8217" w:type="dxa"/>
        </w:tcPr>
        <w:p w14:paraId="794A3AD7" w14:textId="25FE79FE"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2FC0454A"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A2E8139"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409F" w14:textId="77777777" w:rsidR="00943D25" w:rsidRPr="006A6424" w:rsidRDefault="00943D25" w:rsidP="004434DB">
      <w:bookmarkStart w:id="0" w:name="_Hlk104460753"/>
      <w:bookmarkEnd w:id="0"/>
      <w:r w:rsidRPr="006A6424">
        <w:separator/>
      </w:r>
    </w:p>
  </w:footnote>
  <w:footnote w:type="continuationSeparator" w:id="0">
    <w:p w14:paraId="65141BC1" w14:textId="77777777" w:rsidR="00943D25" w:rsidRPr="006A6424" w:rsidRDefault="00943D25"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4A8"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7A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224F"/>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858BC"/>
    <w:rsid w:val="001927B5"/>
    <w:rsid w:val="001B6714"/>
    <w:rsid w:val="001D3A83"/>
    <w:rsid w:val="001D7310"/>
    <w:rsid w:val="00205378"/>
    <w:rsid w:val="002152AB"/>
    <w:rsid w:val="002268F7"/>
    <w:rsid w:val="00265A65"/>
    <w:rsid w:val="00267918"/>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5533B"/>
    <w:rsid w:val="006606F0"/>
    <w:rsid w:val="00661336"/>
    <w:rsid w:val="0066185C"/>
    <w:rsid w:val="00676627"/>
    <w:rsid w:val="00694235"/>
    <w:rsid w:val="006958E4"/>
    <w:rsid w:val="006A53F6"/>
    <w:rsid w:val="006A6424"/>
    <w:rsid w:val="006C5C32"/>
    <w:rsid w:val="006D3167"/>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2AB0"/>
    <w:rsid w:val="00817008"/>
    <w:rsid w:val="00820C81"/>
    <w:rsid w:val="00830B3A"/>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6963"/>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B7F87"/>
    <w:rsid w:val="00ED5A80"/>
    <w:rsid w:val="00F10D62"/>
    <w:rsid w:val="00F11AA7"/>
    <w:rsid w:val="00F175F9"/>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2512"/>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eader" Target="header2.xml"/><Relationship Id="rId27"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52CC4972-DB7C-46FF-AEF2-26538A21BD3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B7DD4CE-71DD-44FB-8DAD-43D7C05C275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31FD4853-A95B-4D98-8510-AF1F80E9BB4A}"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F30D57E-89A3-4087-AA96-8499176B6B47}"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676BDE6-AC12-44D4-93A7-57D7DE249EB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20B19FCE-301F-4A7B-A1C5-06AC8583BF2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2051821-A17E-4422-AFCF-5DD657A127D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D34EF09C-71B1-44B9-9CA3-9AAA574C6B6F}"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A4E58B82-C361-4AA0-BFD5-516D34F88B6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9061B25-1308-46B0-91C1-D7372B4FA083}"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E3E1EA97-0416-4D18-A84C-5BBB9C68336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1BF81EA3-96F8-4968-B905-E026AA3B924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1A614866-3484-4DE8-BD4A-615BF15EE58F}"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7A320A6A-46F8-411D-B37C-40E05239B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52147B04-69FA-46C6-BB84-F6716405760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A3EDD246-024C-456C-BB66-EC4D960C2D1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AA1E3D12-5AED-4A24-A8AC-9F49C10A526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7213A8DD-7190-4E19-857A-B408798D629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F4D8E2E5-9938-47E1-A972-8AB01C5219B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C4456764-F5FD-4B4F-AFB3-E3FFBC9330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65</TotalTime>
  <Pages>30</Pages>
  <Words>10980</Words>
  <Characters>64564</Characters>
  <Application>Microsoft Office Word</Application>
  <DocSecurity>0</DocSecurity>
  <Lines>963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7</cp:revision>
  <cp:lastPrinted>2026-07-03T04:26:00Z</cp:lastPrinted>
  <dcterms:created xsi:type="dcterms:W3CDTF">2026-07-06T21:28:00Z</dcterms:created>
  <dcterms:modified xsi:type="dcterms:W3CDTF">2026-07-12T21:35:00Z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