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8219"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1268C1BE"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57DD57A9" w14:textId="5A412CDA" w:rsidR="00432247" w:rsidRPr="006A6424" w:rsidRDefault="00C831C8" w:rsidP="004434DB">
                            <w:pPr>
                              <w:pStyle w:val="CoverSubtitle"/>
                              <w:rPr>
                                <w:lang w:val="en-NZ"/>
                              </w:rPr>
                            </w:pPr>
                            <w:r>
                              <w:rPr>
                                <w:lang w:val="en-NZ"/>
                              </w:rPr>
                              <w:t>The relationship between</w:t>
                            </w:r>
                            <w:r w:rsidR="006A6424" w:rsidRPr="006A6424">
                              <w:rPr>
                                <w:lang w:val="en-NZ"/>
                              </w:rPr>
                              <w:t xml:space="preserve"> Auckland</w:t>
                            </w:r>
                            <w:r>
                              <w:rPr>
                                <w:lang w:val="en-NZ"/>
                              </w:rPr>
                              <w:t xml:space="preserve"> and New Zealand’s productivity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1268C1BE"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57DD57A9" w14:textId="5A412CDA" w:rsidR="00432247" w:rsidRPr="006A6424" w:rsidRDefault="00C831C8" w:rsidP="004434DB">
                      <w:pPr>
                        <w:pStyle w:val="CoverSubtitle"/>
                        <w:rPr>
                          <w:lang w:val="en-NZ"/>
                        </w:rPr>
                      </w:pPr>
                      <w:r>
                        <w:rPr>
                          <w:lang w:val="en-NZ"/>
                        </w:rPr>
                        <w:t>The relationship between</w:t>
                      </w:r>
                      <w:r w:rsidR="006A6424" w:rsidRPr="006A6424">
                        <w:rPr>
                          <w:lang w:val="en-NZ"/>
                        </w:rPr>
                        <w:t xml:space="preserve"> Auckland</w:t>
                      </w:r>
                      <w:r>
                        <w:rPr>
                          <w:lang w:val="en-NZ"/>
                        </w:rPr>
                        <w:t xml:space="preserve"> and New Zealand’s productivity</w:t>
                      </w:r>
                    </w:p>
                  </w:txbxContent>
                </v:textbox>
              </v:shape>
            </w:pict>
          </mc:Fallback>
        </mc:AlternateContent>
      </w:r>
    </w:p>
    <w:p w14:paraId="17D5B40E"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1696"/>
        <w:gridCol w:w="1701"/>
        <w:gridCol w:w="6225"/>
      </w:tblGrid>
      <w:tr w:rsidR="00D12DA8" w:rsidRPr="006A6424" w14:paraId="666AB936" w14:textId="77777777" w:rsidTr="009B2F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81" w:type="pct"/>
            <w:tcBorders>
              <w:bottom w:val="nil"/>
            </w:tcBorders>
            <w:shd w:val="clear" w:color="auto" w:fill="006171" w:themeFill="text2"/>
            <w:vAlign w:val="center"/>
            <w:hideMark/>
          </w:tcPr>
          <w:p w14:paraId="7C692EAF" w14:textId="77777777" w:rsidR="00D12DA8" w:rsidRPr="009B2F01" w:rsidRDefault="00D12DA8" w:rsidP="004434DB">
            <w:pPr>
              <w:rPr>
                <w:b w:val="0"/>
                <w:bCs w:val="0"/>
                <w:sz w:val="18"/>
                <w:szCs w:val="18"/>
              </w:rPr>
            </w:pPr>
            <w:r w:rsidRPr="009B2F01">
              <w:rPr>
                <w:color w:val="FFFFFF" w:themeColor="background1"/>
                <w:sz w:val="18"/>
                <w:szCs w:val="18"/>
              </w:rPr>
              <w:t>Document history</w:t>
            </w:r>
          </w:p>
        </w:tc>
        <w:tc>
          <w:tcPr>
            <w:tcW w:w="884" w:type="pct"/>
            <w:tcBorders>
              <w:bottom w:val="nil"/>
            </w:tcBorders>
            <w:shd w:val="clear" w:color="auto" w:fill="006171" w:themeFill="text2"/>
            <w:vAlign w:val="center"/>
          </w:tcPr>
          <w:p w14:paraId="6A30F937"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b w:val="0"/>
                <w:bCs w:val="0"/>
                <w:sz w:val="18"/>
                <w:szCs w:val="18"/>
              </w:rPr>
            </w:pPr>
          </w:p>
        </w:tc>
        <w:tc>
          <w:tcPr>
            <w:tcW w:w="3235" w:type="pct"/>
            <w:tcBorders>
              <w:bottom w:val="nil"/>
            </w:tcBorders>
            <w:shd w:val="clear" w:color="auto" w:fill="006171" w:themeFill="text2"/>
            <w:vAlign w:val="center"/>
          </w:tcPr>
          <w:p w14:paraId="73D5A6BE"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sz w:val="18"/>
                <w:szCs w:val="18"/>
              </w:rPr>
            </w:pPr>
          </w:p>
        </w:tc>
      </w:tr>
      <w:tr w:rsidR="009421A7" w:rsidRPr="006A6424" w14:paraId="506BF90C"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Borders>
              <w:top w:val="nil"/>
            </w:tcBorders>
            <w:shd w:val="clear" w:color="auto" w:fill="D9D9D9" w:themeFill="background1" w:themeFillShade="D9"/>
          </w:tcPr>
          <w:p w14:paraId="275045EE" w14:textId="77777777" w:rsidR="009421A7" w:rsidRPr="009B2F01" w:rsidRDefault="009421A7" w:rsidP="004434DB">
            <w:pPr>
              <w:rPr>
                <w:b w:val="0"/>
                <w:bCs w:val="0"/>
                <w:sz w:val="18"/>
                <w:szCs w:val="18"/>
              </w:rPr>
            </w:pPr>
            <w:r w:rsidRPr="009B2F01">
              <w:rPr>
                <w:b w:val="0"/>
                <w:bCs w:val="0"/>
                <w:sz w:val="18"/>
                <w:szCs w:val="18"/>
              </w:rPr>
              <w:t>Status</w:t>
            </w:r>
          </w:p>
        </w:tc>
        <w:tc>
          <w:tcPr>
            <w:tcW w:w="884" w:type="pct"/>
            <w:tcBorders>
              <w:top w:val="nil"/>
            </w:tcBorders>
            <w:shd w:val="clear" w:color="auto" w:fill="D9D9D9" w:themeFill="background1" w:themeFillShade="D9"/>
          </w:tcPr>
          <w:p w14:paraId="4D9771DC"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Commencement date</w:t>
            </w:r>
          </w:p>
        </w:tc>
        <w:tc>
          <w:tcPr>
            <w:tcW w:w="3235" w:type="pct"/>
            <w:tcBorders>
              <w:top w:val="nil"/>
            </w:tcBorders>
            <w:shd w:val="clear" w:color="auto" w:fill="D9D9D9" w:themeFill="background1" w:themeFillShade="D9"/>
          </w:tcPr>
          <w:p w14:paraId="45F7D9D1"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Alterations</w:t>
            </w:r>
          </w:p>
        </w:tc>
      </w:tr>
      <w:tr w:rsidR="009421A7" w:rsidRPr="006A6424" w14:paraId="6C9923B4"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593E1E32" w14:textId="77777777" w:rsidR="009421A7" w:rsidRPr="009B2F01" w:rsidRDefault="009421A7" w:rsidP="004434DB">
            <w:pPr>
              <w:rPr>
                <w:b w:val="0"/>
                <w:bCs w:val="0"/>
                <w:sz w:val="18"/>
                <w:szCs w:val="18"/>
              </w:rPr>
            </w:pPr>
            <w:r w:rsidRPr="009B2F01">
              <w:rPr>
                <w:b w:val="0"/>
                <w:bCs w:val="0"/>
                <w:sz w:val="18"/>
                <w:szCs w:val="18"/>
              </w:rPr>
              <w:t xml:space="preserve">Version </w:t>
            </w:r>
            <w:r w:rsidR="006A6424" w:rsidRPr="009B2F01">
              <w:rPr>
                <w:b w:val="0"/>
                <w:bCs w:val="0"/>
                <w:sz w:val="18"/>
                <w:szCs w:val="18"/>
              </w:rPr>
              <w:t>0.</w:t>
            </w:r>
            <w:r w:rsidR="004C2E47" w:rsidRPr="009B2F01">
              <w:rPr>
                <w:b w:val="0"/>
                <w:bCs w:val="0"/>
                <w:sz w:val="18"/>
                <w:szCs w:val="18"/>
              </w:rPr>
              <w:t>6</w:t>
            </w:r>
          </w:p>
        </w:tc>
        <w:tc>
          <w:tcPr>
            <w:tcW w:w="884" w:type="pct"/>
          </w:tcPr>
          <w:p w14:paraId="3F194007" w14:textId="77777777" w:rsidR="009421A7" w:rsidRPr="009B2F01" w:rsidRDefault="006A642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46BA1A8B" w14:textId="77777777" w:rsidR="009421A7" w:rsidRPr="009B2F01" w:rsidRDefault="00EB68C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Version control established</w:t>
            </w:r>
          </w:p>
        </w:tc>
      </w:tr>
      <w:tr w:rsidR="003B184F" w:rsidRPr="006A6424" w14:paraId="43A69468"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49FBAF18" w14:textId="77777777" w:rsidR="003B184F" w:rsidRPr="009B2F01" w:rsidRDefault="003B184F" w:rsidP="004434DB">
            <w:pPr>
              <w:rPr>
                <w:b w:val="0"/>
                <w:bCs w:val="0"/>
                <w:sz w:val="18"/>
                <w:szCs w:val="18"/>
              </w:rPr>
            </w:pPr>
            <w:r w:rsidRPr="009B2F01">
              <w:rPr>
                <w:b w:val="0"/>
                <w:bCs w:val="0"/>
                <w:sz w:val="18"/>
                <w:szCs w:val="18"/>
              </w:rPr>
              <w:t>Version 0.7</w:t>
            </w:r>
          </w:p>
        </w:tc>
        <w:tc>
          <w:tcPr>
            <w:tcW w:w="884" w:type="pct"/>
          </w:tcPr>
          <w:p w14:paraId="57790B8D"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59BD0646"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Central evidence section restructured</w:t>
            </w:r>
          </w:p>
        </w:tc>
      </w:tr>
      <w:tr w:rsidR="00CB06EC" w:rsidRPr="006A6424" w14:paraId="58EFCF91"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68981F9D" w14:textId="77777777" w:rsidR="00265A65" w:rsidRPr="009B2F01" w:rsidRDefault="00505D4B">
            <w:pPr>
              <w:rPr>
                <w:b w:val="0"/>
                <w:bCs w:val="0"/>
                <w:sz w:val="18"/>
                <w:szCs w:val="18"/>
              </w:rPr>
            </w:pPr>
            <w:r w:rsidRPr="009B2F01">
              <w:rPr>
                <w:b w:val="0"/>
                <w:bCs w:val="0"/>
                <w:sz w:val="18"/>
                <w:szCs w:val="18"/>
              </w:rPr>
              <w:t>Version 0.8</w:t>
            </w:r>
          </w:p>
        </w:tc>
        <w:tc>
          <w:tcPr>
            <w:tcW w:w="884" w:type="pct"/>
          </w:tcPr>
          <w:p w14:paraId="2F01AEF7"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6EA206E7"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66CD872F"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02FACD10" w14:textId="77777777" w:rsidR="00EB68C4" w:rsidRPr="009B2F01" w:rsidRDefault="00EB68C4">
            <w:pPr>
              <w:rPr>
                <w:b w:val="0"/>
                <w:bCs w:val="0"/>
                <w:sz w:val="18"/>
                <w:szCs w:val="18"/>
              </w:rPr>
            </w:pPr>
            <w:r w:rsidRPr="009B2F01">
              <w:rPr>
                <w:b w:val="0"/>
                <w:bCs w:val="0"/>
                <w:sz w:val="18"/>
                <w:szCs w:val="18"/>
              </w:rPr>
              <w:t>Version 0.9</w:t>
            </w:r>
          </w:p>
        </w:tc>
        <w:tc>
          <w:tcPr>
            <w:tcW w:w="884" w:type="pct"/>
          </w:tcPr>
          <w:p w14:paraId="6A999B0D" w14:textId="77777777" w:rsidR="00EB68C4" w:rsidRPr="009B2F01" w:rsidRDefault="00EB68C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21DE436E"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Sections 8, 9, exec summary drafted; reference sweep — citations resolved in 3.7, 3.9, 5.5, 5.8; Nunns &amp; Dodge (2022) bibliography entry corrected to match in-text citations; Combes et al. (2012) ingested — firm selection bullet corrected (S2), dilation evidence added (S7)</w:t>
            </w:r>
          </w:p>
        </w:tc>
      </w:tr>
      <w:tr w:rsidR="008B4DDF" w14:paraId="078169B3"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75C80710" w14:textId="77777777" w:rsidR="008B4DDF" w:rsidRPr="009B2F01" w:rsidRDefault="0071405A">
            <w:pPr>
              <w:rPr>
                <w:b w:val="0"/>
                <w:bCs w:val="0"/>
                <w:sz w:val="18"/>
                <w:szCs w:val="18"/>
              </w:rPr>
            </w:pPr>
            <w:r w:rsidRPr="009B2F01">
              <w:rPr>
                <w:b w:val="0"/>
                <w:bCs w:val="0"/>
                <w:sz w:val="18"/>
                <w:szCs w:val="18"/>
              </w:rPr>
              <w:t>Version 1.0</w:t>
            </w:r>
          </w:p>
        </w:tc>
        <w:tc>
          <w:tcPr>
            <w:tcW w:w="884" w:type="pct"/>
          </w:tcPr>
          <w:p w14:paraId="15C3EDB9"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18837DE5"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'The Missing Institution' added to Section 9; executive summary conclusion strengthened (spatial neutrality, Auckland as highest-leverage intervention); issued as complete draft</w:t>
            </w:r>
          </w:p>
        </w:tc>
      </w:tr>
      <w:tr w:rsidR="005A107C" w14:paraId="07B20DC0"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0AC0B1A7" w14:textId="77777777" w:rsidR="005A107C" w:rsidRPr="005A107C" w:rsidRDefault="005A107C">
            <w:pPr>
              <w:rPr>
                <w:b w:val="0"/>
                <w:bCs w:val="0"/>
                <w:sz w:val="18"/>
                <w:szCs w:val="18"/>
              </w:rPr>
            </w:pPr>
            <w:r>
              <w:rPr>
                <w:b w:val="0"/>
                <w:bCs w:val="0"/>
                <w:sz w:val="18"/>
                <w:szCs w:val="18"/>
              </w:rPr>
              <w:t>Version 1.1</w:t>
            </w:r>
          </w:p>
        </w:tc>
        <w:tc>
          <w:tcPr>
            <w:tcW w:w="884" w:type="pct"/>
          </w:tcPr>
          <w:p w14:paraId="1D6BFAEF" w14:textId="77777777" w:rsidR="005A107C" w:rsidRPr="009B2F01" w:rsidRDefault="005A107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July 2026</w:t>
            </w:r>
          </w:p>
        </w:tc>
        <w:tc>
          <w:tcPr>
            <w:tcW w:w="3235" w:type="pct"/>
          </w:tcPr>
          <w:p w14:paraId="52865D31" w14:textId="77777777" w:rsidR="00812AB0" w:rsidRPr="005C6F0C" w:rsidRDefault="000B224F">
            <w:pPr>
              <w:cnfStyle w:val="000000000000" w:firstRow="0" w:lastRow="0" w:firstColumn="0" w:lastColumn="0" w:oddVBand="0" w:evenVBand="0" w:oddHBand="0" w:evenHBand="0" w:firstRowFirstColumn="0" w:firstRowLastColumn="0" w:lastRowFirstColumn="0" w:lastRowLastColumn="0"/>
              <w:rPr>
                <w:sz w:val="18"/>
                <w:szCs w:val="18"/>
              </w:rPr>
            </w:pPr>
            <w:r w:rsidRPr="005C6F0C">
              <w:rPr>
                <w:sz w:val="18"/>
                <w:szCs w:val="18"/>
              </w:rPr>
              <w:t>References updated, inclusion of Auckland Transport strategic plan; 3.3 population concentration stat added (Auckland absorbed &gt;40% of national growth, 1991–2023 censuses)</w:t>
            </w:r>
          </w:p>
        </w:tc>
      </w:tr>
      <w:tr w:rsidR="008371B8" w14:paraId="253071AF"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54C63645" w14:textId="77777777" w:rsidR="008371B8" w:rsidRPr="0064779D" w:rsidRDefault="00C514AC">
            <w:pPr>
              <w:rPr>
                <w:b w:val="0"/>
                <w:bCs w:val="0"/>
                <w:sz w:val="18"/>
                <w:szCs w:val="18"/>
              </w:rPr>
            </w:pPr>
            <w:r w:rsidRPr="0064779D">
              <w:rPr>
                <w:b w:val="0"/>
                <w:bCs w:val="0"/>
                <w:sz w:val="18"/>
                <w:szCs w:val="18"/>
              </w:rPr>
              <w:t>Version 1.2</w:t>
            </w:r>
          </w:p>
        </w:tc>
        <w:tc>
          <w:tcPr>
            <w:tcW w:w="1701" w:type="dxa"/>
          </w:tcPr>
          <w:p w14:paraId="531CE5C2"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July 2026</w:t>
            </w:r>
          </w:p>
        </w:tc>
        <w:tc>
          <w:tcPr>
            <w:tcW w:w="6225" w:type="dxa"/>
          </w:tcPr>
          <w:p w14:paraId="16A72483"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The Treasury (2017) Auckland Story cited: frontier-firm concentration in Auckland added to Section 7 and hypothesis language strengthened; 2017 underperformance precedent added to the Auckland Productivity Premium box. Bibliography audit corrections re-applied (Donovan et al. 2021 Tinbergen number TI 2021-026/VIII; Donovan et al. 2022 article number 103799 and author order) — full 33-entry bibliography previously verified against source documents</w:t>
            </w:r>
          </w:p>
        </w:tc>
      </w:tr>
      <w:tr w:rsidR="008371B8" w14:paraId="3400AC03"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4E8613F9" w14:textId="77777777" w:rsidR="008371B8" w:rsidRPr="0064779D" w:rsidRDefault="00C514AC">
            <w:pPr>
              <w:rPr>
                <w:b w:val="0"/>
                <w:bCs w:val="0"/>
                <w:sz w:val="18"/>
                <w:szCs w:val="18"/>
              </w:rPr>
            </w:pPr>
            <w:r w:rsidRPr="0064779D">
              <w:rPr>
                <w:b w:val="0"/>
                <w:bCs w:val="0"/>
                <w:sz w:val="18"/>
                <w:szCs w:val="18"/>
              </w:rPr>
              <w:t>Version 1.3</w:t>
            </w:r>
          </w:p>
        </w:tc>
        <w:tc>
          <w:tcPr>
            <w:tcW w:w="1701" w:type="dxa"/>
          </w:tcPr>
          <w:p w14:paraId="08B929A7"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August 2026</w:t>
            </w:r>
          </w:p>
        </w:tc>
        <w:tc>
          <w:tcPr>
            <w:tcW w:w="6225" w:type="dxa"/>
          </w:tcPr>
          <w:p w14:paraId="427F9840"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Publication readiness: all unpublished and in-confidence sources removed. Kānoa RD (2026, internal presentation) replaced by Statistics New Zealand subnational population estimates; The Treasury (2017) Auckland Story (IN-CONFIDENCE draft) replaced by Zheng (2016), the publicly available primary analysis it relayed, and its quote removed from the Auckland Productivity Premium box; MHUD (2024) citation updated to note proactive release with URL. Every remaining source is publicly available.</w:t>
            </w:r>
          </w:p>
        </w:tc>
      </w:tr>
      <w:tr w:rsidR="008371B8" w14:paraId="31C76ADE"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18D3C3FC" w14:textId="77777777" w:rsidR="008371B8" w:rsidRPr="0064779D" w:rsidRDefault="00C514AC">
            <w:pPr>
              <w:rPr>
                <w:b w:val="0"/>
                <w:bCs w:val="0"/>
                <w:sz w:val="18"/>
                <w:szCs w:val="18"/>
              </w:rPr>
            </w:pPr>
            <w:r w:rsidRPr="0064779D">
              <w:rPr>
                <w:b w:val="0"/>
                <w:bCs w:val="0"/>
                <w:sz w:val="18"/>
                <w:szCs w:val="18"/>
              </w:rPr>
              <w:t>Version 1.4</w:t>
            </w:r>
          </w:p>
        </w:tc>
        <w:tc>
          <w:tcPr>
            <w:tcW w:w="1701" w:type="dxa"/>
          </w:tcPr>
          <w:p w14:paraId="0F126CAC"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August 2026</w:t>
            </w:r>
          </w:p>
        </w:tc>
        <w:tc>
          <w:tcPr>
            <w:tcW w:w="6225" w:type="dxa"/>
          </w:tcPr>
          <w:p w14:paraId="50DFB8F5"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State of the City 2026 (Committee for Auckland &amp; The Business of Cities, released 25 August 2026) ingested and cited. New evidence added at 5 (city centre productivity in the bottom third of international peers; gateway flows within 5% of the comparable-city average), 5.1 (housing delivery record sustained through a downturn, but new supply concentrated at the centre and the urban edge rather than transit-served suburbs), 5.3 (transit-corridor population growth lagging peers; congestion in the global bottom</w:t>
            </w:r>
            <w:r w:rsidRPr="0064779D">
              <w:rPr>
                <w:sz w:val="18"/>
                <w:szCs w:val="18"/>
              </w:rPr>
              <w:t xml:space="preserve"> 5%), 5.4 (jobs and people drifting apart; commutable catchment narrower than peers) and 7 (Auckland's 8-point high-skill premium; innovation ecosystem rising but thin on founders, corporate depth and later-stage capital). Executive summary </w:t>
            </w:r>
            <w:r w:rsidRPr="0064779D">
              <w:rPr>
                <w:sz w:val="18"/>
                <w:szCs w:val="18"/>
              </w:rPr>
              <w:lastRenderedPageBreak/>
              <w:t>sharpened accordingly. Figure 8 added (distribution of jobs in Auckland by H3 hexagon, from the CRL Benefits Realisation Plan); former Figure 8 renumbered to Figure 9. Bibliography extended to 36 entries.</w:t>
            </w:r>
          </w:p>
        </w:tc>
      </w:tr>
      <w:tr w:rsidR="008371B8" w14:paraId="79468600"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4A5B94A6" w14:textId="77777777" w:rsidR="008371B8" w:rsidRPr="0064779D" w:rsidRDefault="00C514AC">
            <w:pPr>
              <w:rPr>
                <w:b w:val="0"/>
                <w:bCs w:val="0"/>
                <w:sz w:val="18"/>
                <w:szCs w:val="18"/>
              </w:rPr>
            </w:pPr>
            <w:r w:rsidRPr="0064779D">
              <w:rPr>
                <w:b w:val="0"/>
                <w:bCs w:val="0"/>
                <w:sz w:val="18"/>
                <w:szCs w:val="18"/>
              </w:rPr>
              <w:lastRenderedPageBreak/>
              <w:t>Version 1.5</w:t>
            </w:r>
          </w:p>
        </w:tc>
        <w:tc>
          <w:tcPr>
            <w:tcW w:w="1701" w:type="dxa"/>
          </w:tcPr>
          <w:p w14:paraId="36628184"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August 2026</w:t>
            </w:r>
          </w:p>
        </w:tc>
        <w:tc>
          <w:tcPr>
            <w:tcW w:w="6225" w:type="dxa"/>
          </w:tcPr>
          <w:p w14:paraId="7C0F7D4A"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 xml:space="preserve">Executive summary returned to its original register. The benchmarking-statistics paragraph added in 1.4 is removed; </w:t>
            </w:r>
            <w:proofErr w:type="gramStart"/>
            <w:r w:rsidRPr="0064779D">
              <w:rPr>
                <w:sz w:val="18"/>
                <w:szCs w:val="18"/>
              </w:rPr>
              <w:t>its</w:t>
            </w:r>
            <w:proofErr w:type="gramEnd"/>
            <w:r w:rsidRPr="0064779D">
              <w:rPr>
                <w:sz w:val="18"/>
                <w:szCs w:val="18"/>
              </w:rPr>
              <w:t xml:space="preserve"> one genuinely new finding — that the productivity shortfall reaches into the city centre itself, not only the outer suburbs — is folded into the Auckland paragraph in plain terms. The executive summary again carries no statistics and no citations, and the link between 'Auckland is central to this story' and 'This much is supported by strong evidence' is restored. The supporting evidence and citation remain in Section 5, where they belong.</w:t>
            </w:r>
          </w:p>
        </w:tc>
      </w:tr>
      <w:tr w:rsidR="008371B8" w14:paraId="1EAD3B1C"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218FB399" w14:textId="77777777" w:rsidR="008371B8" w:rsidRPr="0064779D" w:rsidRDefault="00C514AC">
            <w:pPr>
              <w:rPr>
                <w:b w:val="0"/>
                <w:bCs w:val="0"/>
                <w:sz w:val="18"/>
                <w:szCs w:val="18"/>
              </w:rPr>
            </w:pPr>
            <w:r w:rsidRPr="0064779D">
              <w:rPr>
                <w:b w:val="0"/>
                <w:bCs w:val="0"/>
                <w:sz w:val="18"/>
                <w:szCs w:val="18"/>
              </w:rPr>
              <w:t>Version 1.6</w:t>
            </w:r>
          </w:p>
        </w:tc>
        <w:tc>
          <w:tcPr>
            <w:tcW w:w="1701" w:type="dxa"/>
          </w:tcPr>
          <w:p w14:paraId="20E9C954"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August 2026</w:t>
            </w:r>
          </w:p>
        </w:tc>
        <w:tc>
          <w:tcPr>
            <w:tcW w:w="6225" w:type="dxa"/>
          </w:tcPr>
          <w:p w14:paraId="43DD5FB3" w14:textId="77777777" w:rsidR="008371B8" w:rsidRPr="0064779D" w:rsidRDefault="00C514AC">
            <w:pPr>
              <w:cnfStyle w:val="000000000000" w:firstRow="0" w:lastRow="0" w:firstColumn="0" w:lastColumn="0" w:oddVBand="0" w:evenVBand="0" w:oddHBand="0" w:evenHBand="0" w:firstRowFirstColumn="0" w:firstRowLastColumn="0" w:lastRowFirstColumn="0" w:lastRowLastColumn="0"/>
              <w:rPr>
                <w:sz w:val="18"/>
                <w:szCs w:val="18"/>
              </w:rPr>
            </w:pPr>
            <w:r w:rsidRPr="0064779D">
              <w:rPr>
                <w:sz w:val="18"/>
                <w:szCs w:val="18"/>
              </w:rPr>
              <w:t>Responded to internal comments on v1. Intellectual lineage added to Section 2 (Marshall, Porter, Krugman, McCann). Section 3.6 addresses why cost pressures common to high-performing cities do not by themselves explain Auckland's performance. MBIE and MFAT's 2025 Long-term Insights Briefing cited in Sections 5 and 8. Section 5.1 reframed on regulatory fragmentation rather than complexity. Sections 5.7 and 5.8 revised on agglomeration and capability outside Auckland. Section 6 revised on the history, with cen</w:t>
            </w:r>
            <w:r w:rsidRPr="0064779D">
              <w:rPr>
                <w:sz w:val="18"/>
                <w:szCs w:val="18"/>
              </w:rPr>
              <w:t>tralisation added as the reason the tension endures. Corrections in 5.5. Bibliography extended to 41 entries.</w:t>
            </w:r>
          </w:p>
        </w:tc>
      </w:tr>
      <w:tr w:rsidR="00F2020F" w14:paraId="7A73EF5A" w14:textId="77777777" w:rsidTr="008371B8">
        <w:tc>
          <w:tcPr>
            <w:cnfStyle w:val="001000000000" w:firstRow="0" w:lastRow="0" w:firstColumn="1" w:lastColumn="0" w:oddVBand="0" w:evenVBand="0" w:oddHBand="0" w:evenHBand="0" w:firstRowFirstColumn="0" w:firstRowLastColumn="0" w:lastRowFirstColumn="0" w:lastRowLastColumn="0"/>
            <w:tcW w:w="1696" w:type="dxa"/>
          </w:tcPr>
          <w:p w14:paraId="0B0EE497" w14:textId="02DF13C1" w:rsidR="00F2020F" w:rsidRPr="009B6B02" w:rsidRDefault="00F2020F">
            <w:pPr>
              <w:rPr>
                <w:b w:val="0"/>
                <w:bCs w:val="0"/>
                <w:sz w:val="18"/>
                <w:szCs w:val="18"/>
              </w:rPr>
            </w:pPr>
            <w:r w:rsidRPr="009B6B02">
              <w:rPr>
                <w:b w:val="0"/>
                <w:bCs w:val="0"/>
                <w:sz w:val="18"/>
                <w:szCs w:val="18"/>
              </w:rPr>
              <w:t>Version 1.7</w:t>
            </w:r>
          </w:p>
        </w:tc>
        <w:tc>
          <w:tcPr>
            <w:tcW w:w="1701" w:type="dxa"/>
          </w:tcPr>
          <w:p w14:paraId="556418BF" w14:textId="52A8291A" w:rsidR="00F2020F" w:rsidRPr="0064779D" w:rsidRDefault="00F2020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August 2026</w:t>
            </w:r>
          </w:p>
        </w:tc>
        <w:tc>
          <w:tcPr>
            <w:tcW w:w="6225" w:type="dxa"/>
          </w:tcPr>
          <w:p w14:paraId="7C163172" w14:textId="6D2C2D71" w:rsidR="00F2020F" w:rsidRPr="0064779D" w:rsidRDefault="00F2020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Thorough edit and restructure to get document </w:t>
            </w:r>
            <w:proofErr w:type="gramStart"/>
            <w:r>
              <w:rPr>
                <w:sz w:val="18"/>
                <w:szCs w:val="18"/>
              </w:rPr>
              <w:t>publication-ready</w:t>
            </w:r>
            <w:proofErr w:type="gramEnd"/>
            <w:r>
              <w:rPr>
                <w:sz w:val="18"/>
                <w:szCs w:val="18"/>
              </w:rPr>
              <w:t xml:space="preserve">. Sharper commentary moderated and </w:t>
            </w:r>
            <w:r w:rsidR="009B6B02">
              <w:rPr>
                <w:sz w:val="18"/>
                <w:szCs w:val="18"/>
              </w:rPr>
              <w:t xml:space="preserve">through line of arguments re-cut. </w:t>
            </w:r>
          </w:p>
        </w:tc>
      </w:tr>
    </w:tbl>
    <w:p w14:paraId="76C155EB" w14:textId="77777777" w:rsidR="009421A7" w:rsidRPr="006A6424" w:rsidRDefault="009421A7" w:rsidP="004434DB"/>
    <w:p w14:paraId="720A13C6" w14:textId="4664043D" w:rsidR="006A6424" w:rsidRPr="00C831C8" w:rsidRDefault="008B107F">
      <w:pPr>
        <w:spacing w:after="0"/>
        <w:rPr>
          <w:b/>
          <w:bCs/>
          <w:sz w:val="56"/>
          <w:szCs w:val="56"/>
        </w:rPr>
      </w:pPr>
      <w:bookmarkStart w:id="2" w:name="_Toc189460583"/>
      <w:r w:rsidRPr="00C831C8">
        <w:rPr>
          <w:b/>
          <w:bCs/>
        </w:rPr>
        <w:t xml:space="preserve">This </w:t>
      </w:r>
      <w:r w:rsidR="0064779D" w:rsidRPr="00C831C8">
        <w:rPr>
          <w:b/>
          <w:bCs/>
        </w:rPr>
        <w:t>paper i</w:t>
      </w:r>
      <w:r w:rsidRPr="00C831C8">
        <w:rPr>
          <w:b/>
          <w:bCs/>
        </w:rPr>
        <w:t xml:space="preserve">t is not government policy. It represents the thoughts and findings of the </w:t>
      </w:r>
      <w:proofErr w:type="gramStart"/>
      <w:r w:rsidRPr="00C831C8">
        <w:rPr>
          <w:b/>
          <w:bCs/>
        </w:rPr>
        <w:t>author, and</w:t>
      </w:r>
      <w:proofErr w:type="gramEnd"/>
      <w:r w:rsidRPr="00C831C8">
        <w:rPr>
          <w:b/>
          <w:bCs/>
        </w:rPr>
        <w:t xml:space="preserve"> is not a</w:t>
      </w:r>
      <w:r w:rsidR="00C831C8">
        <w:rPr>
          <w:b/>
          <w:bCs/>
        </w:rPr>
        <w:t xml:space="preserve"> formal</w:t>
      </w:r>
      <w:r w:rsidRPr="00C831C8">
        <w:rPr>
          <w:b/>
          <w:bCs/>
        </w:rPr>
        <w:t xml:space="preserve"> MBIE position.  </w:t>
      </w:r>
      <w:r w:rsidR="006A6424" w:rsidRPr="00C831C8">
        <w:rPr>
          <w:b/>
          <w:bCs/>
          <w:sz w:val="56"/>
          <w:szCs w:val="56"/>
        </w:rPr>
        <w:br w:type="page"/>
      </w:r>
    </w:p>
    <w:p w14:paraId="07A5996E" w14:textId="77777777" w:rsidR="009421A7" w:rsidRPr="006A6424" w:rsidRDefault="009421A7" w:rsidP="004434DB">
      <w:pPr>
        <w:rPr>
          <w:b/>
          <w:bCs/>
          <w:sz w:val="56"/>
          <w:szCs w:val="56"/>
        </w:rPr>
      </w:pPr>
      <w:r w:rsidRPr="006A6424">
        <w:rPr>
          <w:b/>
          <w:bCs/>
          <w:sz w:val="56"/>
          <w:szCs w:val="56"/>
        </w:rPr>
        <w:lastRenderedPageBreak/>
        <w:t>Contents</w:t>
      </w:r>
      <w:bookmarkEnd w:id="2"/>
    </w:p>
    <w:p w14:paraId="0E30A727" w14:textId="2C9E95CD" w:rsidR="00D55704"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9251861" w:history="1">
        <w:r w:rsidR="00D55704" w:rsidRPr="00143018">
          <w:rPr>
            <w:rStyle w:val="Hyperlink"/>
            <w:rFonts w:eastAsia="Times New Roman"/>
            <w:lang w:eastAsia="en-NZ"/>
          </w:rPr>
          <w:t>Executive Summary</w:t>
        </w:r>
        <w:r w:rsidR="00D55704">
          <w:rPr>
            <w:webHidden/>
          </w:rPr>
          <w:tab/>
        </w:r>
        <w:r w:rsidR="00D55704">
          <w:rPr>
            <w:webHidden/>
          </w:rPr>
          <w:fldChar w:fldCharType="begin"/>
        </w:r>
        <w:r w:rsidR="00D55704">
          <w:rPr>
            <w:webHidden/>
          </w:rPr>
          <w:instrText xml:space="preserve"> PAGEREF _Toc239251861 \h </w:instrText>
        </w:r>
        <w:r w:rsidR="00D55704">
          <w:rPr>
            <w:webHidden/>
          </w:rPr>
        </w:r>
        <w:r w:rsidR="00D55704">
          <w:rPr>
            <w:webHidden/>
          </w:rPr>
          <w:fldChar w:fldCharType="separate"/>
        </w:r>
        <w:r w:rsidR="00D55704">
          <w:rPr>
            <w:webHidden/>
          </w:rPr>
          <w:t>5</w:t>
        </w:r>
        <w:r w:rsidR="00D55704">
          <w:rPr>
            <w:webHidden/>
          </w:rPr>
          <w:fldChar w:fldCharType="end"/>
        </w:r>
      </w:hyperlink>
    </w:p>
    <w:p w14:paraId="7B893F2F" w14:textId="39A406A9"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2" w:history="1">
        <w:r w:rsidRPr="00143018">
          <w:rPr>
            <w:rStyle w:val="Hyperlink"/>
            <w:rFonts w:eastAsia="Times New Roman"/>
            <w:lang w:eastAsia="en-NZ"/>
          </w:rPr>
          <w:t>1. Purpose</w:t>
        </w:r>
        <w:r>
          <w:rPr>
            <w:webHidden/>
          </w:rPr>
          <w:tab/>
        </w:r>
        <w:r>
          <w:rPr>
            <w:webHidden/>
          </w:rPr>
          <w:fldChar w:fldCharType="begin"/>
        </w:r>
        <w:r>
          <w:rPr>
            <w:webHidden/>
          </w:rPr>
          <w:instrText xml:space="preserve"> PAGEREF _Toc239251862 \h </w:instrText>
        </w:r>
        <w:r>
          <w:rPr>
            <w:webHidden/>
          </w:rPr>
        </w:r>
        <w:r>
          <w:rPr>
            <w:webHidden/>
          </w:rPr>
          <w:fldChar w:fldCharType="separate"/>
        </w:r>
        <w:r>
          <w:rPr>
            <w:webHidden/>
          </w:rPr>
          <w:t>6</w:t>
        </w:r>
        <w:r>
          <w:rPr>
            <w:webHidden/>
          </w:rPr>
          <w:fldChar w:fldCharType="end"/>
        </w:r>
      </w:hyperlink>
    </w:p>
    <w:p w14:paraId="5B49DADE" w14:textId="7523F220"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3" w:history="1">
        <w:r w:rsidRPr="00143018">
          <w:rPr>
            <w:rStyle w:val="Hyperlink"/>
            <w:rFonts w:eastAsia="Times New Roman"/>
            <w:lang w:eastAsia="en-NZ"/>
          </w:rPr>
          <w:t>2. What We Expect from Cities</w:t>
        </w:r>
        <w:r>
          <w:rPr>
            <w:webHidden/>
          </w:rPr>
          <w:tab/>
        </w:r>
        <w:r>
          <w:rPr>
            <w:webHidden/>
          </w:rPr>
          <w:fldChar w:fldCharType="begin"/>
        </w:r>
        <w:r>
          <w:rPr>
            <w:webHidden/>
          </w:rPr>
          <w:instrText xml:space="preserve"> PAGEREF _Toc239251863 \h </w:instrText>
        </w:r>
        <w:r>
          <w:rPr>
            <w:webHidden/>
          </w:rPr>
        </w:r>
        <w:r>
          <w:rPr>
            <w:webHidden/>
          </w:rPr>
          <w:fldChar w:fldCharType="separate"/>
        </w:r>
        <w:r>
          <w:rPr>
            <w:webHidden/>
          </w:rPr>
          <w:t>7</w:t>
        </w:r>
        <w:r>
          <w:rPr>
            <w:webHidden/>
          </w:rPr>
          <w:fldChar w:fldCharType="end"/>
        </w:r>
      </w:hyperlink>
    </w:p>
    <w:p w14:paraId="3B5E6CF6" w14:textId="21BA4507"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4" w:history="1">
        <w:r w:rsidRPr="00143018">
          <w:rPr>
            <w:rStyle w:val="Hyperlink"/>
          </w:rPr>
          <w:t>3. Core Diagnosis: Growth, Capital Pressure, and Productivity</w:t>
        </w:r>
        <w:r>
          <w:rPr>
            <w:webHidden/>
          </w:rPr>
          <w:tab/>
        </w:r>
        <w:r>
          <w:rPr>
            <w:webHidden/>
          </w:rPr>
          <w:fldChar w:fldCharType="begin"/>
        </w:r>
        <w:r>
          <w:rPr>
            <w:webHidden/>
          </w:rPr>
          <w:instrText xml:space="preserve"> PAGEREF _Toc239251864 \h </w:instrText>
        </w:r>
        <w:r>
          <w:rPr>
            <w:webHidden/>
          </w:rPr>
        </w:r>
        <w:r>
          <w:rPr>
            <w:webHidden/>
          </w:rPr>
          <w:fldChar w:fldCharType="separate"/>
        </w:r>
        <w:r>
          <w:rPr>
            <w:webHidden/>
          </w:rPr>
          <w:t>9</w:t>
        </w:r>
        <w:r>
          <w:rPr>
            <w:webHidden/>
          </w:rPr>
          <w:fldChar w:fldCharType="end"/>
        </w:r>
      </w:hyperlink>
    </w:p>
    <w:p w14:paraId="3086EBF0" w14:textId="792A0B88"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5" w:history="1">
        <w:r w:rsidRPr="00143018">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_Toc239251865 \h </w:instrText>
        </w:r>
        <w:r>
          <w:rPr>
            <w:webHidden/>
          </w:rPr>
        </w:r>
        <w:r>
          <w:rPr>
            <w:webHidden/>
          </w:rPr>
          <w:fldChar w:fldCharType="separate"/>
        </w:r>
        <w:r>
          <w:rPr>
            <w:webHidden/>
          </w:rPr>
          <w:t>14</w:t>
        </w:r>
        <w:r>
          <w:rPr>
            <w:webHidden/>
          </w:rPr>
          <w:fldChar w:fldCharType="end"/>
        </w:r>
      </w:hyperlink>
    </w:p>
    <w:p w14:paraId="43163678" w14:textId="49DDBF97"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6" w:history="1">
        <w:r w:rsidRPr="00143018">
          <w:rPr>
            <w:rStyle w:val="Hyperlink"/>
          </w:rPr>
          <w:t>5. The New Zealand Spatial System — Evidence and Mechanisms</w:t>
        </w:r>
        <w:r>
          <w:rPr>
            <w:webHidden/>
          </w:rPr>
          <w:tab/>
        </w:r>
        <w:r>
          <w:rPr>
            <w:webHidden/>
          </w:rPr>
          <w:fldChar w:fldCharType="begin"/>
        </w:r>
        <w:r>
          <w:rPr>
            <w:webHidden/>
          </w:rPr>
          <w:instrText xml:space="preserve"> PAGEREF _Toc239251866 \h </w:instrText>
        </w:r>
        <w:r>
          <w:rPr>
            <w:webHidden/>
          </w:rPr>
        </w:r>
        <w:r>
          <w:rPr>
            <w:webHidden/>
          </w:rPr>
          <w:fldChar w:fldCharType="separate"/>
        </w:r>
        <w:r>
          <w:rPr>
            <w:webHidden/>
          </w:rPr>
          <w:t>15</w:t>
        </w:r>
        <w:r>
          <w:rPr>
            <w:webHidden/>
          </w:rPr>
          <w:fldChar w:fldCharType="end"/>
        </w:r>
      </w:hyperlink>
    </w:p>
    <w:p w14:paraId="46348318" w14:textId="72951834"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7" w:history="1">
        <w:r w:rsidRPr="00143018">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_Toc239251867 \h </w:instrText>
        </w:r>
        <w:r>
          <w:rPr>
            <w:webHidden/>
          </w:rPr>
        </w:r>
        <w:r>
          <w:rPr>
            <w:webHidden/>
          </w:rPr>
          <w:fldChar w:fldCharType="separate"/>
        </w:r>
        <w:r>
          <w:rPr>
            <w:webHidden/>
          </w:rPr>
          <w:t>27</w:t>
        </w:r>
        <w:r>
          <w:rPr>
            <w:webHidden/>
          </w:rPr>
          <w:fldChar w:fldCharType="end"/>
        </w:r>
      </w:hyperlink>
    </w:p>
    <w:p w14:paraId="6795FFF7" w14:textId="763247F2"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8" w:history="1">
        <w:r w:rsidRPr="00143018">
          <w:rPr>
            <w:rStyle w:val="Hyperlink"/>
          </w:rPr>
          <w:t>7. New Zealand's Final Frontier</w:t>
        </w:r>
        <w:r>
          <w:rPr>
            <w:webHidden/>
          </w:rPr>
          <w:tab/>
        </w:r>
        <w:r>
          <w:rPr>
            <w:webHidden/>
          </w:rPr>
          <w:fldChar w:fldCharType="begin"/>
        </w:r>
        <w:r>
          <w:rPr>
            <w:webHidden/>
          </w:rPr>
          <w:instrText xml:space="preserve"> PAGEREF _Toc239251868 \h </w:instrText>
        </w:r>
        <w:r>
          <w:rPr>
            <w:webHidden/>
          </w:rPr>
        </w:r>
        <w:r>
          <w:rPr>
            <w:webHidden/>
          </w:rPr>
          <w:fldChar w:fldCharType="separate"/>
        </w:r>
        <w:r>
          <w:rPr>
            <w:webHidden/>
          </w:rPr>
          <w:t>29</w:t>
        </w:r>
        <w:r>
          <w:rPr>
            <w:webHidden/>
          </w:rPr>
          <w:fldChar w:fldCharType="end"/>
        </w:r>
      </w:hyperlink>
    </w:p>
    <w:p w14:paraId="0089952E" w14:textId="326C52C8"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69" w:history="1">
        <w:r w:rsidRPr="00143018">
          <w:rPr>
            <w:rStyle w:val="Hyperlink"/>
            <w:rFonts w:eastAsia="Times New Roman"/>
            <w:lang w:eastAsia="en-NZ"/>
          </w:rPr>
          <w:t>8. Implications for Policy</w:t>
        </w:r>
        <w:r>
          <w:rPr>
            <w:webHidden/>
          </w:rPr>
          <w:tab/>
        </w:r>
        <w:r>
          <w:rPr>
            <w:webHidden/>
          </w:rPr>
          <w:fldChar w:fldCharType="begin"/>
        </w:r>
        <w:r>
          <w:rPr>
            <w:webHidden/>
          </w:rPr>
          <w:instrText xml:space="preserve"> PAGEREF _Toc239251869 \h </w:instrText>
        </w:r>
        <w:r>
          <w:rPr>
            <w:webHidden/>
          </w:rPr>
        </w:r>
        <w:r>
          <w:rPr>
            <w:webHidden/>
          </w:rPr>
          <w:fldChar w:fldCharType="separate"/>
        </w:r>
        <w:r>
          <w:rPr>
            <w:webHidden/>
          </w:rPr>
          <w:t>32</w:t>
        </w:r>
        <w:r>
          <w:rPr>
            <w:webHidden/>
          </w:rPr>
          <w:fldChar w:fldCharType="end"/>
        </w:r>
      </w:hyperlink>
    </w:p>
    <w:p w14:paraId="392CAF26" w14:textId="0E4BEC89" w:rsidR="00D55704" w:rsidRDefault="00D55704">
      <w:pPr>
        <w:pStyle w:val="TOC3"/>
        <w:rPr>
          <w:rFonts w:asciiTheme="minorHAnsi" w:eastAsiaTheme="minorEastAsia" w:hAnsiTheme="minorHAnsi" w:cstheme="minorBidi"/>
          <w:kern w:val="2"/>
          <w:sz w:val="24"/>
          <w:szCs w:val="24"/>
          <w:lang w:eastAsia="en-NZ"/>
          <w14:ligatures w14:val="standardContextual"/>
        </w:rPr>
      </w:pPr>
      <w:hyperlink w:anchor="_Toc239251870" w:history="1">
        <w:r w:rsidRPr="00143018">
          <w:rPr>
            <w:rStyle w:val="Hyperlink"/>
          </w:rPr>
          <w:t>Further work for MBIE</w:t>
        </w:r>
        <w:r>
          <w:rPr>
            <w:webHidden/>
          </w:rPr>
          <w:tab/>
        </w:r>
        <w:r>
          <w:rPr>
            <w:webHidden/>
          </w:rPr>
          <w:fldChar w:fldCharType="begin"/>
        </w:r>
        <w:r>
          <w:rPr>
            <w:webHidden/>
          </w:rPr>
          <w:instrText xml:space="preserve"> PAGEREF _Toc239251870 \h </w:instrText>
        </w:r>
        <w:r>
          <w:rPr>
            <w:webHidden/>
          </w:rPr>
        </w:r>
        <w:r>
          <w:rPr>
            <w:webHidden/>
          </w:rPr>
          <w:fldChar w:fldCharType="separate"/>
        </w:r>
        <w:r>
          <w:rPr>
            <w:webHidden/>
          </w:rPr>
          <w:t>33</w:t>
        </w:r>
        <w:r>
          <w:rPr>
            <w:webHidden/>
          </w:rPr>
          <w:fldChar w:fldCharType="end"/>
        </w:r>
      </w:hyperlink>
    </w:p>
    <w:p w14:paraId="02480972" w14:textId="4201EF32" w:rsidR="00D55704" w:rsidRDefault="00D55704">
      <w:pPr>
        <w:pStyle w:val="TOC2"/>
        <w:rPr>
          <w:rFonts w:asciiTheme="minorHAnsi" w:eastAsiaTheme="minorEastAsia" w:hAnsiTheme="minorHAnsi" w:cstheme="minorBidi"/>
          <w:iCs w:val="0"/>
          <w:kern w:val="2"/>
          <w:sz w:val="24"/>
          <w:szCs w:val="24"/>
          <w:lang w:eastAsia="en-NZ"/>
          <w14:ligatures w14:val="standardContextual"/>
        </w:rPr>
      </w:pPr>
      <w:hyperlink w:anchor="_Toc239251871" w:history="1">
        <w:r w:rsidRPr="00143018">
          <w:rPr>
            <w:rStyle w:val="Hyperlink"/>
            <w:lang w:eastAsia="en-NZ"/>
          </w:rPr>
          <w:t>Bibliography</w:t>
        </w:r>
        <w:r>
          <w:rPr>
            <w:webHidden/>
          </w:rPr>
          <w:tab/>
        </w:r>
        <w:r>
          <w:rPr>
            <w:webHidden/>
          </w:rPr>
          <w:fldChar w:fldCharType="begin"/>
        </w:r>
        <w:r>
          <w:rPr>
            <w:webHidden/>
          </w:rPr>
          <w:instrText xml:space="preserve"> PAGEREF _Toc239251871 \h </w:instrText>
        </w:r>
        <w:r>
          <w:rPr>
            <w:webHidden/>
          </w:rPr>
        </w:r>
        <w:r>
          <w:rPr>
            <w:webHidden/>
          </w:rPr>
          <w:fldChar w:fldCharType="separate"/>
        </w:r>
        <w:r>
          <w:rPr>
            <w:webHidden/>
          </w:rPr>
          <w:t>35</w:t>
        </w:r>
        <w:r>
          <w:rPr>
            <w:webHidden/>
          </w:rPr>
          <w:fldChar w:fldCharType="end"/>
        </w:r>
      </w:hyperlink>
    </w:p>
    <w:p w14:paraId="5788C02D" w14:textId="209F01AE"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p>
    <w:p w14:paraId="34417197" w14:textId="77777777" w:rsidR="006E34E0" w:rsidRDefault="006E34E0" w:rsidP="006E34E0">
      <w:pPr>
        <w:pStyle w:val="Heading2"/>
        <w:rPr>
          <w:rFonts w:eastAsia="Times New Roman"/>
          <w:lang w:eastAsia="en-NZ"/>
        </w:rPr>
      </w:pPr>
      <w:bookmarkStart w:id="3" w:name="_Toc239251861"/>
      <w:r>
        <w:rPr>
          <w:rFonts w:eastAsia="Times New Roman"/>
          <w:lang w:eastAsia="en-NZ"/>
        </w:rPr>
        <w:lastRenderedPageBreak/>
        <w:t>Executive Summary</w:t>
      </w:r>
      <w:bookmarkEnd w:id="3"/>
    </w:p>
    <w:p w14:paraId="4DAF6F44" w14:textId="77777777"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5E4C737F" w14:textId="77777777"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35F7A947" w14:textId="77777777" w:rsidR="00F11AA7" w:rsidRDefault="00F11AA7">
      <w:pPr>
        <w:rPr>
          <w:kern w:val="2"/>
          <w:lang w:eastAsia="en-NZ"/>
          <w14:ligatures w14:val="standardContextual"/>
        </w:rPr>
      </w:pPr>
      <w:r>
        <w:t>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 Nor is this confined to the city's sprawling edges. The shortfall reaches into the centre itself — the densest and most specialised ground in the country, and precisely where the advantages of urban scale should be easiest to see.</w:t>
      </w:r>
    </w:p>
    <w:p w14:paraId="7925CFF9" w14:textId="77777777"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63599B27" w14:textId="77777777" w:rsidR="003A2761" w:rsidRDefault="00F11AA7">
      <w:r>
        <w:t>This does not imply an Auckland-versus-the-regions strategy. It implies the opposite. A mature spatial policy would recognise that different places perform different national functions. Auckland's job is to generate metropolitan productivity and frontier</w:t>
      </w:r>
      <w:r w:rsidR="00F175F9">
        <w:t xml:space="preserve"> </w:t>
      </w:r>
      <w:r>
        <w:t>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w:t>
      </w:r>
    </w:p>
    <w:p w14:paraId="3AA872BA" w14:textId="240EB59A" w:rsidR="00F11AA7" w:rsidRDefault="003A2761">
      <w:pPr>
        <w:rPr>
          <w:kern w:val="2"/>
          <w:lang w:eastAsia="en-NZ"/>
          <w14:ligatures w14:val="standardContextual"/>
        </w:rPr>
      </w:pPr>
      <w:r>
        <w:t>R</w:t>
      </w:r>
      <w:r w:rsidR="00065347">
        <w:t>aising Auckland’s productivity through spatial policy is a viable and sensible strategy to raise national productivity</w:t>
      </w:r>
      <w:r>
        <w:t xml:space="preserve"> materially</w:t>
      </w:r>
      <w:r w:rsidR="00065347">
        <w:t xml:space="preserve">. </w:t>
      </w:r>
    </w:p>
    <w:p w14:paraId="6B46195E" w14:textId="01438730" w:rsidR="00F11AA7" w:rsidRDefault="00F11AA7">
      <w:pPr>
        <w:rPr>
          <w:kern w:val="2"/>
          <w:lang w:eastAsia="en-NZ"/>
          <w14:ligatures w14:val="standardContextual"/>
        </w:rPr>
      </w:pPr>
      <w:r>
        <w:t xml:space="preserve">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w:t>
      </w:r>
      <w:r w:rsidR="003A2761">
        <w:t xml:space="preserve">ignore the most significant unrealised potential for raised productivity in the New Zealand economy. </w:t>
      </w:r>
    </w:p>
    <w:p w14:paraId="178671F8" w14:textId="77777777" w:rsidR="006A6424" w:rsidRPr="006A6424" w:rsidRDefault="006A6424" w:rsidP="006A6424">
      <w:pPr>
        <w:pStyle w:val="Heading2"/>
        <w:rPr>
          <w:rFonts w:eastAsia="Times New Roman"/>
          <w:lang w:eastAsia="en-NZ"/>
        </w:rPr>
      </w:pPr>
      <w:bookmarkStart w:id="4" w:name="_Toc239251862"/>
      <w:r w:rsidRPr="006A6424">
        <w:rPr>
          <w:rFonts w:eastAsia="Times New Roman"/>
          <w:lang w:eastAsia="en-NZ"/>
        </w:rPr>
        <w:lastRenderedPageBreak/>
        <w:t>1. Purpose</w:t>
      </w:r>
      <w:bookmarkEnd w:id="4"/>
    </w:p>
    <w:p w14:paraId="1BCEF98F" w14:textId="77777777"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6E489AD8"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72693DA3" w14:textId="1B2B7269"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w:t>
      </w:r>
      <w:r w:rsidR="0064779D">
        <w:rPr>
          <w:lang w:eastAsia="en-NZ"/>
        </w:rPr>
        <w:t>cut to the chase</w:t>
      </w:r>
      <w:r>
        <w:rPr>
          <w:lang w:eastAsia="en-NZ"/>
        </w:rPr>
        <w:t xml:space="preserve">. </w:t>
      </w:r>
    </w:p>
    <w:p w14:paraId="4A6E8914" w14:textId="7FB60F11" w:rsidR="00FF2A7E" w:rsidRDefault="00FF2A7E" w:rsidP="006A6424">
      <w:pPr>
        <w:rPr>
          <w:lang w:eastAsia="en-NZ"/>
        </w:rPr>
      </w:pPr>
      <w:r>
        <w:rPr>
          <w:lang w:eastAsia="en-NZ"/>
        </w:rPr>
        <w:t>Sections 6</w:t>
      </w:r>
      <w:r w:rsidR="006E34E0">
        <w:rPr>
          <w:lang w:eastAsia="en-NZ"/>
        </w:rPr>
        <w:t xml:space="preserve"> and 7</w:t>
      </w:r>
      <w:r w:rsidR="0064779D">
        <w:rPr>
          <w:lang w:eastAsia="en-NZ"/>
        </w:rPr>
        <w:t xml:space="preserve"> are the central aspect of this </w:t>
      </w:r>
      <w:proofErr w:type="gramStart"/>
      <w:r w:rsidR="0064779D">
        <w:rPr>
          <w:lang w:eastAsia="en-NZ"/>
        </w:rPr>
        <w:t xml:space="preserve">paper, </w:t>
      </w:r>
      <w:r w:rsidR="006E34E0">
        <w:rPr>
          <w:lang w:eastAsia="en-NZ"/>
        </w:rPr>
        <w:t>and</w:t>
      </w:r>
      <w:proofErr w:type="gramEnd"/>
      <w:r w:rsidR="006E34E0">
        <w:rPr>
          <w:lang w:eastAsia="en-NZ"/>
        </w:rPr>
        <w:t xml:space="preserve"> set out some core arguments for the centrality of spatial policy, particularly in Auckland, for raising productivity. </w:t>
      </w:r>
    </w:p>
    <w:p w14:paraId="0D8DAFA4" w14:textId="77777777"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0F97E539"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5141697D" w14:textId="77777777" w:rsidR="006A6424" w:rsidRPr="006A6424" w:rsidRDefault="006A6424" w:rsidP="006A6424">
      <w:pPr>
        <w:pStyle w:val="Heading2"/>
        <w:rPr>
          <w:rFonts w:eastAsia="Times New Roman"/>
          <w:lang w:eastAsia="en-NZ"/>
        </w:rPr>
      </w:pPr>
      <w:bookmarkStart w:id="5" w:name="_Toc239251863"/>
      <w:r w:rsidRPr="006A6424">
        <w:rPr>
          <w:rFonts w:eastAsia="Times New Roman"/>
          <w:lang w:eastAsia="en-NZ"/>
        </w:rPr>
        <w:lastRenderedPageBreak/>
        <w:t>2. What We Expect from Cities</w:t>
      </w:r>
      <w:bookmarkEnd w:id="5"/>
    </w:p>
    <w:p w14:paraId="5578B993"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13741C17"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6866501B" w14:textId="4F96EABF" w:rsidR="006A6424" w:rsidRDefault="006A6424" w:rsidP="006A6424">
      <w:pPr>
        <w:rPr>
          <w:lang w:eastAsia="en-NZ"/>
        </w:rPr>
      </w:pPr>
      <w:r w:rsidRPr="006A6424">
        <w:rPr>
          <w:lang w:eastAsia="en-NZ"/>
        </w:rPr>
        <w:t>None of this is new. Alfred Marshall set out the essentials in 1890, observing that firms cluster together because proximity gives them a shared pool of skilled labour, access to specialised suppliers and machinery, and an atmosphere in which the knowledge of a trade circulates almost unconsciously among those working in it (Marshall, 1890). Porter's cluster theory later extended the argument to competitiveness and to the institutions that surround firms (Porter, 2000), and Krugman and the new economic geography supplied a formal account of why activity concentrates in particular places and why peripheral economies face structural disadvantage (Krugman, 1991).</w:t>
      </w:r>
    </w:p>
    <w:p w14:paraId="1938782F" w14:textId="53F1F980" w:rsidR="006E1D9B" w:rsidRPr="006A6424" w:rsidRDefault="006E1D9B" w:rsidP="006A6424">
      <w:pPr>
        <w:rPr>
          <w:lang w:eastAsia="en-NZ"/>
        </w:rPr>
      </w:pPr>
      <w:r>
        <w:rPr>
          <w:lang w:eastAsia="en-NZ"/>
        </w:rPr>
        <w:t xml:space="preserve">The three key points are as follows. </w:t>
      </w:r>
    </w:p>
    <w:p w14:paraId="72CF0818"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0B76771C"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5AC42059"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2008A9FC" w14:textId="607C1DCE" w:rsidR="006E1D9B"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w:t>
      </w:r>
      <w:r w:rsidR="006E1D9B" w:rsidRPr="006A6424">
        <w:rPr>
          <w:lang w:eastAsia="en-NZ"/>
        </w:rPr>
        <w:t>The</w:t>
      </w:r>
      <w:r w:rsidR="006E1D9B">
        <w:rPr>
          <w:lang w:eastAsia="en-NZ"/>
        </w:rPr>
        <w:t>se</w:t>
      </w:r>
      <w:r w:rsidR="006E1D9B" w:rsidRPr="006A6424">
        <w:rPr>
          <w:lang w:eastAsia="en-NZ"/>
        </w:rPr>
        <w:t xml:space="preserve"> matching, sharing and learning mechanisms are </w:t>
      </w:r>
      <w:r w:rsidR="006E1D9B">
        <w:rPr>
          <w:lang w:eastAsia="en-NZ"/>
        </w:rPr>
        <w:t xml:space="preserve">in fact </w:t>
      </w:r>
      <w:r w:rsidR="006E1D9B" w:rsidRPr="006A6424">
        <w:rPr>
          <w:lang w:eastAsia="en-NZ"/>
        </w:rPr>
        <w:t>Marshall's three reasons, restated with a century of data behind them.</w:t>
      </w:r>
    </w:p>
    <w:p w14:paraId="1FC37FA4" w14:textId="77777777" w:rsidR="006E1D9B" w:rsidRDefault="006E1D9B" w:rsidP="006A6424">
      <w:pPr>
        <w:rPr>
          <w:lang w:eastAsia="en-NZ"/>
        </w:rPr>
      </w:pPr>
    </w:p>
    <w:p w14:paraId="3119D27F" w14:textId="24672C35" w:rsidR="006A6424" w:rsidRPr="006A6424" w:rsidRDefault="006E1D9B" w:rsidP="006A6424">
      <w:pPr>
        <w:rPr>
          <w:lang w:eastAsia="en-NZ"/>
        </w:rPr>
      </w:pPr>
      <w:r>
        <w:rPr>
          <w:lang w:eastAsia="en-NZ"/>
        </w:rPr>
        <w:t>In more depth, they consist of</w:t>
      </w:r>
      <w:r w:rsidR="005A2AAB">
        <w:rPr>
          <w:lang w:eastAsia="en-NZ"/>
        </w:rPr>
        <w:t xml:space="preserve"> - </w:t>
      </w:r>
    </w:p>
    <w:p w14:paraId="46AD15A6"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9244E07" w14:textId="77777777" w:rsidR="00FF2A7E" w:rsidRPr="006A6424" w:rsidRDefault="00FF2A7E" w:rsidP="00FF2A7E">
      <w:pPr>
        <w:pStyle w:val="ListParagraph"/>
        <w:numPr>
          <w:ilvl w:val="0"/>
          <w:numId w:val="0"/>
        </w:numPr>
        <w:ind w:left="720"/>
        <w:rPr>
          <w:lang w:eastAsia="en-NZ"/>
        </w:rPr>
      </w:pPr>
    </w:p>
    <w:p w14:paraId="00D262C0"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22230B23" w14:textId="77777777" w:rsidR="005A2AAB" w:rsidRPr="006A6424" w:rsidRDefault="005A2AAB" w:rsidP="005A2AAB">
      <w:pPr>
        <w:pStyle w:val="ListParagraph"/>
        <w:numPr>
          <w:ilvl w:val="0"/>
          <w:numId w:val="0"/>
        </w:numPr>
        <w:ind w:left="720"/>
        <w:rPr>
          <w:lang w:eastAsia="en-NZ"/>
        </w:rPr>
      </w:pPr>
    </w:p>
    <w:p w14:paraId="356EF7B6" w14:textId="77777777" w:rsidR="006A6424" w:rsidRDefault="006A6424" w:rsidP="005A2AAB">
      <w:pPr>
        <w:pStyle w:val="ListParagraph"/>
        <w:numPr>
          <w:ilvl w:val="0"/>
          <w:numId w:val="27"/>
        </w:numPr>
        <w:rPr>
          <w:lang w:eastAsia="en-NZ"/>
        </w:rPr>
      </w:pPr>
      <w:r w:rsidRPr="006A6424">
        <w:rPr>
          <w:lang w:eastAsia="en-NZ"/>
        </w:rPr>
        <w:t>Knowledge spillovers – proximity enables the transfer of tacit knowledge through face-to-face interaction, labour mobility, and informal networks (Donovan, 2019; Ahrend et al., 2015; Audretsch &amp; Feldman, 2004). The decay is sharp at short distances; as far back as 1977, 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7D21D6B8" w14:textId="77777777" w:rsidR="005A2AAB" w:rsidRPr="006A6424" w:rsidRDefault="005A2AAB" w:rsidP="005A2AAB">
      <w:pPr>
        <w:pStyle w:val="ListParagraph"/>
        <w:numPr>
          <w:ilvl w:val="0"/>
          <w:numId w:val="0"/>
        </w:numPr>
        <w:ind w:left="283"/>
        <w:rPr>
          <w:lang w:eastAsia="en-NZ"/>
        </w:rPr>
      </w:pPr>
    </w:p>
    <w:p w14:paraId="16375206"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63526959" w14:textId="77777777" w:rsidR="005A2AAB" w:rsidRPr="006A6424" w:rsidRDefault="005A2AAB" w:rsidP="005A2AAB">
      <w:pPr>
        <w:pStyle w:val="ListParagraph"/>
        <w:numPr>
          <w:ilvl w:val="0"/>
          <w:numId w:val="0"/>
        </w:numPr>
        <w:ind w:left="283"/>
        <w:rPr>
          <w:lang w:eastAsia="en-NZ"/>
        </w:rPr>
      </w:pPr>
    </w:p>
    <w:p w14:paraId="6BA06BDF" w14:textId="77777777" w:rsidR="006A6424" w:rsidRPr="005A2AAB" w:rsidRDefault="006A6424" w:rsidP="005A2AAB">
      <w:pPr>
        <w:pStyle w:val="ListParagraph"/>
        <w:numPr>
          <w:ilvl w:val="0"/>
          <w:numId w:val="27"/>
        </w:numPr>
        <w:rPr>
          <w:lang w:eastAsia="en-NZ"/>
        </w:rPr>
      </w:pPr>
      <w:r>
        <w:t xml:space="preserve">Firm competition and selection – denser markets increase competitive pressure. Careful testing, however, finds that </w:t>
      </w:r>
      <w:r w:rsidR="00A373E7">
        <w:t xml:space="preserve">competitive </w:t>
      </w:r>
      <w:r>
        <w:t>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04574379" w14:textId="77777777" w:rsidR="005A2AAB" w:rsidRPr="006A6424" w:rsidRDefault="005A2AAB" w:rsidP="005A2AAB">
      <w:pPr>
        <w:pStyle w:val="ListParagraph"/>
        <w:numPr>
          <w:ilvl w:val="0"/>
          <w:numId w:val="0"/>
        </w:numPr>
        <w:ind w:left="283"/>
        <w:rPr>
          <w:lang w:eastAsia="en-NZ"/>
        </w:rPr>
      </w:pPr>
    </w:p>
    <w:p w14:paraId="22C43D5E"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5D7312C4"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22A3DE51"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03949F99"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77BB5FB5" w14:textId="77777777" w:rsidR="006A6424" w:rsidRPr="00FF2A7E" w:rsidRDefault="006A6424" w:rsidP="00FF2A7E">
      <w:pPr>
        <w:pStyle w:val="Heading2"/>
      </w:pPr>
      <w:bookmarkStart w:id="6" w:name="_Toc239251864"/>
      <w:r w:rsidRPr="00FF2A7E">
        <w:lastRenderedPageBreak/>
        <w:t>3. Core Diagnosis: Growth, Capital Pressure, and Productivity</w:t>
      </w:r>
      <w:bookmarkEnd w:id="6"/>
    </w:p>
    <w:p w14:paraId="6A53AC9F" w14:textId="77777777" w:rsidR="006A6424" w:rsidRPr="006A6424" w:rsidRDefault="006A6424" w:rsidP="006A6424">
      <w:pPr>
        <w:rPr>
          <w:lang w:eastAsia="en-NZ"/>
        </w:rPr>
      </w:pPr>
      <w:r w:rsidRPr="006A6424">
        <w:rPr>
          <w:lang w:eastAsia="en-NZ"/>
        </w:rPr>
        <w:t>New Zealand's productivity problem is, in part, a spatial allocation problem.</w:t>
      </w:r>
    </w:p>
    <w:p w14:paraId="271231FF"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0014BC23" w14:textId="77777777" w:rsidR="006A6424" w:rsidRPr="006A6424" w:rsidRDefault="006A6424" w:rsidP="006A6424">
      <w:pPr>
        <w:rPr>
          <w:lang w:eastAsia="en-NZ"/>
        </w:rPr>
      </w:pPr>
      <w:r w:rsidRPr="006A6424">
        <w:rPr>
          <w:lang w:eastAsia="en-NZ"/>
        </w:rPr>
        <w:t>This can be understood as a sequence of empirically observable developments.</w:t>
      </w:r>
    </w:p>
    <w:p w14:paraId="36823C8B"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3D597252" w14:textId="77777777" w:rsidR="0080550B" w:rsidRDefault="006A6424" w:rsidP="006A6424">
      <w:pPr>
        <w:rPr>
          <w:lang w:eastAsia="en-NZ"/>
        </w:rPr>
      </w:pPr>
      <w:r>
        <w:t>New Zealand has experienced sustained population growth — 27.3% between 2006 and 2025, an increase of approximately 1.14 million people (Statistics New Zealand, 2025). This sustained growth rate differentiates New Zealand from many OECD peers, where population growth has slowed more markedly and is increasingly driven by ageing dynamics rather than migration.</w:t>
      </w:r>
    </w:p>
    <w:p w14:paraId="2B838264"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6F2DFE8E" w14:textId="77777777"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528B91AF"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F60C967"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4F1B64A9" w14:textId="4B2A0D16" w:rsidR="006A6424" w:rsidRDefault="006A6424" w:rsidP="0080550B">
      <w:r>
        <w:t xml:space="preserve">Since the early 1990s, international migration has become the dominant component of population growth. The immigrant share of the population rose from 15% in 1990 to 27% in 2019, a higher share than most OECD comparators, exceeded only by Australia (Javed et al., 2026). </w:t>
      </w:r>
      <w:r w:rsidR="00644044">
        <w:t xml:space="preserve">Migration has an uneven spatial incidence, explained further below. </w:t>
      </w:r>
    </w:p>
    <w:p w14:paraId="6FE1EA83" w14:textId="77777777" w:rsidR="00644044" w:rsidRDefault="00644044" w:rsidP="0080550B"/>
    <w:p w14:paraId="0256FF3B" w14:textId="77777777" w:rsidR="00644044" w:rsidRDefault="00644044" w:rsidP="0080550B"/>
    <w:p w14:paraId="73725373" w14:textId="77777777" w:rsidR="00644044" w:rsidRPr="006A6424" w:rsidRDefault="00644044" w:rsidP="0080550B">
      <w:pPr>
        <w:rPr>
          <w:lang w:eastAsia="en-NZ"/>
        </w:rPr>
      </w:pPr>
    </w:p>
    <w:p w14:paraId="14876601" w14:textId="77777777" w:rsidR="006A6424" w:rsidRDefault="006A6424" w:rsidP="0080550B">
      <w:pPr>
        <w:pStyle w:val="Caption"/>
      </w:pPr>
      <w:r w:rsidRPr="006A6424">
        <w:lastRenderedPageBreak/>
        <w:t>Figure 2: Components of population growth (migration vs natural increase, 1990–present)</w:t>
      </w:r>
    </w:p>
    <w:p w14:paraId="2960FF85"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89E2D6" w14:textId="6E569DBB" w:rsidR="00644044" w:rsidRPr="006A6424" w:rsidRDefault="00644044" w:rsidP="00644044">
      <w:pPr>
        <w:pStyle w:val="Heading4"/>
        <w:rPr>
          <w:rFonts w:eastAsia="Times New Roman"/>
          <w:lang w:eastAsia="en-NZ"/>
        </w:rPr>
      </w:pPr>
      <w:r>
        <w:rPr>
          <w:rFonts w:eastAsia="Times New Roman"/>
          <w:lang w:eastAsia="en-NZ"/>
        </w:rPr>
        <w:t>3</w:t>
      </w:r>
      <w:r w:rsidRPr="006A6424">
        <w:rPr>
          <w:rFonts w:eastAsia="Times New Roman"/>
          <w:lang w:eastAsia="en-NZ"/>
        </w:rPr>
        <w:t>.</w:t>
      </w:r>
      <w:r>
        <w:rPr>
          <w:rFonts w:eastAsia="Times New Roman"/>
          <w:lang w:eastAsia="en-NZ"/>
        </w:rPr>
        <w:t>3</w:t>
      </w:r>
      <w:r w:rsidRPr="006A6424">
        <w:rPr>
          <w:rFonts w:eastAsia="Times New Roman"/>
          <w:lang w:eastAsia="en-NZ"/>
        </w:rPr>
        <w:t xml:space="preserve"> </w:t>
      </w:r>
      <w:r>
        <w:rPr>
          <w:rFonts w:eastAsia="Times New Roman"/>
          <w:lang w:eastAsia="en-NZ"/>
        </w:rPr>
        <w:t>Migration-driven g</w:t>
      </w:r>
      <w:r w:rsidRPr="006A6424">
        <w:rPr>
          <w:rFonts w:eastAsia="Times New Roman"/>
          <w:lang w:eastAsia="en-NZ"/>
        </w:rPr>
        <w:t>rowth is not spatially neutral—it lands disproportionately in metros</w:t>
      </w:r>
    </w:p>
    <w:p w14:paraId="20CFDA6D" w14:textId="77777777" w:rsidR="00644044" w:rsidRDefault="00644044" w:rsidP="00644044">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w:t>
      </w:r>
    </w:p>
    <w:p w14:paraId="60FB414A" w14:textId="52CBC786" w:rsidR="00644044" w:rsidRDefault="00644044" w:rsidP="00644044">
      <w:pPr>
        <w:rPr>
          <w:lang w:eastAsia="en-NZ"/>
        </w:rPr>
      </w:pPr>
      <w:r>
        <w:t xml:space="preserve">Migrants disproportionately locate in large cities, attracted </w:t>
      </w:r>
      <w:r w:rsidRPr="006A6424">
        <w:rPr>
          <w:lang w:eastAsia="en-NZ"/>
        </w:rPr>
        <w:t xml:space="preserve">by </w:t>
      </w:r>
      <w:r>
        <w:rPr>
          <w:lang w:eastAsia="en-NZ"/>
        </w:rPr>
        <w:t xml:space="preserve">deep </w:t>
      </w:r>
      <w:r w:rsidRPr="006A6424">
        <w:rPr>
          <w:lang w:eastAsia="en-NZ"/>
        </w:rPr>
        <w:t xml:space="preserve">labour markets, existing </w:t>
      </w:r>
      <w:r>
        <w:rPr>
          <w:lang w:eastAsia="en-NZ"/>
        </w:rPr>
        <w:t xml:space="preserve">migrant </w:t>
      </w:r>
      <w:r w:rsidRPr="006A6424">
        <w:rPr>
          <w:lang w:eastAsia="en-NZ"/>
        </w:rPr>
        <w:t>communities, and access to services</w:t>
      </w:r>
      <w:r>
        <w:rPr>
          <w:lang w:eastAsia="en-NZ"/>
        </w:rPr>
        <w:t>. This settlement pattern r</w:t>
      </w:r>
      <w:r>
        <w:t>einforces existing agglomeration patterns and concentrates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(Statistics New Zealand, 2025).</w:t>
      </w:r>
    </w:p>
    <w:p w14:paraId="7D0A3B17" w14:textId="6EB23060" w:rsidR="00644044" w:rsidRPr="00644044" w:rsidRDefault="00644044" w:rsidP="00644044">
      <w:pPr>
        <w:rPr>
          <w:lang w:eastAsia="en-NZ"/>
        </w:rPr>
      </w:pPr>
      <w:r w:rsidRPr="006A6424">
        <w:rPr>
          <w:lang w:eastAsia="en-NZ"/>
        </w:rPr>
        <w:t>This creates persistent, place-specific demand shocks, rather than evenly distributed national growth.</w:t>
      </w:r>
    </w:p>
    <w:p w14:paraId="09374BEA" w14:textId="18654AD5"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sidR="00644044">
        <w:rPr>
          <w:rFonts w:eastAsia="Times New Roman"/>
          <w:lang w:eastAsia="en-NZ"/>
        </w:rPr>
        <w:t>4</w:t>
      </w:r>
      <w:r w:rsidR="006A6424" w:rsidRPr="006A6424">
        <w:rPr>
          <w:rFonts w:eastAsia="Times New Roman"/>
          <w:lang w:eastAsia="en-NZ"/>
        </w:rPr>
        <w:t xml:space="preserve"> New Zealand became "metropolitanised" fast and late</w:t>
      </w:r>
    </w:p>
    <w:p w14:paraId="29680522" w14:textId="140E9929" w:rsidR="006A6424" w:rsidRDefault="006A6424" w:rsidP="0080550B">
      <w:r>
        <w:t>The shift to migration-led growth resulted in a relatively rapid metropolitanisation of population growth. New Zealand urbanised, i.e. moved to towns rather than the countryside, around the same time as most comparator advanced economies</w:t>
      </w:r>
      <w:r w:rsidR="00175072">
        <w:t xml:space="preserve">. 1911 was the official year that </w:t>
      </w:r>
      <w:r w:rsidR="00644044">
        <w:t>New Zealand transitioned to over 50% of its population living in boroughs and cities. However,</w:t>
      </w:r>
      <w:r>
        <w:t xml:space="preserve"> Auckland remained relatively small: at the 1991 census it was home to roughly 890,000 people, a little over a quarter of New Zealand's 3.37 million (Statistics New Zealand, 1991). Once migration became the primary driver, however, growth concentrated sharply in Auckland. The city has grown roughly twice as fast as the rest of the country since 1991, absorbing more than 40% of all national population growth and lifting its share of the national population from just over a quarter to a third — 1.66 million of 4.99 million at the 2023 census (Statistics New Zealand, 2023).</w:t>
      </w:r>
    </w:p>
    <w:p w14:paraId="4243F773" w14:textId="77777777" w:rsidR="00644044" w:rsidRPr="006A6424" w:rsidRDefault="00644044" w:rsidP="0080550B">
      <w:pPr>
        <w:rPr>
          <w:lang w:eastAsia="en-NZ"/>
        </w:rPr>
      </w:pPr>
    </w:p>
    <w:p w14:paraId="1699BAE0" w14:textId="77777777" w:rsidR="006A6424" w:rsidRDefault="006A6424" w:rsidP="0080550B">
      <w:pPr>
        <w:pStyle w:val="Caption"/>
      </w:pPr>
      <w:r w:rsidRPr="006A6424">
        <w:lastRenderedPageBreak/>
        <w:t xml:space="preserve">Figure 3: </w:t>
      </w:r>
      <w:r w:rsidR="0080550B">
        <w:t>% of New Zealanders living in cities</w:t>
      </w:r>
      <w:r w:rsidR="00AF0C1E">
        <w:t xml:space="preserve"> (World Bank)</w:t>
      </w:r>
    </w:p>
    <w:p w14:paraId="22A2EED4"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47FEBF"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6D04A2C0"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65E496E2" w14:textId="77777777" w:rsidR="006A6424" w:rsidRDefault="006A6424" w:rsidP="00AF0C1E">
      <w:pPr>
        <w:pStyle w:val="Caption"/>
      </w:pPr>
      <w:r w:rsidRPr="00AF0C1E">
        <w:t>Figure 4: Infrastructure investment vs estimated demand / gap</w:t>
      </w:r>
      <w:r w:rsidR="00AF0C1E">
        <w:t xml:space="preserve"> (Te Waihanga 2026)</w:t>
      </w:r>
    </w:p>
    <w:p w14:paraId="0D7D551D"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1C36FA6D"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0431E69E"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0968E5A9"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183F48F5" w14:textId="77777777" w:rsidR="006A6424" w:rsidRPr="00AF0C1E" w:rsidRDefault="006A6424" w:rsidP="006A6424">
      <w:pPr>
        <w:rPr>
          <w:lang w:eastAsia="en-NZ"/>
        </w:rPr>
      </w:pPr>
      <w:r w:rsidRPr="00AF0C1E">
        <w:rPr>
          <w:lang w:eastAsia="en-NZ"/>
        </w:rPr>
        <w:t>These pressures are not cyclical—they are systemic features of the growth model.</w:t>
      </w:r>
    </w:p>
    <w:p w14:paraId="5090091F" w14:textId="77777777" w:rsidR="006A6424" w:rsidRPr="006A6424" w:rsidRDefault="0066185C" w:rsidP="00AF1867">
      <w:pPr>
        <w:pStyle w:val="Heading4"/>
        <w:rPr>
          <w:rFonts w:eastAsia="Times New Roman"/>
          <w:lang w:eastAsia="en-NZ"/>
        </w:rPr>
      </w:pPr>
      <w:r>
        <w:rPr>
          <w:rFonts w:eastAsia="Times New Roman"/>
          <w:lang w:eastAsia="en-NZ"/>
        </w:rPr>
        <w:lastRenderedPageBreak/>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40BAD03D"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59D3962A"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2534B994" w14:textId="77777777" w:rsidR="006A6424" w:rsidRPr="005A2AAB" w:rsidRDefault="0066185C" w:rsidP="00AF1867">
      <w:pPr>
        <w:pStyle w:val="Heading4"/>
      </w:pPr>
      <w:r>
        <w:t>3</w:t>
      </w:r>
      <w:r w:rsidR="006A6424" w:rsidRPr="005A2AAB">
        <w:t>.</w:t>
      </w:r>
      <w:r>
        <w:t>8</w:t>
      </w:r>
      <w:r w:rsidR="006A6424" w:rsidRPr="005A2AAB">
        <w:t xml:space="preserve"> These dynamics create binding constraints within metropolitan areas</w:t>
      </w:r>
    </w:p>
    <w:p w14:paraId="72C020F4" w14:textId="77777777" w:rsidR="006A6424" w:rsidRPr="006A6424" w:rsidRDefault="006A6424" w:rsidP="0066185C">
      <w:pPr>
        <w:rPr>
          <w:lang w:eastAsia="en-NZ"/>
        </w:rPr>
      </w:pPr>
      <w:r w:rsidRPr="006A6424">
        <w:rPr>
          <w:lang w:eastAsia="en-NZ"/>
        </w:rPr>
        <w:t>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provision reinforces inefficient urban form (World Bank, 2009), and firms face higher costs and reduced ability to scale.</w:t>
      </w:r>
    </w:p>
    <w:p w14:paraId="4FBD27B3"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26A8EFFF"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9B2F01">
        <w:rPr>
          <w:lang w:eastAsia="en-NZ"/>
        </w:rPr>
        <w:t>Nunns, 2019; Ministry of Housing and Urban Development, 2024</w:t>
      </w:r>
      <w:r w:rsidRPr="009B2F01">
        <w:rPr>
          <w:lang w:eastAsia="en-NZ"/>
        </w:rPr>
        <w:t>),</w:t>
      </w:r>
      <w:r w:rsidRPr="006A6424">
        <w:rPr>
          <w:lang w:eastAsia="en-NZ"/>
        </w:rPr>
        <w:t xml:space="preserve"> firms cannot fully access deep labour markets (Maré &amp; Graham, 2009), and capital is concentrated in land and existing assets rather than innovation (Ministry of Housing and Urban Development, 2024; Winter et al., 2025).</w:t>
      </w:r>
    </w:p>
    <w:p w14:paraId="3A0BC7AE"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70F820F8" w14:textId="04D51201"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 xml:space="preserve">produces a low-productivity </w:t>
      </w:r>
      <w:r w:rsidR="00F2020F">
        <w:rPr>
          <w:rFonts w:eastAsia="Times New Roman"/>
          <w:lang w:eastAsia="en-NZ"/>
        </w:rPr>
        <w:t>status quo</w:t>
      </w:r>
    </w:p>
    <w:p w14:paraId="7A15C439" w14:textId="5C40DD4D" w:rsidR="006A6424" w:rsidRPr="006A6424" w:rsidRDefault="006A6424" w:rsidP="005A2AAB">
      <w:pPr>
        <w:rPr>
          <w:lang w:eastAsia="en-NZ"/>
        </w:rPr>
      </w:pPr>
      <w:r w:rsidRPr="006A6424">
        <w:rPr>
          <w:lang w:eastAsia="en-NZ"/>
        </w:rPr>
        <w:t xml:space="preserve">Taken together, these dynamics generate a low-productivity </w:t>
      </w:r>
      <w:r w:rsidR="00F2020F">
        <w:rPr>
          <w:lang w:eastAsia="en-NZ"/>
        </w:rPr>
        <w:t>status quo</w:t>
      </w:r>
      <w:r w:rsidRPr="006A6424">
        <w:rPr>
          <w:lang w:eastAsia="en-NZ"/>
        </w:rPr>
        <w:t>. Population and economic growth continue, but the benefits of growth are diluted. Capital accumulates in non-productive assets, and cities expand without delivering expected productivity gains.</w:t>
      </w:r>
    </w:p>
    <w:p w14:paraId="3015C1E8"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4DBCBD38" w14:textId="77777777" w:rsidR="006A6424" w:rsidRDefault="006A6424" w:rsidP="005A2AAB">
      <w:pPr>
        <w:rPr>
          <w:lang w:eastAsia="en-NZ"/>
        </w:rPr>
      </w:pPr>
      <w:r w:rsidRPr="006A6424">
        <w:rPr>
          <w:lang w:eastAsia="en-NZ"/>
        </w:rPr>
        <w:t>The chain is worth stating plainly, because the individual links are better evidenced than the whole. New Zealand grows quickly, and since the early 1990s that growth has been driven by migration rather than natural increase. Migration-led growth lands in metropolitan areas, and overwhelmingly in one. The housing and infrastructure systems of that metropolitan area cannot absorb it at the rate it arrives. The costs of absorbing it — land, housing, congestion, catch-up infrastructure — draw in capital that would otherwise go to firms, equipment and technology. And because growth is accommodated at the periphery rather than in the places where it would be most productive, the city becomes larger without becoming proportionally better connected. Each step in that sequence is ordinary. The compound effect is a country that runs hard and converts less of the effort into output per worker than it should.</w:t>
      </w:r>
    </w:p>
    <w:p w14:paraId="061C4C08" w14:textId="77777777" w:rsidR="00F2020F" w:rsidRDefault="00F2020F" w:rsidP="00F2020F">
      <w:pPr>
        <w:rPr>
          <w:lang w:eastAsia="en-NZ"/>
        </w:rPr>
      </w:pPr>
    </w:p>
    <w:p w14:paraId="6269493D" w14:textId="77777777" w:rsidR="00F2020F" w:rsidRDefault="00F2020F" w:rsidP="00F2020F">
      <w:pPr>
        <w:rPr>
          <w:lang w:eastAsia="en-NZ"/>
        </w:rPr>
      </w:pPr>
    </w:p>
    <w:p w14:paraId="2FB1819E" w14:textId="340D4E17" w:rsidR="00F2020F" w:rsidRPr="00F2020F" w:rsidRDefault="00F2020F" w:rsidP="00F2020F">
      <w:pPr>
        <w:pStyle w:val="Heading4"/>
        <w:rPr>
          <w:rFonts w:eastAsia="Times New Roman"/>
          <w:lang w:eastAsia="en-NZ"/>
        </w:rPr>
      </w:pPr>
      <w:r>
        <w:rPr>
          <w:rFonts w:eastAsia="Times New Roman"/>
          <w:lang w:eastAsia="en-NZ"/>
        </w:rPr>
        <w:lastRenderedPageBreak/>
        <w:t>3</w:t>
      </w:r>
      <w:r w:rsidRPr="006A6424">
        <w:rPr>
          <w:rFonts w:eastAsia="Times New Roman"/>
          <w:lang w:eastAsia="en-NZ"/>
        </w:rPr>
        <w:t>.</w:t>
      </w:r>
      <w:r>
        <w:rPr>
          <w:rFonts w:eastAsia="Times New Roman"/>
          <w:lang w:eastAsia="en-NZ"/>
        </w:rPr>
        <w:t>1</w:t>
      </w:r>
      <w:r>
        <w:rPr>
          <w:rFonts w:eastAsia="Times New Roman"/>
          <w:lang w:eastAsia="en-NZ"/>
        </w:rPr>
        <w:t>1</w:t>
      </w:r>
      <w:r w:rsidRPr="006A6424">
        <w:rPr>
          <w:rFonts w:eastAsia="Times New Roman"/>
          <w:lang w:eastAsia="en-NZ"/>
        </w:rPr>
        <w:t xml:space="preserve"> </w:t>
      </w:r>
      <w:r>
        <w:rPr>
          <w:rFonts w:eastAsia="Times New Roman"/>
          <w:lang w:eastAsia="en-NZ"/>
        </w:rPr>
        <w:t xml:space="preserve">Why is Auckland different? </w:t>
      </w:r>
    </w:p>
    <w:p w14:paraId="36D9D45C" w14:textId="0A310A48" w:rsidR="00F2020F" w:rsidRPr="00AF0C1E" w:rsidRDefault="00F2020F" w:rsidP="00F2020F">
      <w:pPr>
        <w:rPr>
          <w:lang w:eastAsia="en-NZ"/>
        </w:rPr>
      </w:pPr>
      <w:r w:rsidRPr="00AF0C1E">
        <w:rPr>
          <w:lang w:eastAsia="en-NZ"/>
        </w:rPr>
        <w:t>The</w:t>
      </w:r>
      <w:r>
        <w:rPr>
          <w:lang w:eastAsia="en-NZ"/>
        </w:rPr>
        <w:t xml:space="preserve"> diseconomies of scale noted in this section – congestion, high housing cost, and infrastructure deficit – are</w:t>
      </w:r>
      <w:r w:rsidRPr="00AF0C1E">
        <w:rPr>
          <w:lang w:eastAsia="en-NZ"/>
        </w:rPr>
        <w:t>, however, common to almost every successful city in the world. London, Sydney, Amsterdam and Tel Aviv are congested and expensive. If these pressures are universal among cities that perform well, they cannot by themselves explain why Auckland performs badly.</w:t>
      </w:r>
    </w:p>
    <w:p w14:paraId="5DB4A0AA" w14:textId="77777777" w:rsidR="00F2020F" w:rsidRPr="00AF0C1E" w:rsidRDefault="00F2020F" w:rsidP="00F2020F">
      <w:pPr>
        <w:rPr>
          <w:lang w:eastAsia="en-NZ"/>
        </w:rPr>
      </w:pPr>
      <w:r w:rsidRPr="00AF0C1E">
        <w:rPr>
          <w:lang w:eastAsia="en-NZ"/>
        </w:rPr>
        <w:t>In a well-functioning city these costs are the price of access to something valuable. Congestion and high housing costs are symptoms of demand: a great many people and firms want to occupy the same ground, because being there makes them more productive and better paid. The diagnostic question is therefore not whether a city carries these costs, but what the costs buy. Where they buy access to a deep labour market, dense supplier networks and high-value work, they are the ordinary price of agglomeration and are, in a rough sense, worth paying.</w:t>
      </w:r>
    </w:p>
    <w:p w14:paraId="75849264" w14:textId="77777777" w:rsidR="00F2020F" w:rsidRPr="00AF0C1E" w:rsidRDefault="00F2020F" w:rsidP="00F2020F">
      <w:pPr>
        <w:rPr>
          <w:lang w:eastAsia="en-NZ"/>
        </w:rPr>
      </w:pPr>
      <w:r w:rsidRPr="00AF0C1E">
        <w:rPr>
          <w:lang w:eastAsia="en-NZ"/>
        </w:rPr>
        <w:t>This is where Auckland is anomalous. It carries the cost structure of a successful agglomeration while returning the productivity structure of an unsuccessful one. Housing is severely unaffordable by international standards and the city is among the most congested in its peer group, yet its productivity premium over the rest of New Zealand is around 15%, against 30–40% for comparable peer cities, and its city centre — the densest and most specialised ground in the country — produces less output per worker than two-thirds of comparable international city centres (Committee for Auckland et al., 2025; The Business of Cities &amp; Committee for Auckland, 2026). Aucklanders pay agglomeration prices without receiving agglomeration returns.</w:t>
      </w:r>
    </w:p>
    <w:p w14:paraId="3FC655E4" w14:textId="2B5E4624" w:rsidR="00F2020F" w:rsidRPr="006A6424" w:rsidRDefault="00F2020F" w:rsidP="005A2AAB">
      <w:pPr>
        <w:rPr>
          <w:lang w:eastAsia="en-NZ"/>
        </w:rPr>
      </w:pPr>
      <w:r w:rsidRPr="00AF0C1E">
        <w:rPr>
          <w:lang w:eastAsia="en-NZ"/>
        </w:rPr>
        <w:t xml:space="preserve">That framing also supplies a test the argument </w:t>
      </w:r>
      <w:proofErr w:type="gramStart"/>
      <w:r w:rsidRPr="00AF0C1E">
        <w:rPr>
          <w:lang w:eastAsia="en-NZ"/>
        </w:rPr>
        <w:t>has to</w:t>
      </w:r>
      <w:proofErr w:type="gramEnd"/>
      <w:r w:rsidRPr="00AF0C1E">
        <w:rPr>
          <w:lang w:eastAsia="en-NZ"/>
        </w:rPr>
        <w:t xml:space="preserve"> meet. If Auckland's costs were simply the price of scale, its productivity premium should be roughly commensurate with them. It is not. The gap between what Auckland charges its residents and firms to be there and what it returns to them in productivity is the thing this paper is trying to explain.</w:t>
      </w:r>
    </w:p>
    <w:p w14:paraId="5CB3E25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7BFDF026" w14:textId="77777777" w:rsidR="006A6424" w:rsidRPr="006A6424" w:rsidRDefault="006A6424" w:rsidP="005A2AAB">
      <w:pPr>
        <w:pStyle w:val="Heading2"/>
        <w:rPr>
          <w:rFonts w:eastAsia="Times New Roman"/>
          <w:lang w:eastAsia="en-NZ"/>
        </w:rPr>
      </w:pPr>
      <w:bookmarkStart w:id="7" w:name="_Toc239251865"/>
      <w:r w:rsidRPr="006A6424">
        <w:rPr>
          <w:rFonts w:eastAsia="Times New Roman"/>
          <w:lang w:eastAsia="en-NZ"/>
        </w:rPr>
        <w:lastRenderedPageBreak/>
        <w:t>4. Spatial Policy as a System Lever</w:t>
      </w:r>
      <w:bookmarkEnd w:id="7"/>
    </w:p>
    <w:p w14:paraId="57F2E0E2"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1BAA1A57"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67C14615"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7CAA8298"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346101CC" w14:textId="77777777" w:rsidR="00920D09" w:rsidRPr="005A2AAB" w:rsidRDefault="00920D09" w:rsidP="00920D09">
      <w:pPr>
        <w:pStyle w:val="ListParagraph"/>
        <w:numPr>
          <w:ilvl w:val="0"/>
          <w:numId w:val="0"/>
        </w:numPr>
        <w:ind w:left="720"/>
        <w:rPr>
          <w:lang w:eastAsia="en-NZ"/>
        </w:rPr>
      </w:pPr>
    </w:p>
    <w:p w14:paraId="088EBD43"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66FF781F" w14:textId="77777777" w:rsidR="00920D09" w:rsidRPr="005A2AAB" w:rsidRDefault="00920D09" w:rsidP="00920D09">
      <w:pPr>
        <w:pStyle w:val="ListParagraph"/>
        <w:numPr>
          <w:ilvl w:val="0"/>
          <w:numId w:val="0"/>
        </w:numPr>
        <w:ind w:left="283"/>
        <w:rPr>
          <w:lang w:eastAsia="en-NZ"/>
        </w:rPr>
      </w:pPr>
    </w:p>
    <w:p w14:paraId="71B033B8"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0FBD20B8" w14:textId="77777777" w:rsidR="00920D09" w:rsidRPr="005A2AAB" w:rsidRDefault="00920D09" w:rsidP="00920D09">
      <w:pPr>
        <w:pStyle w:val="ListParagraph"/>
        <w:numPr>
          <w:ilvl w:val="0"/>
          <w:numId w:val="0"/>
        </w:numPr>
        <w:ind w:left="283"/>
        <w:rPr>
          <w:lang w:eastAsia="en-NZ"/>
        </w:rPr>
      </w:pPr>
    </w:p>
    <w:p w14:paraId="659CE485"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4EF7AC90" w14:textId="77777777" w:rsidR="00920D09" w:rsidRPr="005A2AAB" w:rsidRDefault="00920D09" w:rsidP="00920D09">
      <w:pPr>
        <w:pStyle w:val="ListParagraph"/>
        <w:numPr>
          <w:ilvl w:val="0"/>
          <w:numId w:val="0"/>
        </w:numPr>
        <w:ind w:left="283"/>
        <w:rPr>
          <w:lang w:eastAsia="en-NZ"/>
        </w:rPr>
      </w:pPr>
    </w:p>
    <w:p w14:paraId="0EA3FFE2"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449C4656" w14:textId="77777777" w:rsidR="00920D09" w:rsidRPr="005A2AAB" w:rsidRDefault="00920D09" w:rsidP="00920D09">
      <w:pPr>
        <w:pStyle w:val="ListParagraph"/>
        <w:numPr>
          <w:ilvl w:val="0"/>
          <w:numId w:val="0"/>
        </w:numPr>
        <w:ind w:left="283"/>
        <w:rPr>
          <w:lang w:eastAsia="en-NZ"/>
        </w:rPr>
      </w:pPr>
    </w:p>
    <w:p w14:paraId="3A4324CA"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3CE7212A"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09F0228D"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5C6A29FA"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6FD942D8"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7CE64F4D" w14:textId="77777777" w:rsidR="00920D09" w:rsidRDefault="00920D09" w:rsidP="00920D09">
      <w:pPr>
        <w:rPr>
          <w:lang w:eastAsia="en-NZ"/>
        </w:rPr>
      </w:pPr>
    </w:p>
    <w:p w14:paraId="2A7D4079" w14:textId="77777777" w:rsidR="00920D09" w:rsidRPr="006A6424" w:rsidRDefault="00920D09" w:rsidP="00920D09">
      <w:pPr>
        <w:rPr>
          <w:lang w:eastAsia="en-NZ"/>
        </w:rPr>
      </w:pPr>
    </w:p>
    <w:p w14:paraId="221F3368" w14:textId="77777777" w:rsidR="006A6424" w:rsidRPr="006A6424" w:rsidRDefault="006A6424" w:rsidP="00920D09">
      <w:pPr>
        <w:pStyle w:val="Heading2"/>
        <w:rPr>
          <w:rFonts w:eastAsia="Times New Roman"/>
          <w:lang w:eastAsia="en-NZ"/>
        </w:rPr>
      </w:pPr>
      <w:bookmarkStart w:id="8" w:name="_Toc239251866"/>
      <w:r>
        <w:lastRenderedPageBreak/>
        <w:t>5. The New Zealand Spatial System — Evidence and Mechanisms</w:t>
      </w:r>
      <w:bookmarkEnd w:id="8"/>
    </w:p>
    <w:p w14:paraId="2203E145"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09E5C84C"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4F41AFE0" w14:textId="77777777" w:rsidR="006A6424" w:rsidRPr="006A6424" w:rsidRDefault="006A6424" w:rsidP="00920D09">
      <w:pPr>
        <w:rPr>
          <w:lang w:eastAsia="en-NZ"/>
        </w:rPr>
      </w:pPr>
      <w:r w:rsidRPr="006A6424">
        <w:rPr>
          <w:lang w:eastAsia="en-NZ"/>
        </w:rPr>
        <w:t>This pattern is consistent with international evidence: high-value, knowledge-intensive services tend to concentrate in large metropolitan areas where agglomeration benefits are strongest, including through knowledge spillovers associated with a more highly-educated workforce (Ahlfeldt &amp; Pietrostefani, 2019; Ahrend et al., 2015). This is not a contested proposition within government. MBIE and MFAT’s own 2025 Long-term Insights Briefing states that “industrial clusters and agglomeration effects are critical for knowledge-intensive industries, which benefit from proximity, talent pooling and rapid exchange of ideas”, and makes internationally oriented knowledge-intensive clusters one of its five guiding principles (MBIE &amp; MFAT, 2025, pp. 25, 54).</w:t>
      </w:r>
    </w:p>
    <w:p w14:paraId="2604FAEB"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6054F89D" w14:textId="77777777" w:rsidTr="002C3C6F">
        <w:tc>
          <w:tcPr>
            <w:tcW w:w="9622" w:type="dxa"/>
            <w:shd w:val="clear" w:color="auto" w:fill="D0EBB3"/>
            <w:tcMar>
              <w:top w:w="170" w:type="dxa"/>
              <w:left w:w="170" w:type="dxa"/>
              <w:bottom w:w="170" w:type="dxa"/>
              <w:right w:w="170" w:type="dxa"/>
            </w:tcMar>
          </w:tcPr>
          <w:p w14:paraId="281ADB58" w14:textId="77777777" w:rsidR="0066185C" w:rsidRPr="0066185C" w:rsidRDefault="0066185C" w:rsidP="00920D09">
            <w:pPr>
              <w:rPr>
                <w:b/>
                <w:bCs/>
                <w:lang w:eastAsia="en-NZ"/>
              </w:rPr>
            </w:pPr>
            <w:r>
              <w:rPr>
                <w:b/>
                <w:bCs/>
                <w:lang w:eastAsia="en-NZ"/>
              </w:rPr>
              <w:t>The Auckland Productivity Premium</w:t>
            </w:r>
          </w:p>
          <w:p w14:paraId="295D8DDF" w14:textId="77777777" w:rsidR="0066185C" w:rsidRDefault="0066185C" w:rsidP="00920D09">
            <w:pPr>
              <w:rPr>
                <w:lang w:eastAsia="en-NZ"/>
              </w:rPr>
            </w:pPr>
            <w:r w:rsidRPr="006A6424">
              <w:rPr>
                <w:lang w:eastAsia="en-NZ"/>
              </w:rPr>
              <w:t>Calculating the productivity premium of Auckland as a city and comparing it to others is not an exact science, and depends on how you define the city (and the city to which you compare it), and the measure you use (e.g. GDP/capita, GDP/hour worked, &amp;c). However, enough repeat measures tell a similar story to be confident in Auckland's low premium.</w:t>
            </w:r>
          </w:p>
          <w:p w14:paraId="051861C2"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136AF65E"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097A320B"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p w14:paraId="069A484E" w14:textId="5B7FEC90" w:rsidR="008D6889" w:rsidRDefault="008D6889" w:rsidP="00920D09">
            <w:pPr>
              <w:rPr>
                <w:lang w:eastAsia="en-NZ"/>
              </w:rPr>
            </w:pPr>
            <w:r>
              <w:rPr>
                <w:lang w:eastAsia="en-NZ"/>
              </w:rPr>
              <w:t xml:space="preserve">Two </w:t>
            </w:r>
            <w:r w:rsidR="00DD67AB">
              <w:rPr>
                <w:lang w:eastAsia="en-NZ"/>
              </w:rPr>
              <w:t xml:space="preserve">caveats should moderate </w:t>
            </w:r>
            <w:r>
              <w:rPr>
                <w:lang w:eastAsia="en-NZ"/>
              </w:rPr>
              <w:t>the peer comparisons. Dublin, Helsinki and Tel Aviv sit within more densely connected regional economic systems than Auckland does, so the gap should not be read as a like-for-like performance difference</w:t>
            </w:r>
            <w:r w:rsidR="00DD67AB">
              <w:rPr>
                <w:lang w:eastAsia="en-NZ"/>
              </w:rPr>
              <w:t xml:space="preserve">. </w:t>
            </w:r>
            <w:r>
              <w:rPr>
                <w:lang w:eastAsia="en-NZ"/>
              </w:rPr>
              <w:t>But Auckland is also larger than Dublin and Helsinki, which makes the direction of the gap harder to explain away on scale alone</w:t>
            </w:r>
          </w:p>
          <w:p w14:paraId="67D48DE8" w14:textId="76C7EAD3" w:rsidR="008D6889" w:rsidRDefault="008D6889" w:rsidP="00920D09">
            <w:pPr>
              <w:rPr>
                <w:lang w:eastAsia="en-NZ"/>
              </w:rPr>
            </w:pPr>
            <w:r>
              <w:rPr>
                <w:lang w:eastAsia="en-NZ"/>
              </w:rPr>
              <w:t xml:space="preserve">None of the premia </w:t>
            </w:r>
            <w:r w:rsidR="00DD67AB">
              <w:rPr>
                <w:lang w:eastAsia="en-NZ"/>
              </w:rPr>
              <w:t xml:space="preserve">quoted in this box </w:t>
            </w:r>
            <w:r>
              <w:rPr>
                <w:lang w:eastAsia="en-NZ"/>
              </w:rPr>
              <w:t>– as far as I can work out – are controlled for selection effects, so we would expect the real premia to be substantially lower</w:t>
            </w:r>
            <w:r w:rsidR="00DD67AB">
              <w:rPr>
                <w:lang w:eastAsia="en-NZ"/>
              </w:rPr>
              <w:t xml:space="preserve"> for both Auckland and its comparators</w:t>
            </w:r>
            <w:r>
              <w:rPr>
                <w:lang w:eastAsia="en-NZ"/>
              </w:rPr>
              <w:t xml:space="preserve">. </w:t>
            </w:r>
          </w:p>
        </w:tc>
      </w:tr>
    </w:tbl>
    <w:p w14:paraId="36D27820" w14:textId="77777777" w:rsidR="002C3C6F" w:rsidRPr="006A6424" w:rsidRDefault="002C3C6F" w:rsidP="00920D09">
      <w:pPr>
        <w:rPr>
          <w:lang w:eastAsia="en-NZ"/>
        </w:rPr>
      </w:pPr>
    </w:p>
    <w:p w14:paraId="43573C57" w14:textId="1C74DA7C" w:rsidR="006A6424" w:rsidRPr="006A6424" w:rsidRDefault="006A6424" w:rsidP="00920D09">
      <w:pPr>
        <w:rPr>
          <w:lang w:eastAsia="en-NZ"/>
        </w:rPr>
      </w:pPr>
      <w:r w:rsidRPr="006A6424">
        <w:rPr>
          <w:lang w:eastAsia="en-NZ"/>
        </w:rPr>
        <w:lastRenderedPageBreak/>
        <w:t>Th</w:t>
      </w:r>
      <w:r w:rsidR="0066185C">
        <w:rPr>
          <w:lang w:eastAsia="en-NZ"/>
        </w:rPr>
        <w:t>ese data</w:t>
      </w:r>
      <w:r w:rsidRPr="006A6424">
        <w:rPr>
          <w:lang w:eastAsia="en-NZ"/>
        </w:rPr>
        <w:t xml:space="preserve"> indicate a few important things. Firstly, Auckland </w:t>
      </w:r>
      <w:r w:rsidR="00DD67AB">
        <w:rPr>
          <w:lang w:eastAsia="en-NZ"/>
        </w:rPr>
        <w:t>has</w:t>
      </w:r>
      <w:r w:rsidRPr="006A6424">
        <w:rPr>
          <w:lang w:eastAsia="en-NZ"/>
        </w:rPr>
        <w:t xml:space="preserve"> a non-zero productivity premium. This suggests the potential for productivity is </w:t>
      </w:r>
      <w:proofErr w:type="gramStart"/>
      <w:r w:rsidRPr="006A6424">
        <w:rPr>
          <w:lang w:eastAsia="en-NZ"/>
        </w:rPr>
        <w:t>there, but</w:t>
      </w:r>
      <w:proofErr w:type="gramEnd"/>
      <w:r w:rsidRPr="006A6424">
        <w:rPr>
          <w:lang w:eastAsia="en-NZ"/>
        </w:rPr>
        <w:t xml:space="preserve"> not </w:t>
      </w:r>
      <w:r w:rsidR="00DD67AB">
        <w:rPr>
          <w:lang w:eastAsia="en-NZ"/>
        </w:rPr>
        <w:t xml:space="preserve">fully </w:t>
      </w:r>
      <w:r w:rsidRPr="006A6424">
        <w:rPr>
          <w:lang w:eastAsia="en-NZ"/>
        </w:rPr>
        <w:t>realised. The indicative conclusion is that the issue is not insufficient concentration, but constraints on how that concentration functions.</w:t>
      </w:r>
    </w:p>
    <w:p w14:paraId="04B2B1D9" w14:textId="63203745" w:rsidR="006A6424" w:rsidRPr="006A6424" w:rsidRDefault="006A6424" w:rsidP="00920D09">
      <w:pPr>
        <w:rPr>
          <w:lang w:eastAsia="en-NZ"/>
        </w:rPr>
      </w:pPr>
      <w:r w:rsidRPr="006A6424">
        <w:rPr>
          <w:lang w:eastAsia="en-NZ"/>
        </w:rPr>
        <w:t xml:space="preserve">The 2026 State of the City evidence supports that conclusion from both directions. On the concentration side, </w:t>
      </w:r>
      <w:r w:rsidR="00DD67AB">
        <w:rPr>
          <w:lang w:eastAsia="en-NZ"/>
        </w:rPr>
        <w:t xml:space="preserve">quantified measures of </w:t>
      </w:r>
      <w:r w:rsidRPr="006A6424">
        <w:rPr>
          <w:lang w:eastAsia="en-NZ"/>
        </w:rPr>
        <w:t>Auckland’s gateway roles — corporate headquarters, air arrivals, international students, trade, capital-raising firms — aggregate to within 5% of the average share captured by comparable international cities, and on a population-adjusted basis Auckland runs well above proportional on most of them: 2.12× for corporate headquarters, 2.1× for air passengers, 1.61× for international students. The report’s own judgement is that Auckland’s challenge “lies in converting these flows into more investment, visitors and tradeable industries” (The Business of Cities &amp; Committee for Auckland, 2026, p. 25). Concentration is broadly normal; conversion is not.</w:t>
      </w:r>
    </w:p>
    <w:p w14:paraId="565D75F2" w14:textId="77777777" w:rsidR="006A6424" w:rsidRPr="006A6424" w:rsidRDefault="006A6424" w:rsidP="00920D09">
      <w:pPr>
        <w:rPr>
          <w:lang w:eastAsia="en-NZ"/>
        </w:rPr>
      </w:pPr>
      <w:r w:rsidRPr="006A6424">
        <w:rPr>
          <w:lang w:eastAsia="en-NZ"/>
        </w:rPr>
        <w:t>On the performance side, the same evidence locates the shortfall more precisely than previous editions. Auckland’s city centre generates about 8% of New Zealand’s GDP and holds 5.3% of all national employment in fewer than five square kilometres — a national role comparable to Helsinki’s in Finland or Dublin’s in Ireland — and hosts roughly one in four of New Zealand’s finance jobs and one in six of its professional and technical jobs. Yet it produces about US$121,000 of GDP per worker, which places it in the bottom third of comparable international city centres, and its peak job density of some 37,000 workers per square kilometre sits just below the peer-city average (The Business of Cities &amp; Committee for Auckland, 2026). This matters for the argument of this paper. It means Auckland’s productivity problem is not solely a story about sprawl, peripheral growth and thin outer-suburban labour markets, real though those are. The under-performance is present in the core itself: in the one place in New Zealand where density, specialisation and labour-market depth are all at their highest, and where the agglomeration mechanisms set out in Section 2 should be most visible in the data.</w:t>
      </w:r>
    </w:p>
    <w:p w14:paraId="633BBF50" w14:textId="77777777" w:rsidR="00030984" w:rsidRDefault="00030984" w:rsidP="00030984">
      <w:pPr>
        <w:pStyle w:val="Caption"/>
      </w:pPr>
      <w:r w:rsidRPr="00AF0C1E">
        <w:t xml:space="preserve">Figure </w:t>
      </w:r>
      <w:r>
        <w:t>5</w:t>
      </w:r>
      <w:r w:rsidRPr="00AF0C1E">
        <w:t xml:space="preserve">: </w:t>
      </w:r>
      <w:r>
        <w:t>City Productivity Premia (%) versus City GDP/Capita (USD PPP)</w:t>
      </w:r>
    </w:p>
    <w:p w14:paraId="06275494" w14:textId="77777777"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2DE4768D" w14:textId="5E2B3C06" w:rsidR="00030984" w:rsidRDefault="003041F2" w:rsidP="003F57E3">
      <w:pPr>
        <w:rPr>
          <w:lang w:eastAsia="en-NZ"/>
        </w:rPr>
      </w:pPr>
      <w:r w:rsidRPr="00030984">
        <w:rPr>
          <w:noProof/>
          <w:lang w:eastAsia="en-NZ"/>
        </w:rPr>
        <mc:AlternateContent>
          <mc:Choice Requires="wps">
            <w:drawing>
              <wp:anchor distT="0" distB="0" distL="114300" distR="114300" simplePos="0" relativeHeight="251717632" behindDoc="0" locked="0" layoutInCell="1" allowOverlap="1" wp14:anchorId="670B6E0D" wp14:editId="67575DD6">
                <wp:simplePos x="0" y="0"/>
                <wp:positionH relativeFrom="column">
                  <wp:posOffset>4031615</wp:posOffset>
                </wp:positionH>
                <wp:positionV relativeFrom="paragraph">
                  <wp:posOffset>2815590</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08425CB4"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7" type="#_x0000_t202" style="position:absolute;margin-left:317.45pt;margin-top:221.7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" filled="f" stroked="f">
                <v:textbox style="mso-fit-shape-to-text:t">
                  <w:txbxContent>
                    <w:p w14:paraId="08425CB4"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DD67AB" w:rsidRPr="00030984">
        <w:rPr>
          <w:noProof/>
          <w:lang w:eastAsia="en-NZ"/>
        </w:rPr>
        <mc:AlternateContent>
          <mc:Choice Requires="wps">
            <w:drawing>
              <wp:anchor distT="0" distB="0" distL="114300" distR="114300" simplePos="0" relativeHeight="251716608" behindDoc="0" locked="0" layoutInCell="1" allowOverlap="1" wp14:anchorId="2A6BBBD2" wp14:editId="4856678B">
                <wp:simplePos x="0" y="0"/>
                <wp:positionH relativeFrom="column">
                  <wp:posOffset>3645910</wp:posOffset>
                </wp:positionH>
                <wp:positionV relativeFrom="paragraph">
                  <wp:posOffset>1161918</wp:posOffset>
                </wp:positionV>
                <wp:extent cx="1403134" cy="1778425"/>
                <wp:effectExtent l="0" t="111442" r="0" b="105093"/>
                <wp:wrapNone/>
                <wp:docPr id="1649615922" name="Oval 7"/>
                <wp:cNvGraphicFramePr/>
                <a:graphic xmlns:a="http://schemas.openxmlformats.org/drawingml/2006/main">
                  <a:graphicData uri="http://schemas.microsoft.com/office/word/2010/wordprocessingShape">
                    <wps:wsp>
                      <wps:cNvSpPr/>
                      <wps:spPr>
                        <a:xfrm rot="2964537">
                          <a:off x="0" y="0"/>
                          <a:ext cx="1403134" cy="177842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3AAF8E80" id="Oval 7" o:spid="_x0000_s1026" style="position:absolute;margin-left:287.1pt;margin-top:91.5pt;width:110.5pt;height:140.0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" filled="f" strokecolor="#02040b [484]" strokeweight=".25pt">
                <v:stroke joinstyle="miter"/>
              </v:oval>
            </w:pict>
          </mc:Fallback>
        </mc:AlternateContent>
      </w:r>
      <w:r w:rsidR="00DD67AB" w:rsidRPr="00030984">
        <w:rPr>
          <w:noProof/>
          <w:lang w:eastAsia="en-NZ"/>
        </w:rPr>
        <mc:AlternateContent>
          <mc:Choice Requires="wps">
            <w:drawing>
              <wp:anchor distT="0" distB="0" distL="114300" distR="114300" simplePos="0" relativeHeight="251714560" behindDoc="0" locked="0" layoutInCell="1" allowOverlap="1" wp14:anchorId="651D7DB9" wp14:editId="3EE8CC65">
                <wp:simplePos x="0" y="0"/>
                <wp:positionH relativeFrom="column">
                  <wp:posOffset>3858895</wp:posOffset>
                </wp:positionH>
                <wp:positionV relativeFrom="paragraph">
                  <wp:posOffset>189865</wp:posOffset>
                </wp:positionV>
                <wp:extent cx="627492" cy="520109"/>
                <wp:effectExtent l="0" t="0" r="20320" b="13335"/>
                <wp:wrapNone/>
                <wp:docPr id="731299394" name="Oval 5"/>
                <wp:cNvGraphicFramePr/>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45E6B214" id="Oval 5" o:spid="_x0000_s1026" style="position:absolute;margin-left:303.85pt;margin-top:14.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" filled="f" strokecolor="#02040b [484]" strokeweight=".25pt">
                <v:stroke joinstyle="miter"/>
              </v:oval>
            </w:pict>
          </mc:Fallback>
        </mc:AlternateContent>
      </w:r>
      <w:r w:rsidR="00DD67AB" w:rsidRPr="00030984">
        <w:rPr>
          <w:noProof/>
          <w:lang w:eastAsia="en-NZ"/>
        </w:rPr>
        <mc:AlternateContent>
          <mc:Choice Requires="wps">
            <w:drawing>
              <wp:anchor distT="0" distB="0" distL="114300" distR="114300" simplePos="0" relativeHeight="251719680" behindDoc="0" locked="0" layoutInCell="1" allowOverlap="1" wp14:anchorId="12D2BCD5" wp14:editId="2E9738A9">
                <wp:simplePos x="0" y="0"/>
                <wp:positionH relativeFrom="column">
                  <wp:posOffset>1778000</wp:posOffset>
                </wp:positionH>
                <wp:positionV relativeFrom="paragraph">
                  <wp:posOffset>3139440</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7252EFB5"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8" type="#_x0000_t202" style="position:absolute;margin-left:140pt;margin-top:247.2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" filled="f" stroked="f">
                <v:textbox style="mso-fit-shape-to-text:t">
                  <w:txbxContent>
                    <w:p w14:paraId="7252EFB5"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00DD67AB" w:rsidRPr="00030984">
        <w:rPr>
          <w:noProof/>
          <w:lang w:eastAsia="en-NZ"/>
        </w:rPr>
        <mc:AlternateContent>
          <mc:Choice Requires="wps">
            <w:drawing>
              <wp:anchor distT="0" distB="0" distL="114300" distR="114300" simplePos="0" relativeHeight="251718656" behindDoc="0" locked="0" layoutInCell="1" allowOverlap="1" wp14:anchorId="0FF66914" wp14:editId="6411F355">
                <wp:simplePos x="0" y="0"/>
                <wp:positionH relativeFrom="column">
                  <wp:posOffset>1969218</wp:posOffset>
                </wp:positionH>
                <wp:positionV relativeFrom="paragraph">
                  <wp:posOffset>1825485</wp:posOffset>
                </wp:positionV>
                <wp:extent cx="925376" cy="1268574"/>
                <wp:effectExtent l="76200" t="0" r="8445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26857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45FBBEED" id="Oval 10" o:spid="_x0000_s1026" style="position:absolute;margin-left:155.05pt;margin-top:143.75pt;width:72.85pt;height:99.9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" filled="f" strokecolor="#02040b [484]" strokeweight=".25pt">
                <v:stroke joinstyle="miter"/>
              </v:oval>
            </w:pict>
          </mc:Fallback>
        </mc:AlternateContent>
      </w:r>
      <w:r w:rsidR="00F94108" w:rsidRPr="00030984">
        <w:rPr>
          <w:noProof/>
          <w:lang w:eastAsia="en-NZ"/>
        </w:rPr>
        <mc:AlternateContent>
          <mc:Choice Requires="wps">
            <w:drawing>
              <wp:anchor distT="0" distB="0" distL="114300" distR="114300" simplePos="0" relativeHeight="251715584" behindDoc="0" locked="0" layoutInCell="1" allowOverlap="1" wp14:anchorId="6DEE08EC" wp14:editId="020CDDA8">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394ED103"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9"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Ddavv/gwEAAPACAAAOAAAAAAAAAAAAAAAAAC4CAABk&#10;cnMvZTJvRG9jLnhtbFBLAQItABQABgAIAAAAIQBbzWbs3gAAAAoBAAAPAAAAAAAAAAAAAAAAAN0D&#10;AABkcnMvZG93bnJldi54bWxQSwUGAAAAAAQABADzAAAA6AQAAAAA&#10;" filled="f" stroked="f">
                <v:textbox style="mso-fit-shape-to-text:t">
                  <w:txbxContent>
                    <w:p w14:paraId="394ED103"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00030984" w:rsidRPr="00030984">
        <w:rPr>
          <w:noProof/>
          <w:lang w:eastAsia="en-NZ"/>
        </w:rPr>
        <w:drawing>
          <wp:inline distT="0" distB="0" distL="0" distR="0" wp14:anchorId="1398E478" wp14:editId="552AB0C0">
            <wp:extent cx="5924550" cy="3466106"/>
            <wp:effectExtent l="0" t="0" r="0" b="1270"/>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DB25D4C"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5.1 </w:t>
      </w:r>
      <w:r w:rsidR="006A6424" w:rsidRPr="006A6424">
        <w:rPr>
          <w:rFonts w:eastAsia="Times New Roman"/>
          <w:lang w:eastAsia="en-NZ"/>
        </w:rPr>
        <w:t>Land use and housing constraints</w:t>
      </w:r>
    </w:p>
    <w:p w14:paraId="7EB204A6"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0E693E8E"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769196F0"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4A586EB9" w14:textId="77777777" w:rsidR="00265A65" w:rsidRDefault="00505D4B">
      <w:r>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3D9C7AA9"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w:t>
      </w:r>
    </w:p>
    <w:p w14:paraId="371A7BDD" w14:textId="77777777" w:rsidR="006A6424" w:rsidRDefault="006A6424" w:rsidP="003F57E3">
      <w:pPr>
        <w:rPr>
          <w:lang w:eastAsia="en-NZ"/>
        </w:rPr>
      </w:pPr>
      <w:r w:rsidRPr="006A6424">
        <w:rPr>
          <w:lang w:eastAsia="en-NZ"/>
        </w:rPr>
        <w:t>New Zealand's land use regulatory system is also unusually fragmented by international standards: the country has 1,175 separate land-use zones spread across 67 territorial authorities, compared with just 13 in Japan, a country with more than twenty times its population (Te Waihanga, 2026). Complexity in itself is not the problem, and it would be wrong to conclude that simpler is always better. Several of the high-performing city-regions in Figure 5 — Amsterdam, Copenhagen, Utrecht, Basel — operate planning systems at least as intricate as New Zealand's. What distinguishes them is that the complexity is plan-led and predictable: it directs growth to identified places, and infrastructure is committed to those places in advance. Japan works from the opposite direction, being simple and largely permissive. Both are coherent. New Zealand's system is neither simple nor coordinated, which is the combination that imposes cost without buying direction.</w:t>
      </w:r>
    </w:p>
    <w:p w14:paraId="0E0E984B" w14:textId="474847DC" w:rsidR="006A6424" w:rsidRDefault="006A6424" w:rsidP="003F57E3">
      <w:pPr>
        <w:rPr>
          <w:lang w:eastAsia="en-NZ"/>
        </w:rPr>
      </w:pPr>
      <w:r w:rsidRPr="006A6424">
        <w:rPr>
          <w:lang w:eastAsia="en-NZ"/>
        </w:rPr>
        <w:t xml:space="preserve">Auckland's position is best understood against those two models. It has the dispersed, car-dependent urban form associated with permissive North American development — it sits in the global bottom decile for residential density, street connectivity and access to mixed-use locations — without the affordability that permissiveness is supposed to deliver. And it has the restrictive processes and high housing costs associated with the European model, without the compensating benefit: growth has not </w:t>
      </w:r>
      <w:r w:rsidR="003041F2">
        <w:rPr>
          <w:lang w:eastAsia="en-NZ"/>
        </w:rPr>
        <w:t xml:space="preserve">yet </w:t>
      </w:r>
      <w:r w:rsidRPr="006A6424">
        <w:rPr>
          <w:lang w:eastAsia="en-NZ"/>
        </w:rPr>
        <w:t xml:space="preserve">been directed to the corridors where rapid transit already runs, and the population living along better-connected public transport routes has grown much more slowly than in comparable cities (The </w:t>
      </w:r>
      <w:r w:rsidRPr="006A6424">
        <w:rPr>
          <w:lang w:eastAsia="en-NZ"/>
        </w:rPr>
        <w:lastRenderedPageBreak/>
        <w:t>Business of Cities &amp; Committee for Auckland, 2026). Auckland has taken on the costs of both approaches and the benefits of neither.</w:t>
      </w:r>
    </w:p>
    <w:p w14:paraId="60F521E7" w14:textId="77777777" w:rsidR="006A6424" w:rsidRDefault="006A6424" w:rsidP="003F57E3">
      <w:pPr>
        <w:rPr>
          <w:lang w:eastAsia="en-NZ"/>
        </w:rPr>
      </w:pPr>
      <w:r w:rsidRPr="006A6424">
        <w:rPr>
          <w:lang w:eastAsia="en-NZ"/>
        </w:rPr>
        <w:t>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37227EA6" w14:textId="77777777" w:rsidR="00F94108" w:rsidRDefault="00F94108" w:rsidP="00AC6638">
      <w:pPr>
        <w:pStyle w:val="Caption"/>
      </w:pPr>
      <w:r w:rsidRPr="00AF0C1E">
        <w:t xml:space="preserve">Figure </w:t>
      </w:r>
      <w:r>
        <w:t>6</w:t>
      </w:r>
      <w:r w:rsidRPr="00AF0C1E">
        <w:t>:</w:t>
      </w:r>
      <w:r>
        <w:t xml:space="preserve"> taken from Auckland City Council planning material June 2026</w:t>
      </w:r>
    </w:p>
    <w:p w14:paraId="41617714" w14:textId="77777777" w:rsidR="00F94108" w:rsidRPr="006A6424" w:rsidRDefault="00F94108" w:rsidP="00AC6638">
      <w:pPr>
        <w:jc w:val="center"/>
        <w:rPr>
          <w:lang w:eastAsia="en-NZ"/>
        </w:rPr>
      </w:pPr>
      <w:r w:rsidRPr="00F94108">
        <w:rPr>
          <w:noProof/>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53220CC3"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5C506E27" w14:textId="77777777" w:rsidR="006A6424" w:rsidRPr="006A6424" w:rsidRDefault="006A6424" w:rsidP="003F57E3">
      <w:pPr>
        <w:rPr>
          <w:lang w:eastAsia="en-NZ"/>
        </w:rPr>
      </w:pPr>
      <w:r w:rsidRPr="006A6424">
        <w:rPr>
          <w:lang w:eastAsia="en-NZ"/>
        </w:rPr>
        <w:t>That gain has since proved durable under adverse conditions. Through a weakening development cycle, Auckland recorded one of the ten most positive housing-delivery trendlines of any major city, measured affordability improved ahead of many close peers, and the medium-density share of new consents shifted faster than in Vancouver or Brisbane (The Business of Cities &amp; Committee for Auckland, 2026). Holding delivery gains through a downturn is the harder test, and Auckland passed it.</w:t>
      </w:r>
    </w:p>
    <w:p w14:paraId="149EBBCB" w14:textId="77777777" w:rsidR="006A6424" w:rsidRPr="006A6424" w:rsidRDefault="006A6424" w:rsidP="003F57E3">
      <w:pPr>
        <w:rPr>
          <w:lang w:eastAsia="en-NZ"/>
        </w:rPr>
      </w:pPr>
      <w:r w:rsidRPr="006A6424">
        <w:rPr>
          <w:lang w:eastAsia="en-NZ"/>
        </w:rPr>
        <w:t>The location of that supply is a different matter, and the two findings are simultaneous rather than sequential. New housing has gone to the city centre and to the urban edge, with comparatively little in the suburbs that public transport already serves, and Auckland shows one of the steepest walkability gaps between its central and outer suburbs (The Business of Cities &amp; Committee for Auckland, 2026). The volume problem and the location problem are not the same problem, and New Zealand has made far more progress on the first than the second. Supply reform has therefore not compounded with the accessibility and labour-market mechanisms it should reinforce: the dwellings were built, but not in the places where they would have added most to effective density.</w:t>
      </w:r>
    </w:p>
    <w:p w14:paraId="28970442" w14:textId="77777777" w:rsidR="006A6424" w:rsidRPr="006A6424" w:rsidRDefault="006A6424" w:rsidP="003F57E3">
      <w:pPr>
        <w:rPr>
          <w:lang w:eastAsia="en-NZ"/>
        </w:rPr>
      </w:pPr>
      <w:r w:rsidRPr="006A6424">
        <w:rPr>
          <w:lang w:eastAsia="en-NZ"/>
        </w:rPr>
        <w:t xml:space="preserve">There is, however, direct evidence that intensification delivers where it is allowed to happen. Beyond Auckland’s core, neighbourhoods that added gentle density gained businesses, young people and a </w:t>
      </w:r>
      <w:r w:rsidRPr="006A6424">
        <w:rPr>
          <w:lang w:eastAsia="en-NZ"/>
        </w:rPr>
        <w:lastRenderedPageBreak/>
        <w:t>mix of uses substantially faster than those that did not — a pattern the same report finds recurring in comparable international cities (The Business of Cities &amp; Committee for Auckland, 2026). This is observational rather than causal, and vulnerable to selection: areas already gaining economic activity may be the ones that intensified. It is nonetheless the most directly relevant New Zealand evidence against the standard objection that density degrades neighbourhood life, and it suggests the constraint on intensification is political rather than economic.</w:t>
      </w:r>
    </w:p>
    <w:p w14:paraId="448B2394"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28E0C92C"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52925FBF" w14:textId="77777777" w:rsidR="006A6424" w:rsidRPr="006A6424" w:rsidRDefault="006A6424" w:rsidP="003F57E3">
      <w:pPr>
        <w:rPr>
          <w:lang w:eastAsia="en-NZ"/>
        </w:rPr>
      </w:pPr>
      <w:r w:rsidRPr="006A6424">
        <w:rPr>
          <w:lang w:eastAsia="en-NZ"/>
        </w:rPr>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546FF628"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66433937"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3BF6E745"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0A131850"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19986B2A"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0753E348"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3842FD66"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68125D02" w14:textId="77777777" w:rsidR="007A3E24" w:rsidRDefault="007A3E24" w:rsidP="003F57E3">
      <w:pPr>
        <w:rPr>
          <w:lang w:eastAsia="en-NZ"/>
        </w:rPr>
      </w:pPr>
    </w:p>
    <w:p w14:paraId="108F1B11" w14:textId="77777777" w:rsidR="007A3E24" w:rsidRDefault="007A3E24" w:rsidP="003F57E3">
      <w:pPr>
        <w:rPr>
          <w:lang w:eastAsia="en-NZ"/>
        </w:rPr>
      </w:pPr>
    </w:p>
    <w:p w14:paraId="00E19C7F" w14:textId="77777777" w:rsidR="007A3E24" w:rsidRDefault="007A3E24" w:rsidP="003F57E3">
      <w:pPr>
        <w:rPr>
          <w:lang w:eastAsia="en-NZ"/>
        </w:rPr>
      </w:pPr>
    </w:p>
    <w:p w14:paraId="51AE38D8" w14:textId="77777777" w:rsidR="007A3E24" w:rsidRDefault="007A3E24" w:rsidP="003F57E3">
      <w:pPr>
        <w:rPr>
          <w:lang w:eastAsia="en-NZ"/>
        </w:rPr>
      </w:pPr>
    </w:p>
    <w:p w14:paraId="3B7C06EA" w14:textId="77777777" w:rsidR="007A3E24" w:rsidRDefault="007A3E24" w:rsidP="003F57E3">
      <w:pPr>
        <w:rPr>
          <w:lang w:eastAsia="en-NZ"/>
        </w:rPr>
      </w:pPr>
    </w:p>
    <w:p w14:paraId="542C1084" w14:textId="77777777" w:rsidR="007A3E24" w:rsidRDefault="007A3E24" w:rsidP="003F57E3">
      <w:pPr>
        <w:rPr>
          <w:lang w:eastAsia="en-NZ"/>
        </w:rPr>
      </w:pPr>
    </w:p>
    <w:p w14:paraId="7D000D64" w14:textId="77777777" w:rsidR="00F94108" w:rsidRDefault="00F94108" w:rsidP="00F94108">
      <w:pPr>
        <w:pStyle w:val="Caption"/>
      </w:pPr>
      <w:r w:rsidRPr="00AF0C1E">
        <w:lastRenderedPageBreak/>
        <w:t xml:space="preserve">Figure </w:t>
      </w:r>
      <w:r>
        <w:t>7</w:t>
      </w:r>
      <w:r w:rsidRPr="00AF0C1E">
        <w:t>:</w:t>
      </w:r>
      <w:r>
        <w:t xml:space="preserve"> Estimated mode share for household trips in Auckland, 1920-2016 </w:t>
      </w:r>
    </w:p>
    <w:p w14:paraId="060E9F48" w14:textId="77777777" w:rsidR="006A6424" w:rsidRPr="006A6424" w:rsidRDefault="00F94108" w:rsidP="00AC6638">
      <w:pPr>
        <w:jc w:val="center"/>
        <w:rPr>
          <w:lang w:eastAsia="en-NZ"/>
        </w:rPr>
      </w:pPr>
      <w:r w:rsidRPr="00F94108">
        <w:rPr>
          <w:noProof/>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7A013AA2" w14:textId="77777777" w:rsidR="006A6424" w:rsidRPr="006A6424" w:rsidRDefault="006A6424" w:rsidP="003F57E3">
      <w:pPr>
        <w:rPr>
          <w:lang w:eastAsia="en-NZ"/>
        </w:rPr>
      </w:pPr>
      <w:r w:rsidRPr="006A6424">
        <w:rPr>
          <w:lang w:eastAsia="en-NZ"/>
        </w:rPr>
        <w:t>This represents a direct constraint on productivity. Where transport systems do not support efficient movement across the city, increases in population do not translate into proportional increases in economic interaction. Instead, growth is absorbed into longer travel times and reduced accessibility, diminishing the returns to urban scale.</w:t>
      </w:r>
    </w:p>
    <w:p w14:paraId="1C3362DF"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7A64CEF6" w14:textId="77777777" w:rsidR="006A6424" w:rsidRPr="006A6424" w:rsidRDefault="006A6424" w:rsidP="003F57E3">
      <w:pPr>
        <w:rPr>
          <w:lang w:eastAsia="en-NZ"/>
        </w:rPr>
      </w:pPr>
      <w:r w:rsidRPr="006A6424">
        <w:rPr>
          <w:lang w:eastAsia="en-NZ"/>
        </w:rPr>
        <w:t>Auckland is a clear case of this coordination failing in a specific and correctable way. The city has built substantial rapid transit capacity over three decades — the Northern Busway, rail electrification, and now the City Rail Link — but the population living along its better-connected public transport corridors has grown much more slowly than in comparable cities (The Business of Cities &amp; Committee for Auckland, 2026). Transit capacity and residential intensification have been sequenced independently rather than jointly, so each has delivered less than it would have alongside the other. Auckland meanwhile remains the most congested city in Oceania and sits in the global bottom 5% on congestion outcomes, with the burden “spread more evenly across the whole city than most” (The Business of Cities &amp; Committee for Auckland, 2026) — a pattern indicating dispersed origins and destinations rather than a conventional radial commuting problem, and a warning that centre-focused transit investment alone will not resolve it.</w:t>
      </w:r>
    </w:p>
    <w:p w14:paraId="0864BE4A" w14:textId="77777777" w:rsidR="006A6424" w:rsidRPr="006A6424" w:rsidRDefault="006A6424" w:rsidP="003F57E3">
      <w:pPr>
        <w:rPr>
          <w:lang w:eastAsia="en-NZ"/>
        </w:rPr>
      </w:pPr>
      <w:r w:rsidRPr="006A6424">
        <w:rPr>
          <w:lang w:eastAsia="en-NZ"/>
        </w:rPr>
        <w:t>The City Rail Link is the natural test of whether this can be corrected. It is expected to bring Auckland’s commutable catchment share much closer to peer benchmarks, and the benchmarking report sets a 2030 marker of more than one million residents within 45 minutes door-to-door of the city centre by public transport (The Business of Cities &amp; Committee for Auckland, 2026). Whether that materialises depends only partly on the rail project itself. It depends on feeder bus frequency and reliability, and above all on whether growth is directed to the new and existing rail catchments — which is a land use decision, not a transport one.</w:t>
      </w:r>
    </w:p>
    <w:p w14:paraId="32C13A9D"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39F26E3B"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247B9511" w14:textId="77777777" w:rsidR="006A6424" w:rsidRDefault="006A6424" w:rsidP="003F57E3">
      <w:pPr>
        <w:rPr>
          <w:i/>
          <w:iCs/>
          <w:lang w:eastAsia="en-NZ"/>
        </w:rPr>
      </w:pPr>
      <w:r>
        <w:lastRenderedPageBreak/>
        <w:t>Auckland's employment is heavily concentrated in and around the city centre and inner suburbs. This is consistent with the international evidence on sectoral concentration in primate cities, and with Auckland's role as New Zealand's primary financial, professional, and commercial hub. Figure 8 shows the resulting employment surface: a single dominant peak in the city centre, the university precinct immediately beside it, and secondary concentrations at Takapuna, Newmarket, Ellerslie, Middlemore, Manukau, Albany and Henderson that are an order of magnitude smaller.</w:t>
      </w:r>
    </w:p>
    <w:p w14:paraId="34127987" w14:textId="77777777" w:rsidR="005A107C" w:rsidRPr="005A107C" w:rsidRDefault="005A107C" w:rsidP="005A107C">
      <w:pPr>
        <w:pStyle w:val="Caption"/>
      </w:pPr>
      <w:r>
        <w:t>Figure 8: Distribution of jobs in Auckland on CRL opening day, by H3 hexagon (Auckland Council and Auckland Transport, 2026, p. 41)</w:t>
      </w:r>
    </w:p>
    <w:p w14:paraId="43CD0D67" w14:textId="77777777" w:rsidR="005A107C" w:rsidRPr="006A6424" w:rsidRDefault="005A107C" w:rsidP="007A3E24">
      <w:pPr>
        <w:jc w:val="center"/>
        <w:rPr>
          <w:lang w:eastAsia="en-NZ"/>
        </w:rPr>
      </w:pPr>
      <w:r>
        <w:rPr>
          <w:noProof/>
        </w:rPr>
        <w:drawing>
          <wp:inline distT="0" distB="0" distL="0" distR="0" wp14:anchorId="79D15BCA" wp14:editId="6FBB496B">
            <wp:extent cx="4896000" cy="6039621"/>
            <wp:effectExtent l="0" t="0" r="0" b="0"/>
            <wp:docPr id="2003787486" name="Picture 2003787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auckland-job-distribution.png"/>
                    <pic:cNvPicPr/>
                  </pic:nvPicPr>
                  <pic:blipFill>
                    <a:blip r:embed="rId21"/>
                    <a:stretch>
                      <a:fillRect/>
                    </a:stretch>
                  </pic:blipFill>
                  <pic:spPr>
                    <a:xfrm>
                      <a:off x="0" y="0"/>
                      <a:ext cx="4896000" cy="6039621"/>
                    </a:xfrm>
                    <a:prstGeom prst="rect">
                      <a:avLst/>
                    </a:prstGeom>
                  </pic:spPr>
                </pic:pic>
              </a:graphicData>
            </a:graphic>
          </wp:inline>
        </w:drawing>
      </w:r>
    </w:p>
    <w:p w14:paraId="2C880EB2" w14:textId="77777777" w:rsidR="006A6424" w:rsidRDefault="006A6424" w:rsidP="003F57E3">
      <w:pPr>
        <w:rPr>
          <w:i/>
          <w:iCs/>
          <w:lang w:eastAsia="en-NZ"/>
        </w:rPr>
      </w:pPr>
      <w:r>
        <w:t xml:space="preserve">Auckland Transport's strategic case quantifies the consequence, forecasting the number of jobs accessible within a reasonable travel time — 30 minutes by car or 45 minutes by public transport — in 2031. From well-connected suburbs six to ten kilometres from the city centre, such as Mount Roskill, residents can reach 500,000–650,000 jobs by car. From suburbs only a few kilometres further out, the effective labour market collapses: fewer than 50,000 jobs are accessible by public transport from </w:t>
      </w:r>
      <w:r>
        <w:lastRenderedPageBreak/>
        <w:t>Māngere, Titirangi or Botany Downs, and south of Takanini fewer than 100,000 jobs are accessible even by car (Auckland Transport, 2021).</w:t>
      </w:r>
    </w:p>
    <w:p w14:paraId="7AA89A2D" w14:textId="77777777" w:rsidR="005A107C" w:rsidRPr="005A107C" w:rsidRDefault="005A107C" w:rsidP="005A107C">
      <w:pPr>
        <w:pStyle w:val="Caption"/>
      </w:pPr>
      <w:r>
        <w:t>Figure 9: Number of Jobs Accessible by Mode from locations within Auckland (2031)</w:t>
      </w:r>
    </w:p>
    <w:p w14:paraId="312FB68C" w14:textId="77777777" w:rsidR="005A107C" w:rsidRPr="006A6424" w:rsidRDefault="005A107C" w:rsidP="003F57E3">
      <w:pPr>
        <w:rPr>
          <w:lang w:eastAsia="en-NZ"/>
        </w:rPr>
      </w:pPr>
      <w:r w:rsidRPr="005A107C">
        <w:rPr>
          <w:noProof/>
          <w:lang w:eastAsia="en-NZ"/>
        </w:rPr>
        <w:drawing>
          <wp:inline distT="0" distB="0" distL="0" distR="0" wp14:anchorId="663D277F" wp14:editId="2C35CAD0">
            <wp:extent cx="6116320" cy="3571240"/>
            <wp:effectExtent l="0" t="0" r="0" b="0"/>
            <wp:docPr id="4981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2354" name=""/>
                    <pic:cNvPicPr/>
                  </pic:nvPicPr>
                  <pic:blipFill>
                    <a:blip r:embed="rId22"/>
                    <a:stretch>
                      <a:fillRect/>
                    </a:stretch>
                  </pic:blipFill>
                  <pic:spPr>
                    <a:xfrm>
                      <a:off x="0" y="0"/>
                      <a:ext cx="6116320" cy="3571240"/>
                    </a:xfrm>
                    <a:prstGeom prst="rect">
                      <a:avLst/>
                    </a:prstGeom>
                  </pic:spPr>
                </pic:pic>
              </a:graphicData>
            </a:graphic>
          </wp:inline>
        </w:drawing>
      </w:r>
    </w:p>
    <w:p w14:paraId="0E7AD8A0"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19D53BB5"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24605078" w14:textId="77777777" w:rsidR="006A6424" w:rsidRPr="006A6424" w:rsidRDefault="006A6424" w:rsidP="003F57E3">
      <w:pPr>
        <w:rPr>
          <w:lang w:eastAsia="en-NZ"/>
        </w:rPr>
      </w:pPr>
      <w:r w:rsidRPr="006A6424">
        <w:rPr>
          <w:lang w:eastAsia="en-NZ"/>
        </w:rPr>
        <w:t>The 2026 benchmarking evidence indicates this gap is widening rather than closing. Its finding is stated plainly: “the distance between where Aucklanders live and where jobs are being created is rising, creating a key drag on medium-term productivity and liveability.” Businesses are being created fastest in the inner suburbs, while most new housing is going elsewhere — a spatial mismatch that “raises travel times and recruitment challenges” (The Business of Cities &amp; Committee for Auckland, 2026, p. 46). This is the mechanism of this section observed directly in the data, and it names both sides of the loss: workers lose accessibility, and firms lose matching depth. It also explains why housing volume alone is insufficient. New dwellings added at distance from where employment is forming add to the nominal city without adding to the effective labour market of either party.</w:t>
      </w:r>
    </w:p>
    <w:p w14:paraId="1DFBCA89" w14:textId="77777777" w:rsidR="006A6424" w:rsidRPr="006A6424" w:rsidRDefault="006A6424" w:rsidP="003F57E3">
      <w:pPr>
        <w:rPr>
          <w:lang w:eastAsia="en-NZ"/>
        </w:rPr>
      </w:pPr>
      <w:r w:rsidRPr="006A6424">
        <w:rPr>
          <w:lang w:eastAsia="en-NZ"/>
        </w:rPr>
        <w:lastRenderedPageBreak/>
        <w:t xml:space="preserve">The same pattern constrains the city centre from the other end. Auckland’s centre generates more than 20% of regional GDP, but a smaller share of Aucklanders live within a convenient commute of it than in most comparable cities (The Business of Cities &amp; Committee for Auckland, 2026). The productivity value of a job concentration depends on how many workers can reach it, not on how many jobs it contains: a centre with 160,000 jobs and a thin catchment realises less agglomeration benefit than the raw job count implies. Auckland’s centre is, on these measures, a deep labour market that too few Aucklanders can </w:t>
      </w:r>
      <w:proofErr w:type="gramStart"/>
      <w:r w:rsidRPr="006A6424">
        <w:rPr>
          <w:lang w:eastAsia="en-NZ"/>
        </w:rPr>
        <w:t>actually access</w:t>
      </w:r>
      <w:proofErr w:type="gramEnd"/>
      <w:r w:rsidRPr="006A6424">
        <w:rPr>
          <w:lang w:eastAsia="en-NZ"/>
        </w:rPr>
        <w:t>.</w:t>
      </w:r>
    </w:p>
    <w:p w14:paraId="5F95B36C"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0D112548"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skills requires deep, accessible labour markets, and the housing and transport constraints described above thin out exactly those markets. A skilled migrant who cannot afford to live within reach of the specialised jobs that match their qualifications becomes part of the mismatch statistics.</w:t>
      </w:r>
    </w:p>
    <w:p w14:paraId="65CFF5F9"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761C41D9"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35170D5B"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506828B6"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46EEA0FD" w14:textId="77777777" w:rsidR="006A6424" w:rsidRPr="006A6424" w:rsidRDefault="006A6424" w:rsidP="003F57E3">
      <w:pPr>
        <w:rPr>
          <w:lang w:eastAsia="en-NZ"/>
        </w:rPr>
      </w:pPr>
      <w:r w:rsidRPr="006A6424">
        <w:rPr>
          <w:lang w:eastAsia="en-NZ"/>
        </w:rPr>
        <w:t>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14:paraId="4BA2DFB4" w14:textId="77777777" w:rsidR="006A6424" w:rsidRPr="006A6424" w:rsidRDefault="006A6424" w:rsidP="003F57E3">
      <w:pPr>
        <w:rPr>
          <w:lang w:eastAsia="en-NZ"/>
        </w:rPr>
      </w:pPr>
      <w:r w:rsidRPr="006A6424">
        <w:rPr>
          <w:lang w:eastAsia="en-NZ"/>
        </w:rPr>
        <w:t xml:space="preserve">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w:t>
      </w:r>
      <w:r w:rsidRPr="006A6424">
        <w:rPr>
          <w:lang w:eastAsia="en-NZ"/>
        </w:rPr>
        <w:lastRenderedPageBreak/>
        <w:t>land use decisions and delivering much of the infrastructure required to accommodate growth. (Gluckman et al., 2022; OECD, 2015; Ahrend et al., 2015)</w:t>
      </w:r>
    </w:p>
    <w:p w14:paraId="426CD568"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6443C887" w14:textId="0E6C54F7" w:rsidR="004C268F" w:rsidRPr="006A6424" w:rsidRDefault="004C268F" w:rsidP="003F57E3">
      <w:pPr>
        <w:rPr>
          <w:lang w:eastAsia="en-NZ"/>
        </w:rPr>
      </w:pPr>
      <w:r>
        <w:rPr>
          <w:lang w:eastAsia="en-NZ"/>
        </w:rPr>
        <w:t>The ‘super city’ reforms, and subsequent spatial plan, were both extremely important steps in the right direction, but there is some way still to go, and New Zealand’s overall government structure</w:t>
      </w:r>
      <w:r w:rsidR="00323A8A">
        <w:rPr>
          <w:lang w:eastAsia="en-NZ"/>
        </w:rPr>
        <w:t xml:space="preserve"> still</w:t>
      </w:r>
      <w:r>
        <w:rPr>
          <w:lang w:eastAsia="en-NZ"/>
        </w:rPr>
        <w:t xml:space="preserve"> contributes to this spatial fragmentation. New Zealand’s government is highly centralised (Gluckman et al., 2022). Functions that in other jurisdictions often sit with local or metropolitan government are held centrally here: school property, tertiary education property and funding, and health system planning. Others are formally shared in ways that blur accountability rather than resolving it — transport planning is divided between regional land transport plans and NZTA’s funding decisions, and social housing between Kāinga Ora and a small and shrinking council portfolio. It is far from clear that these functions are spatially coordinated across central government, leading to a measure of ‘stealth fragmentation’ despite the unified Auckland council. </w:t>
      </w:r>
    </w:p>
    <w:p w14:paraId="1770C367"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C051085"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4957B0CE"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4426BDA8"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1D46A250"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39CD8718"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1CC467C2"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35CD2E41" w14:textId="0AF80321" w:rsidR="006A6424" w:rsidRPr="006A6424" w:rsidRDefault="00323A8A" w:rsidP="00891B2B">
      <w:pPr>
        <w:rPr>
          <w:lang w:eastAsia="en-NZ"/>
        </w:rPr>
      </w:pPr>
      <w:r>
        <w:rPr>
          <w:lang w:eastAsia="en-NZ"/>
        </w:rPr>
        <w:t>It</w:t>
      </w:r>
      <w:r w:rsidR="006A6424" w:rsidRPr="006A6424">
        <w:rPr>
          <w:lang w:eastAsia="en-NZ"/>
        </w:rPr>
        <w:t xml:space="preserve"> is worth stating</w:t>
      </w:r>
      <w:r>
        <w:rPr>
          <w:lang w:eastAsia="en-NZ"/>
        </w:rPr>
        <w:t xml:space="preserve"> that</w:t>
      </w:r>
      <w:r w:rsidR="006A6424" w:rsidRPr="006A6424">
        <w:rPr>
          <w:lang w:eastAsia="en-NZ"/>
        </w:rPr>
        <w:t xml:space="preserve"> </w:t>
      </w:r>
      <w:r>
        <w:rPr>
          <w:lang w:eastAsia="en-NZ"/>
        </w:rPr>
        <w:t>t</w:t>
      </w:r>
      <w:r w:rsidR="006A6424" w:rsidRPr="006A6424">
        <w:rPr>
          <w:lang w:eastAsia="en-NZ"/>
        </w:rPr>
        <w:t xml:space="preserve">he spatial account given here is not the only explanation for New Zealand's tilt of capital toward land and housing, and it would be over-claiming to present it as such. </w:t>
      </w:r>
      <w:r w:rsidR="001464AE">
        <w:rPr>
          <w:lang w:eastAsia="en-NZ"/>
        </w:rPr>
        <w:t xml:space="preserve">Low national savings, firm composition and ownership, tax settings, and New Zealand’s pattern of imports and exports can all be cited as contributary </w:t>
      </w:r>
      <w:r w:rsidR="001464AE" w:rsidRPr="001464AE">
        <w:rPr>
          <w:lang w:eastAsia="en-NZ"/>
        </w:rPr>
        <w:t xml:space="preserve">factors. </w:t>
      </w:r>
      <w:r w:rsidR="006A6424" w:rsidRPr="001464AE">
        <w:rPr>
          <w:lang w:eastAsia="en-NZ"/>
        </w:rPr>
        <w:t>A capital deepening agenda that addressed only one of the</w:t>
      </w:r>
      <w:r w:rsidR="001464AE" w:rsidRPr="001464AE">
        <w:rPr>
          <w:lang w:eastAsia="en-NZ"/>
        </w:rPr>
        <w:t>se factors (e.g. spatial)</w:t>
      </w:r>
      <w:r w:rsidR="006A6424" w:rsidRPr="001464AE">
        <w:rPr>
          <w:lang w:eastAsia="en-NZ"/>
        </w:rPr>
        <w:t xml:space="preserve"> would be likely to underperform.</w:t>
      </w:r>
    </w:p>
    <w:p w14:paraId="1B7456F9"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5.7 </w:t>
      </w:r>
      <w:r w:rsidR="006A6424" w:rsidRPr="006A6424">
        <w:rPr>
          <w:rFonts w:eastAsia="Times New Roman"/>
          <w:lang w:eastAsia="en-NZ"/>
        </w:rPr>
        <w:t>Weak secondary city system</w:t>
      </w:r>
    </w:p>
    <w:p w14:paraId="59393C63"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03CE8912"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256D289E" w14:textId="77777777" w:rsidR="006A6424" w:rsidRPr="006A6424" w:rsidRDefault="006A6424" w:rsidP="00920D09">
      <w:pPr>
        <w:rPr>
          <w:lang w:eastAsia="en-NZ"/>
        </w:rPr>
      </w:pPr>
      <w:r w:rsidRPr="006A6424">
        <w:rPr>
          <w:lang w:eastAsia="en-NZ"/>
        </w:rPr>
        <w:t>This should not be read as an absence of productive capability outside Auckland. The firm-level evidence points the other way: the three major cities hold 48% of firms and 63% of employment, but 52% of national-frontier firms and 73% of frontier-firm employment, so Christchurch and Wellington carry more than their share of the country's most productive firms (Zheng, 2016).</w:t>
      </w:r>
    </w:p>
    <w:p w14:paraId="67BC0E43" w14:textId="77777777" w:rsidR="006A6424" w:rsidRPr="006A6424" w:rsidRDefault="006A6424" w:rsidP="00920D09">
      <w:pPr>
        <w:rPr>
          <w:lang w:eastAsia="en-NZ"/>
        </w:rPr>
      </w:pPr>
      <w:r w:rsidRPr="006A6424">
        <w:rPr>
          <w:lang w:eastAsia="en-NZ"/>
        </w:rPr>
        <w:t>The weakness lies in what connects them. New Zealand firms converge faster toward their local productivity frontier than toward the national one — all fifteen industries studied show catch-up to the local frontier, but only nine to the national frontier — and convergence to the national frontier is strongest among firms that trade their output over distance (Zheng, 2016). Productivity diffusion is geographically bounded: a firm in Christchurch is pulled toward the best firms in Christchurch, not toward the best firms in New Zealand. The secondary city system is therefore not a network of complementary centres. It is closer to the opposite — a set of locally bounded economies, each with real specialisations and real internal agglomeration, but weakly coupled to one another and to Auckland. Capability exists; it does not compound. That is also why shocks to narrowly based local economies amplify rather than dissipate (Coleman et al., 2019).</w:t>
      </w:r>
    </w:p>
    <w:p w14:paraId="347C0A84"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15AC2C31"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09281D29"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62F35AB3"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CEB76B2" w14:textId="77777777" w:rsidR="006A6424" w:rsidRPr="006A6424" w:rsidRDefault="006A6424" w:rsidP="00920D09">
      <w:pPr>
        <w:rPr>
          <w:lang w:eastAsia="en-NZ"/>
        </w:rPr>
      </w:pPr>
      <w:r w:rsidRPr="006A6424">
        <w:rPr>
          <w:lang w:eastAsia="en-NZ"/>
        </w:rPr>
        <w:t xml:space="preserve">This reinforces the central argument of the paper, with one qualification worth stating precisely. Improving the performance of the metropolitan system is likely to be the single most powerful national productivity lever available, and pulling it does not require redistributing growth away from Auckland. But it is not sufficient on its own. If productivity diffusion is geographically bounded, as the firm-level </w:t>
      </w:r>
      <w:r w:rsidRPr="006A6424">
        <w:rPr>
          <w:lang w:eastAsia="en-NZ"/>
        </w:rPr>
        <w:lastRenderedPageBreak/>
        <w:t>evidence suggests, a better-functioning Auckland will not automatically lift Dunedin or Invercargill. The national task is to improve the metropolitan system and to strengthen the connections along which productivity travels, rather than to choose between them.</w:t>
      </w:r>
    </w:p>
    <w:p w14:paraId="60355331" w14:textId="77777777" w:rsidR="00920D09" w:rsidRDefault="00920D09">
      <w:pPr>
        <w:spacing w:after="0"/>
        <w:rPr>
          <w:lang w:eastAsia="en-NZ"/>
        </w:rPr>
      </w:pPr>
      <w:r>
        <w:rPr>
          <w:lang w:eastAsia="en-NZ"/>
        </w:rPr>
        <w:br w:type="page"/>
      </w:r>
    </w:p>
    <w:p w14:paraId="78C57868" w14:textId="77777777" w:rsidR="006A6424" w:rsidRPr="006A6424" w:rsidRDefault="006A6424" w:rsidP="003F57E3">
      <w:pPr>
        <w:pStyle w:val="Heading2"/>
        <w:rPr>
          <w:rFonts w:eastAsia="Times New Roman"/>
          <w:lang w:eastAsia="en-NZ"/>
        </w:rPr>
      </w:pPr>
      <w:bookmarkStart w:id="9" w:name="_Toc239251867"/>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4AA9266A"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56339B6E"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14:paraId="14DEAC85" w14:textId="77777777" w:rsidR="00265A65" w:rsidRDefault="00505D4B">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The result is an enduring tension between supporting the growth of the major centres and sustaining opportunity across the wider regions — a tension successive governments have managed rather than settled.</w:t>
      </w:r>
    </w:p>
    <w:p w14:paraId="3D8D30D3" w14:textId="7A26CAED" w:rsidR="00265A65" w:rsidRDefault="00505D4B">
      <w:r>
        <w:t>One reason the tension endures is structural. New Zealand’s government is highly centralised by international standards (Gluckman et al., 2022). Local authorities hold powers that matter a great deal to the arguments in this paper — land use planning and consenting, local roads, water and waste, and, through regional councils, public transport — and they deliver a substantial share of the country’s infrastructure. What they do not hold is health, education,</w:t>
      </w:r>
      <w:r w:rsidR="001D2C11">
        <w:t xml:space="preserve"> immigration,</w:t>
      </w:r>
      <w:r>
        <w:t xml:space="preserve"> tertiary institutions, welfare or justice, and their revenue base is almost entirely property rates. Almost every decision with a significant spatial consequence beyond the district plan — where a hospital or a polytechnic is built, which corridor is funded, where a housing programme is directed — is therefore made centrally.</w:t>
      </w:r>
    </w:p>
    <w:p w14:paraId="6C96E591" w14:textId="374865F2" w:rsidR="00265A65" w:rsidRDefault="00505D4B">
      <w:r>
        <w:t xml:space="preserve">That structure produces the dichotomy directly. When the centre allocates, places compete for allocation, because competing for allocation is the only agency available to them. A hospital, a research institute or a motorway granted to one region is, in the arithmetic of a fixed national budget, one not granted elsewhere. The zero-sum framing this section objects to is therefore not simply a failure of imagination, or a hangover from provincial politics. It is a rational response to a system in which the centre holds </w:t>
      </w:r>
      <w:r w:rsidR="001D2C11">
        <w:t>many of</w:t>
      </w:r>
      <w:r>
        <w:t xml:space="preserve"> the levers that matter.</w:t>
      </w:r>
    </w:p>
    <w:p w14:paraId="73F1E07C"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6FC6C0D7" w14:textId="17576865" w:rsidR="001D2C11"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w:t>
      </w:r>
      <w:r w:rsidR="001D2C11">
        <w:t xml:space="preserve">equally </w:t>
      </w:r>
      <w:r>
        <w:t>not whether growth in Auckland benefits New Zealand</w:t>
      </w:r>
      <w:r w:rsidR="001D2C11">
        <w:t xml:space="preserve"> overall; that is a question of how, as a </w:t>
      </w:r>
      <w:r w:rsidR="001D2C11">
        <w:lastRenderedPageBreak/>
        <w:t xml:space="preserve">country, we choose to pool and share our collective resources through systems of taxation, regulation, and redistribution. Per the previous paragraph, the default answer is that it does. </w:t>
      </w:r>
    </w:p>
    <w:p w14:paraId="213DFC25" w14:textId="252416AB" w:rsidR="00265A65" w:rsidRDefault="001D2C11">
      <w:r>
        <w:t>A much more sensible question to pose is</w:t>
      </w:r>
      <w:r w:rsidR="00505D4B">
        <w:t xml:space="preserve"> whether </w:t>
      </w:r>
      <w:r>
        <w:t>Auckland</w:t>
      </w:r>
      <w:r w:rsidR="00505D4B">
        <w:t xml:space="preserve"> is delivering the productivity outcomes that should accompany a city of its scale</w:t>
      </w:r>
      <w:r w:rsidR="001C29BA">
        <w:t>, and whether the benefits of those outcomes exceed Auckland’s obvious diseconomies of scale</w:t>
      </w:r>
      <w:r w:rsidR="00505D4B">
        <w:t>. Framing the issue as "Auckland versus the rest" obscures the central economic point</w:t>
      </w:r>
      <w:r w:rsidR="001C29BA">
        <w:t>; m</w:t>
      </w:r>
      <w:r w:rsidR="00505D4B">
        <w:t>etropolitan performance is a core determinant of national performance (OECD, 2015).</w:t>
      </w:r>
    </w:p>
    <w:p w14:paraId="61FEDE19"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099B49F0" w14:textId="6110A21A" w:rsidR="00265A65" w:rsidRDefault="00505D4B">
      <w:r>
        <w:t>New Zealand’s regions provide the natural resources and amenity value that underpin our current largest export industries (tourism and primary industries</w:t>
      </w:r>
      <w:r w:rsidR="001C29BA">
        <w:t>)</w:t>
      </w:r>
      <w:r>
        <w:t xml:space="preserve">.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w:t>
      </w:r>
      <w:r w:rsidR="001C29BA">
        <w:t xml:space="preserve">appellation </w:t>
      </w:r>
      <w:r>
        <w:t>‘tangata whenua’; the indivisibility of iwi and rohe is a central part of this national character.</w:t>
      </w:r>
    </w:p>
    <w:p w14:paraId="25704266" w14:textId="1F675AB6" w:rsidR="00265A65" w:rsidRDefault="00505D4B">
      <w:r>
        <w:t xml:space="preserve">A mature set of spatial policies would recognise </w:t>
      </w:r>
      <w:r w:rsidR="000A5133">
        <w:t>all</w:t>
      </w:r>
      <w:r>
        <w:t xml:space="preserve"> these factors and own them, rather than set them in conflict. As our large primate metropolitan city, it is Auckland’s job to be more </w:t>
      </w:r>
      <w:r w:rsidR="000A5133">
        <w:t xml:space="preserve">economically </w:t>
      </w:r>
      <w:r>
        <w:t>productive than the regions. If it is not generating national productivity benefits commensurate with its scale, there’s no point in having it. Auckland should be generating wealth that is enjoyed by all of New Zealand, and a</w:t>
      </w:r>
      <w:r w:rsidR="001C29BA">
        <w:t>t least one</w:t>
      </w:r>
      <w:r>
        <w:t xml:space="preserve"> legitimate use for that wealth is to keep the regions, their economies and their amenities functioning for the national benefit according to our shared values.</w:t>
      </w:r>
    </w:p>
    <w:p w14:paraId="5EAFFE19" w14:textId="279D5EFC" w:rsidR="00265A65" w:rsidRDefault="00505D4B">
      <w:r>
        <w:t xml:space="preserve">The alternative – to pretend that the regions should be as economically productive and self-sustaining as our metropolitan centres, and to continue to treat Auckland as a distinct country-within-a-country that shouldn’t get too far ahead of the rest of us – is </w:t>
      </w:r>
      <w:r w:rsidR="001C29BA">
        <w:t>an unfortunate</w:t>
      </w:r>
      <w:r>
        <w:t xml:space="preserve"> recipe for the continuation of the low productivity economy we enjoy at the moment. The challenge is therefore not to choose between places, but to ensure each part of the spatial system is functioning as effectively as possible.</w:t>
      </w:r>
    </w:p>
    <w:p w14:paraId="20B3E405" w14:textId="77777777" w:rsidR="004C268F" w:rsidRDefault="004C268F">
      <w:pPr>
        <w:spacing w:after="0"/>
        <w:rPr>
          <w:rFonts w:asciiTheme="majorHAnsi" w:eastAsiaTheme="majorEastAsia" w:hAnsiTheme="majorHAnsi" w:cstheme="majorBidi"/>
          <w:b/>
          <w:sz w:val="32"/>
          <w:szCs w:val="32"/>
        </w:rPr>
      </w:pPr>
      <w:r>
        <w:br w:type="page"/>
      </w:r>
    </w:p>
    <w:p w14:paraId="303F4C9D" w14:textId="77777777" w:rsidR="00AF1867" w:rsidRDefault="00AF1867" w:rsidP="00AF1867">
      <w:pPr>
        <w:pStyle w:val="Heading2"/>
        <w:rPr>
          <w:rFonts w:eastAsia="Times New Roman"/>
          <w:lang w:eastAsia="en-NZ"/>
        </w:rPr>
      </w:pPr>
      <w:bookmarkStart w:id="10" w:name="_Toc239251868"/>
      <w:r>
        <w:lastRenderedPageBreak/>
        <w:t>7. New Zealand's Final Frontier</w:t>
      </w:r>
      <w:bookmarkEnd w:id="10"/>
    </w:p>
    <w:p w14:paraId="076AF0BD"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2CA24400" w14:textId="77777777" w:rsidR="00265A65" w:rsidRDefault="00505D4B">
      <w:r>
        <w:t>A more provocative interpretation is possible.</w:t>
      </w:r>
    </w:p>
    <w:p w14:paraId="68177676" w14:textId="77777777" w:rsidR="00265A65" w:rsidRDefault="00505D4B">
      <w:r>
        <w:rPr>
          <w:b/>
        </w:rPr>
        <w:t>New Zealand's productivity problem is an Auckland frontier</w:t>
      </w:r>
      <w:r w:rsidR="000424AB">
        <w:rPr>
          <w:b/>
        </w:rPr>
        <w:t xml:space="preserve"> </w:t>
      </w:r>
      <w:r>
        <w:rPr>
          <w:b/>
        </w:rPr>
        <w:t>firm problem.</w:t>
      </w:r>
    </w:p>
    <w:p w14:paraId="67286B20"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frontier is weak.</w:t>
      </w:r>
    </w:p>
    <w:p w14:paraId="14A297CC" w14:textId="514B4E3B" w:rsidR="00265A65" w:rsidRDefault="00505D4B">
      <w:r>
        <w:t>The Commission also emphasises that frontier firms do not emerge in isolation. They arise within systems of specialised capability. Successful frontier firms are embedded in networks of skilled labour, investors, universities, researchers, specialised suppliers, international connections, sophisticated management capability and other frontier firms. These systems provide the conditions that allow firms to innovate, scale, export and diffuse new technologies and practices throughout the wider economy –</w:t>
      </w:r>
    </w:p>
    <w:p w14:paraId="3CA63989" w14:textId="77777777" w:rsidR="00265A65" w:rsidRDefault="00505D4B" w:rsidP="000A5133">
      <w:pPr>
        <w:ind w:left="720"/>
      </w:pPr>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4FFA2119" w14:textId="77777777" w:rsidR="00265A65" w:rsidRDefault="00505D4B" w:rsidP="000A5133">
      <w:pPr>
        <w:ind w:left="720"/>
      </w:pPr>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7CC7620C" w14:textId="4BD4B8FE" w:rsidR="00265A65" w:rsidRDefault="00505D4B">
      <w:r>
        <w:t>Viewed through a spatial lens, these are eye-opening descriptions. Almost every ingredient identified by the Productivity Commission is also an urban phenomenon.</w:t>
      </w:r>
      <w:r w:rsidR="000A5133">
        <w:t xml:space="preserve"> </w:t>
      </w:r>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14:paraId="0809690A" w14:textId="744ECA61" w:rsidR="008B4DDF" w:rsidRDefault="0071405A">
      <w:r>
        <w:t>The empirical evidence sharpens the point. In French data</w:t>
      </w:r>
      <w:r w:rsidR="000A5133">
        <w:t xml:space="preserve"> on individual ‘establishments’ (i.e. physical locations of firms)</w:t>
      </w:r>
      <w:r>
        <w:t xml:space="preserve">, the productivity benefits of density are not spread evenly across </w:t>
      </w:r>
      <w:r w:rsidR="002F6396">
        <w:t>sites</w:t>
      </w:r>
      <w:r>
        <w:t>: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22720A55" w14:textId="11A6CEFC" w:rsidR="00265A65" w:rsidRDefault="00505D4B">
      <w:r>
        <w:lastRenderedPageBreak/>
        <w:t>If this is true, then the frontier firm question becomes spatial. More specifically, in the New Zealand context it becomes metropolitan, and in New Zealand, metropolitan means Auckland.</w:t>
      </w:r>
      <w:r w:rsidR="002F6396">
        <w:t xml:space="preserve"> </w:t>
      </w:r>
      <w:r>
        <w:t xml:space="preserve">If New Zealand is going to produce </w:t>
      </w:r>
      <w:r w:rsidR="002F6396">
        <w:t xml:space="preserve">or attract </w:t>
      </w:r>
      <w:r>
        <w:t>larger numbers of frontier firms, there is a strong likelihood that a disproportionate share of them will emerge from Auckland or depend on Auckland-based systems and networks to reach scale.</w:t>
      </w:r>
    </w:p>
    <w:p w14:paraId="0C031342" w14:textId="77777777" w:rsidR="008371B8" w:rsidRDefault="00C514AC">
      <w:r>
        <w:t>This is not merely inference. Firm-level analysis of the Longitudinal Business Database finds that New Zealand's productivity frontier is more spatially concentrated than economic activity generally: the three major cities hold 48% of firms and 63% of employment, but 52% of national-frontier firms and 73% of frontier-firm employment — and the services frontier, the relevant one here, is disproportionately clustered in them, with Auckland much the largest component (Zheng, 2016). The frontier is not hypothet</w:t>
      </w:r>
      <w:r>
        <w:t>ically metropolitan; it is measurably concentrated in New Zealand's major cities, and above all in Auckland.</w:t>
      </w:r>
    </w:p>
    <w:p w14:paraId="6D067D2D"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2CFD1C03"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14:paraId="052871E4" w14:textId="5BA24928" w:rsidR="00265A65" w:rsidRDefault="00505D4B">
      <w:r>
        <w:t xml:space="preserve">There is now direct evidence on the skills side of that hypothesis. Auckland’s highly-skilled population premium over the rest of New Zealand is only 8 percentage points, placing it behind Dublin, Lisbon, Stockholm and Oslo and giving it “less of a ‘gateway premium’ than most peer regions”. The 2026 </w:t>
      </w:r>
      <w:r w:rsidR="002F6396">
        <w:t xml:space="preserve">State of the City </w:t>
      </w:r>
      <w:r>
        <w:t>report attributes to this thin premium exactly the consequences the frontier-firm argument would predict: “slower productivity gains from job-switching and specialist depth, fewer pathways for New Zealanders into higher-value roles, and large knowledge-intensive firms forming less readily” (The Business of Cities &amp; Committee for Auckland, 2026, p. 22). That is not a causal estimate, and it should not be read as one. But it is the mechanism named independently, by benchmarking analysts working from a different evidence base and with no stake in this paper’s argument — and the thin skill premium is the labour-market counterpart of the thin productivity premium documented in Section 5.</w:t>
      </w:r>
    </w:p>
    <w:p w14:paraId="7BA5E049" w14:textId="77777777" w:rsidR="00265A65" w:rsidRDefault="00505D4B">
      <w:r>
        <w:t>The innovation evidence points the same way, and is more equivocal in an instructive fashion. Auckland has genuinely improved: its startup ecosystem rose 11 places to 75th strongest globally, its enterprise value has multiplied nineteenfold since 2019, and it is the only OECD city among the top 17 “rising stars” of more than 300 assessed. It also holds between 48% and 55% of New Zealand’s stock of internationally visible investable firms, with the share rising among larger, better-funded and more recently founded companies, and it is decisively clear of Wellington (141st) and Christchurch (261st) — particularly at the point companies reach breakout stage (The Business of Cities &amp; Committee for Auckland, 2026). This corroborates, on a different and more recent data source, the frontier concentration Zheng (2016) identified in the firm-level data.</w:t>
      </w:r>
    </w:p>
    <w:p w14:paraId="259A5405" w14:textId="77777777" w:rsidR="00265A65" w:rsidRDefault="00505D4B">
      <w:r>
        <w:t xml:space="preserve">But the ecosystem thins precisely where the Productivity Commission’s account says it must hold. Auckland’s alumni founder base is less than half the size of Lisbon’s, Helsinki’s or Vancouver’s, and </w:t>
      </w:r>
      <w:r>
        <w:lastRenderedPageBreak/>
        <w:t>its “position weakens at each stage of business growth”. The share of corporates in its technology ecosystem is half that of Vancouver or Dublin, “which makes it harder for reference customers, later-stage capital and first commercial deals to land”. Scale-ups absorb 50% of the venture capital deployed in Auckland against 29% globally, indicating limited capital for earlier-stage firms. And the report finds that peer cities retain more businesses as they add staff and raise external capital, with New Zealand firms appearing “to move offshore earlier, weakening Auckland’s role as a home for high-quality growth companies” (The Business of Cities &amp; Committee for Auckland, 2026, pp. 22, 26, 28).</w:t>
      </w:r>
    </w:p>
    <w:p w14:paraId="2C961544" w14:textId="77777777" w:rsidR="00265A65" w:rsidRDefault="00505D4B">
      <w:r>
        <w:t>Read against the Productivity Commission’s description of what frontier firm ecosystems require — anchor firms providing canopy cover, deep investor networks, pipelines of skilled workers, specialised suppliers — this is a list of missing ingredients rather than a list of missing firms. Auckland is generating frontier-firm candidates at a rate that is now internationally visible. What it is not doing is holding them, capitalising them, or surrounding them with the corporate and institutional depth that would let them scale in place. That is a description of an ecosystem problem, and ecosystems are metropolitan artefacts.</w:t>
      </w:r>
    </w:p>
    <w:p w14:paraId="14BA9631" w14:textId="77777777" w:rsidR="00265A65" w:rsidRDefault="00505D4B">
      <w:r>
        <w:t>Under this interpretation, Auckland's weak productivity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But that means that it also provides one of the best opportunities New Zealand has to close its productivity gap.</w:t>
      </w:r>
    </w:p>
    <w:p w14:paraId="55208A06" w14:textId="56C31D97" w:rsidR="00265A65" w:rsidRDefault="00505D4B">
      <w:r>
        <w:t xml:space="preserve">Parts of this hypothesis require further testing, and the Productivity Commission does not make the argument directly. But its central premise is no longer speculative: the national productivity frontier is measurably concentrated in New Zealand's major cities, and above all in Auckland (Zheng, 2016). If frontier firms depend on metropolitan ecosystems, and Auckland is New Zealand's only metropolitan ecosystem of international scale, then the performance of Auckland is unlikely to be merely one productivity issue among many. It is </w:t>
      </w:r>
      <w:r w:rsidR="002F6396">
        <w:t xml:space="preserve">likely to be one of </w:t>
      </w:r>
      <w:r>
        <w:t>the most important one</w:t>
      </w:r>
      <w:r w:rsidR="002F6396">
        <w:t>s</w:t>
      </w:r>
      <w:r>
        <w:t>.</w:t>
      </w:r>
    </w:p>
    <w:p w14:paraId="5C5BF92C" w14:textId="77777777" w:rsidR="00265A65" w:rsidRDefault="00505D4B">
      <w:r>
        <w:t>Under that interpretation, improving Auckland's performance is not principally a regional policy objective. It is a national productivity strategy.</w:t>
      </w:r>
    </w:p>
    <w:p w14:paraId="4F72E387"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058F8405" w14:textId="77777777" w:rsidR="006A6424" w:rsidRPr="006A6424" w:rsidRDefault="00AF1867" w:rsidP="003F57E3">
      <w:pPr>
        <w:pStyle w:val="Heading2"/>
        <w:rPr>
          <w:rFonts w:eastAsia="Times New Roman"/>
          <w:lang w:eastAsia="en-NZ"/>
        </w:rPr>
      </w:pPr>
      <w:bookmarkStart w:id="11" w:name="_Toc239251869"/>
      <w:r>
        <w:rPr>
          <w:rFonts w:eastAsia="Times New Roman"/>
          <w:lang w:eastAsia="en-NZ"/>
        </w:rPr>
        <w:lastRenderedPageBreak/>
        <w:t>8</w:t>
      </w:r>
      <w:r w:rsidR="006A6424" w:rsidRPr="006A6424">
        <w:rPr>
          <w:rFonts w:eastAsia="Times New Roman"/>
          <w:lang w:eastAsia="en-NZ"/>
        </w:rPr>
        <w:t>. Implications for Policy</w:t>
      </w:r>
      <w:bookmarkEnd w:id="11"/>
    </w:p>
    <w:p w14:paraId="6DC85C5A"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3A8BCCCD" w14:textId="3483F718" w:rsidR="001D3A83" w:rsidRDefault="001D3A83" w:rsidP="00425772">
      <w:pPr>
        <w:rPr>
          <w:kern w:val="2"/>
          <w:lang w:eastAsia="en-NZ"/>
          <w14:ligatures w14:val="standardContextual"/>
        </w:rPr>
      </w:pPr>
      <w:r>
        <w:t xml:space="preserve">This paper’s analysis sits alongside the </w:t>
      </w:r>
      <w:r w:rsidR="00346652">
        <w:t>MBIE</w:t>
      </w:r>
      <w:r>
        <w:t>’s own most recent statement on productivity, and it is worth being clear about how the two relate. The 2025 Long-term Insights Briefing identifies agglomeration as critical to knowledge-intensive industry, and its glossary is precise about why: knowledge spillovers “diminish with distance, making clusters and urban density especially powerful for sharing tacit knowledge” (MBIE &amp; MFAT, 2025, p. 58). It also uses the core–periphery framework, applying it to New Zealand’s position in the world and concluding that our small scale and isolation are “features of a periphery economy” (MBIE &amp; MFAT, 2025, p. 15). That is the right frame for the question the Briefing sets itself, which is how a small and distant economy connects to global markets, capital and capability.</w:t>
      </w:r>
    </w:p>
    <w:p w14:paraId="203CA1BA" w14:textId="77777777" w:rsidR="001D3A83" w:rsidRDefault="001D3A83" w:rsidP="00425772">
      <w:pPr>
        <w:rPr>
          <w:kern w:val="2"/>
          <w:lang w:eastAsia="en-NZ"/>
          <w14:ligatures w14:val="standardContextual"/>
        </w:rPr>
      </w:pPr>
      <w:r>
        <w:t>This paper asks a different question — where within New Zealand productive activity happens, and what prevents it happening better — and the two questions meet on clusters. The Briefing recommends that cluster strategy “should be tailored to reflect the unique differences and strengths of each region” (MBIE &amp; MFAT, 2025, p. 54). Read domestically, that raises a question of scale the Briefing had no particular reason to take up: do New Zealand’s regions carry the density that the mechanism it describes requires? On the evidence in Sections 2 and 5, mostly not. Auckland’s agglomeration elasticity is around 0.04 — the same as other major New Zealand cities — and Auckland is only 5–8% more productive than Hamilton, Tauranga, Wellington and Christchurch on the basis of size alone (Ministry of Housing and Urban Development, 2024). If 1.7 million people buy a premium that small, a cluster of a few thousand workers in a provincial centre is not generating Marshallian returns, and the gap between local-frontier and national-frontier firms has been widening rather than closing (Zheng, 2016).</w:t>
      </w:r>
    </w:p>
    <w:p w14:paraId="51151A76" w14:textId="77777777" w:rsidR="001D3A83" w:rsidRDefault="001D3A83" w:rsidP="00425772">
      <w:pPr>
        <w:rPr>
          <w:kern w:val="2"/>
          <w:lang w:eastAsia="en-NZ"/>
          <w14:ligatures w14:val="standardContextual"/>
        </w:rPr>
      </w:pPr>
      <w:r>
        <w:t xml:space="preserve">None of this makes regional clusters futile. It is a point about which lever moves them. Firms in smaller centres do converge toward the national frontier when they trade their output over distance (Zheng, 2016); what they do not get is the proximity dividend. Christchurch’s aerospace firms are not productive because Christchurch is dense — they are productive because they are technically excellent and globally connected. For most of New Zealand outside Auckland, the realistic route to higher productivity runs through connection rather than through local agglomeration. That is also where the Briefing itself puts the emphasis, in recommending clusters “connected to global networks”. The domestic corollary, which this paper draws out, is that outside Auckland the connection is doing nearly </w:t>
      </w:r>
      <w:proofErr w:type="gramStart"/>
      <w:r>
        <w:t>all of</w:t>
      </w:r>
      <w:proofErr w:type="gramEnd"/>
      <w:r>
        <w:t xml:space="preserve"> the work and the density very little.</w:t>
      </w:r>
    </w:p>
    <w:p w14:paraId="31A4FC0E"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2166811A" w14:textId="77777777" w:rsidR="001D3A83" w:rsidRDefault="001D3A83" w:rsidP="00425772">
      <w:pPr>
        <w:rPr>
          <w:kern w:val="2"/>
          <w:lang w:eastAsia="en-NZ"/>
          <w14:ligatures w14:val="standardContextual"/>
        </w:rPr>
      </w:pPr>
      <w:r>
        <w:t xml:space="preserve">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w:t>
      </w:r>
      <w:r>
        <w:lastRenderedPageBreak/>
        <w:t>objectives and local delivery capacity. If the system cannot finance and deliver infrastructure ahead of demand, then growth will continue to arrive as a pressure to be managed rather than an opportunity to be converted into productivity.</w:t>
      </w:r>
    </w:p>
    <w:p w14:paraId="74737804"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0CD02CCA" w14:textId="77777777" w:rsidR="001D3A83" w:rsidRDefault="00167942" w:rsidP="00425772">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4AEF1A38" w14:textId="7DBFB079" w:rsidR="00346652" w:rsidRPr="006A6424" w:rsidRDefault="00346652" w:rsidP="00346652">
      <w:pPr>
        <w:rPr>
          <w:lang w:eastAsia="en-NZ"/>
        </w:rPr>
      </w:pPr>
      <w:r w:rsidRPr="006A6424">
        <w:rPr>
          <w:lang w:eastAsia="en-NZ"/>
        </w:rPr>
        <w:t xml:space="preserve">Philip McCann applied </w:t>
      </w:r>
      <w:r>
        <w:rPr>
          <w:lang w:eastAsia="en-NZ"/>
        </w:rPr>
        <w:t xml:space="preserve">many of </w:t>
      </w:r>
      <w:r w:rsidRPr="006A6424">
        <w:rPr>
          <w:lang w:eastAsia="en-NZ"/>
        </w:rPr>
        <w:t>these ideas directly to New Zealand in 2009. His argument was that the productivity debate here was being conducted almost entirely in institutional and free-market-versus-interventionist terms, and that seen instead through economic geography, “there is nothing really paradoxical about New Zealand’s productivity performance” (McCann, 2009, p. 279). The paradox dissolves once distance, urban scale and connectivity are treated as economic variables rather than as background conditions.</w:t>
      </w:r>
    </w:p>
    <w:p w14:paraId="51CDBD98" w14:textId="1D6D2199" w:rsidR="00346652" w:rsidRPr="006A6424" w:rsidRDefault="00346652" w:rsidP="00346652">
      <w:pPr>
        <w:rPr>
          <w:lang w:eastAsia="en-NZ"/>
        </w:rPr>
      </w:pPr>
      <w:r w:rsidRPr="006A6424">
        <w:rPr>
          <w:lang w:eastAsia="en-NZ"/>
        </w:rPr>
        <w:t>That argument</w:t>
      </w:r>
      <w:r>
        <w:rPr>
          <w:lang w:eastAsia="en-NZ"/>
        </w:rPr>
        <w:t xml:space="preserve"> </w:t>
      </w:r>
      <w:r w:rsidRPr="006A6424">
        <w:rPr>
          <w:lang w:eastAsia="en-NZ"/>
        </w:rPr>
        <w:t xml:space="preserve">was published in a policy-facing journal seventeen years ago, and it has not become a standard part of how economic policy advice is framed in this country. If geography, scale and connectivity really are core determinants of productivity — as this paper argues — then their absence from </w:t>
      </w:r>
      <w:r>
        <w:rPr>
          <w:lang w:eastAsia="en-NZ"/>
        </w:rPr>
        <w:t xml:space="preserve">recent economic </w:t>
      </w:r>
      <w:r w:rsidRPr="006A6424">
        <w:rPr>
          <w:lang w:eastAsia="en-NZ"/>
        </w:rPr>
        <w:t>policy analysis</w:t>
      </w:r>
      <w:r>
        <w:rPr>
          <w:lang w:eastAsia="en-NZ"/>
        </w:rPr>
        <w:t xml:space="preserve"> could conceivably be more than unfortunate</w:t>
      </w:r>
      <w:r w:rsidRPr="006A6424">
        <w:rPr>
          <w:lang w:eastAsia="en-NZ"/>
        </w:rPr>
        <w:t>. A policy system that lacks the frame to see spatial effects will not manage them, which makes the gap in analysis one of the causes of the underperformance rather than just a failure to describe it.</w:t>
      </w:r>
    </w:p>
    <w:p w14:paraId="2952F443" w14:textId="176159C4" w:rsidR="001D3A83" w:rsidRDefault="001D3A83" w:rsidP="00425772">
      <w:r>
        <w:t xml:space="preserve">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10D0728E" w14:textId="5A068CCE" w:rsidR="004F129F" w:rsidRDefault="004F129F" w:rsidP="004F129F">
      <w:pPr>
        <w:pStyle w:val="Heading3"/>
        <w:rPr>
          <w:kern w:val="2"/>
          <w:lang w:eastAsia="en-NZ"/>
          <w14:ligatures w14:val="standardContextual"/>
        </w:rPr>
      </w:pPr>
      <w:bookmarkStart w:id="12" w:name="_Toc239251870"/>
      <w:r>
        <w:t>Further work for MBIE</w:t>
      </w:r>
      <w:bookmarkEnd w:id="12"/>
    </w:p>
    <w:p w14:paraId="320EDF3A" w14:textId="22029FC0" w:rsidR="008B4DDF" w:rsidRDefault="0071405A" w:rsidP="004F129F">
      <w:pPr>
        <w:spacing w:after="0"/>
      </w:pPr>
      <w:r>
        <w:t>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economic ecosystems.</w:t>
      </w:r>
    </w:p>
    <w:p w14:paraId="2EF5AD35" w14:textId="77777777" w:rsidR="004F129F" w:rsidRDefault="004F129F" w:rsidP="004F129F">
      <w:pPr>
        <w:spacing w:after="0"/>
      </w:pPr>
    </w:p>
    <w:p w14:paraId="7F968750" w14:textId="7374CFFC" w:rsidR="008B4DDF" w:rsidRDefault="0071405A">
      <w:r>
        <w:t xml:space="preserve">This leaves a persistent gap despite the creation of MCERT. Many agencies are responsible for delivering parts of the spatial system, but no agency is clearly responsible for ensuring that the system </w:t>
      </w:r>
      <w:proofErr w:type="gramStart"/>
      <w:r>
        <w:lastRenderedPageBreak/>
        <w:t>as a whole maximises</w:t>
      </w:r>
      <w:proofErr w:type="gramEnd"/>
      <w:r>
        <w:t xml:space="preserve">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14:paraId="4CD200B2" w14:textId="59B745E4" w:rsidR="008B4DDF" w:rsidRDefault="0071405A">
      <w:r>
        <w:t>If the arguments in this paper are correct, this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14:paraId="2F719797" w14:textId="77777777" w:rsidR="008B4DDF" w:rsidRDefault="0071405A">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317C4A96" w14:textId="77777777" w:rsidR="003A2761" w:rsidRDefault="00425772" w:rsidP="004F129F">
      <w:r>
        <w:t>The next steps from that idea can be boiled down to a couple of simple propositions</w:t>
      </w:r>
      <w:r w:rsidR="004F129F">
        <w:t xml:space="preserve">. </w:t>
      </w:r>
    </w:p>
    <w:p w14:paraId="407DF97C" w14:textId="77777777" w:rsidR="003A2761" w:rsidRDefault="004F129F" w:rsidP="003A2761">
      <w:r>
        <w:t>Firstly, MBIE’s policy advice needs to step away from the occasional, faulty assumption</w:t>
      </w:r>
      <w:r w:rsidR="00425772">
        <w:t xml:space="preserve"> </w:t>
      </w:r>
      <w:r w:rsidR="00717D67">
        <w:t>that either New Zealand is completely homogenous economically, or that a ‘market’ of some description will take care of the spatial implications of policies</w:t>
      </w:r>
      <w:r w:rsidR="00425772">
        <w:t xml:space="preserve">. </w:t>
      </w:r>
      <w:r w:rsidR="00717D67">
        <w:t xml:space="preserve">Geographically neutral policies can at this stage be considered actively harmful towards productivity; we are leaving potential premia on the table. </w:t>
      </w:r>
    </w:p>
    <w:p w14:paraId="14842151" w14:textId="44F59FBA" w:rsidR="00425772" w:rsidRDefault="003A2761" w:rsidP="00425772">
      <w:r>
        <w:t xml:space="preserve">Secondly, </w:t>
      </w:r>
      <w:r w:rsidR="00717D67" w:rsidRPr="003A2761">
        <w:t xml:space="preserve">MBIE needs </w:t>
      </w:r>
      <w:r>
        <w:t>make specific use of its mandate as a leader of economic policy. It should be present</w:t>
      </w:r>
      <w:r w:rsidR="00717D67">
        <w:t xml:space="preserve"> consistently across government</w:t>
      </w:r>
      <w:r>
        <w:t xml:space="preserve"> and in the public eye</w:t>
      </w:r>
      <w:r w:rsidR="00717D67">
        <w:t xml:space="preserve">, </w:t>
      </w:r>
      <w:r>
        <w:t xml:space="preserve">making </w:t>
      </w:r>
      <w:r w:rsidR="00717D67">
        <w:t>robust, evidence-based case</w:t>
      </w:r>
      <w:r>
        <w:t>s</w:t>
      </w:r>
      <w:r w:rsidR="00717D67">
        <w:t xml:space="preserve"> for productivity being at the top of the spatial agenda. </w:t>
      </w:r>
    </w:p>
    <w:p w14:paraId="2BFEE74F" w14:textId="77777777" w:rsidR="00425772" w:rsidRPr="00425772" w:rsidRDefault="00425772" w:rsidP="00425772"/>
    <w:p w14:paraId="6CFC9518" w14:textId="77777777" w:rsidR="006A6424" w:rsidRPr="009B2F01" w:rsidRDefault="003B184F" w:rsidP="00425772">
      <w:pPr>
        <w:pStyle w:val="Heading2"/>
        <w:rPr>
          <w:rFonts w:eastAsia="Times New Roman"/>
          <w:lang w:eastAsia="en-NZ"/>
        </w:rPr>
      </w:pPr>
      <w:r w:rsidRPr="00425772">
        <w:rPr>
          <w:rFonts w:eastAsia="Times New Roman"/>
          <w:lang w:eastAsia="en-NZ"/>
        </w:rPr>
        <w:br w:type="page"/>
      </w:r>
      <w:bookmarkStart w:id="13" w:name="_Toc239251871"/>
      <w:r w:rsidR="006A6424" w:rsidRPr="009B2F01">
        <w:rPr>
          <w:lang w:eastAsia="en-NZ"/>
        </w:rPr>
        <w:lastRenderedPageBreak/>
        <w:t>Bibliography</w:t>
      </w:r>
      <w:bookmarkEnd w:id="13"/>
    </w:p>
    <w:p w14:paraId="30F099EE"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194DFBA2"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5FBB23DB" w14:textId="77777777" w:rsidR="006A6424" w:rsidRPr="006A6424" w:rsidRDefault="006A6424" w:rsidP="00425772">
      <w:pPr>
        <w:rPr>
          <w:lang w:eastAsia="en-NZ"/>
        </w:rPr>
      </w:pPr>
      <w:r>
        <w:t xml:space="preserve">Auckland Council and Auckland Transport. (2026). </w:t>
      </w:r>
      <w:r>
        <w:rPr>
          <w:i/>
        </w:rPr>
        <w:t>City Rail Link Benefits Realisation Plan</w:t>
      </w:r>
      <w:r>
        <w:t>. July 2026, Version 10. Prepared by Invise, UrbanUmber and Ascari. Auckland: Auckland Council.</w:t>
      </w:r>
    </w:p>
    <w:p w14:paraId="295B76A1" w14:textId="77777777" w:rsidR="006A6424" w:rsidRPr="006A6424" w:rsidRDefault="006A6424" w:rsidP="00425772">
      <w:pPr>
        <w:rPr>
          <w:lang w:eastAsia="en-NZ"/>
        </w:rPr>
      </w:pPr>
      <w:r>
        <w:t xml:space="preserve">Auckland Transport. (2021). </w:t>
      </w:r>
      <w:r>
        <w:rPr>
          <w:i/>
        </w:rPr>
        <w:t>Auckland Region Transport Strategic Case 2021–2031</w:t>
      </w:r>
      <w:r>
        <w:t>. Future Connect | RLTP | ATAP, Final. Auckland: Auckland Transport.</w:t>
      </w:r>
    </w:p>
    <w:p w14:paraId="34E2D1CF"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7C97CB6F"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66646E56"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35E9D3C0"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666D45EA" w14:textId="77777777" w:rsidR="006A6424" w:rsidRPr="006A6424" w:rsidRDefault="006A6424" w:rsidP="00425772">
      <w:pPr>
        <w:rPr>
          <w:lang w:eastAsia="en-NZ"/>
        </w:rPr>
      </w:pPr>
      <w:r w:rsidRPr="009B2F01">
        <w:rPr>
          <w:lang w:val="fr-FR"/>
        </w:rPr>
        <w:t xml:space="preserve">Combes, P.-P., Duranton, G., Gobillon, L., Puga, D. and Roux, S. (2012). </w:t>
      </w:r>
      <w:r>
        <w:t xml:space="preserve">The productivity advantages of large cities: Distinguishing agglomeration from firm selection. </w:t>
      </w:r>
      <w:proofErr w:type="spellStart"/>
      <w:r>
        <w:rPr>
          <w:i/>
        </w:rPr>
        <w:t>Econometrica</w:t>
      </w:r>
      <w:proofErr w:type="spellEnd"/>
      <w:r>
        <w:t>, 80(6), 2211–2244.</w:t>
      </w:r>
    </w:p>
    <w:p w14:paraId="092001B2"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2BEDBB6B" w14:textId="77777777" w:rsidR="006A6424" w:rsidRPr="006A6424" w:rsidRDefault="006A6424" w:rsidP="00425772">
      <w:pPr>
        <w:rPr>
          <w:lang w:eastAsia="en-NZ"/>
        </w:rPr>
      </w:pPr>
      <w:r w:rsidRPr="006A6424">
        <w:rPr>
          <w:lang w:eastAsia="en-NZ"/>
        </w:rPr>
        <w:t>The Business of Cities and Committee for Auckland. (2026). </w:t>
      </w:r>
      <w:r w:rsidRPr="006A6424">
        <w:rPr>
          <w:i/>
          <w:iCs/>
          <w:lang w:eastAsia="en-NZ"/>
        </w:rPr>
        <w:t>State of the City 2026: Evidence and insights for Auckland’s Action Agenda</w:t>
      </w:r>
      <w:r w:rsidRPr="006A6424">
        <w:rPr>
          <w:lang w:eastAsia="en-NZ"/>
        </w:rPr>
        <w:t>. Auckland: Committee for Auckland.</w:t>
      </w:r>
    </w:p>
    <w:p w14:paraId="5A3BC2B9"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41AA1EA8"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2021-026/VIII. Amsterdam: Tinbergen Institute.</w:t>
      </w:r>
    </w:p>
    <w:p w14:paraId="3666D8A4" w14:textId="77777777" w:rsidR="006A6424" w:rsidRPr="006A6424" w:rsidRDefault="006A6424" w:rsidP="00425772">
      <w:pPr>
        <w:rPr>
          <w:lang w:eastAsia="en-NZ"/>
        </w:rPr>
      </w:pPr>
      <w:r w:rsidRPr="006A6424">
        <w:rPr>
          <w:lang w:eastAsia="en-NZ"/>
        </w:rPr>
        <w:t>Donovan, S., de Graaff, T., Grimes, A., de Groot, H.L.F. and Maré, D.C. (2022). Cities with forking paths? Agglomeration economies in New Zealand 1976–2018. </w:t>
      </w:r>
      <w:r w:rsidRPr="006A6424">
        <w:rPr>
          <w:i/>
          <w:iCs/>
          <w:lang w:eastAsia="en-NZ"/>
        </w:rPr>
        <w:t>Regional Science and Urban Economics</w:t>
      </w:r>
      <w:r w:rsidRPr="006A6424">
        <w:rPr>
          <w:lang w:eastAsia="en-NZ"/>
        </w:rPr>
        <w:t>, 95, Article 103799.</w:t>
      </w:r>
    </w:p>
    <w:p w14:paraId="2291DB9B"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50A27C7C"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048E7D36" w14:textId="77777777" w:rsidR="006A6424" w:rsidRPr="006A6424" w:rsidRDefault="006A6424" w:rsidP="00425772">
      <w:pPr>
        <w:rPr>
          <w:lang w:eastAsia="en-NZ"/>
        </w:rPr>
      </w:pPr>
      <w:r w:rsidRPr="006A6424">
        <w:rPr>
          <w:lang w:eastAsia="en-NZ"/>
        </w:rPr>
        <w:lastRenderedPageBreak/>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69664420" w14:textId="77777777" w:rsidR="006A6424" w:rsidRPr="006A6424" w:rsidRDefault="006A6424" w:rsidP="00425772">
      <w:pPr>
        <w:rPr>
          <w:lang w:eastAsia="en-NZ"/>
        </w:rPr>
      </w:pPr>
      <w:r>
        <w:t xml:space="preserve">Krugman, P. (1991). Increasing returns and economic geography. </w:t>
      </w:r>
      <w:r>
        <w:rPr>
          <w:i/>
        </w:rPr>
        <w:t>Journal of Political Economy</w:t>
      </w:r>
      <w:r>
        <w:t>, 99(3), 483–499.</w:t>
      </w:r>
    </w:p>
    <w:p w14:paraId="135072B8"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104DB053" w14:textId="77777777" w:rsidR="006A6424" w:rsidRPr="006A6424" w:rsidRDefault="006A6424" w:rsidP="00425772">
      <w:pPr>
        <w:rPr>
          <w:lang w:eastAsia="en-NZ"/>
        </w:rPr>
      </w:pPr>
      <w:r w:rsidRPr="006A6424">
        <w:rPr>
          <w:lang w:eastAsia="en-NZ"/>
        </w:rPr>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0F720B77"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252E8742" w14:textId="77777777" w:rsidR="006A6424" w:rsidRPr="006A6424" w:rsidRDefault="006A6424" w:rsidP="00425772">
      <w:pPr>
        <w:rPr>
          <w:lang w:eastAsia="en-NZ"/>
        </w:rPr>
      </w:pPr>
      <w:r>
        <w:t xml:space="preserve">Marshall, A. (1890). </w:t>
      </w:r>
      <w:r>
        <w:rPr>
          <w:i/>
        </w:rPr>
        <w:t>Principles of Economics</w:t>
      </w:r>
      <w:r>
        <w:t>. London: Macmillan.</w:t>
      </w:r>
    </w:p>
    <w:p w14:paraId="0507BD35" w14:textId="77777777" w:rsidR="006A6424" w:rsidRPr="006A6424" w:rsidRDefault="006A6424" w:rsidP="00425772">
      <w:pPr>
        <w:rPr>
          <w:lang w:eastAsia="en-NZ"/>
        </w:rPr>
      </w:pPr>
      <w:r>
        <w:t xml:space="preserve">McCann, P. (2009). Economic geography, globalisation and New Zealand’s productivity paradox. </w:t>
      </w:r>
      <w:r>
        <w:rPr>
          <w:i/>
        </w:rPr>
        <w:t>New Zealand Economic Papers</w:t>
      </w:r>
      <w:r>
        <w:t>, 43(3), 279–314.</w:t>
      </w:r>
    </w:p>
    <w:p w14:paraId="14F23FA5" w14:textId="77777777" w:rsidR="006A6424" w:rsidRPr="006A6424" w:rsidRDefault="006A6424" w:rsidP="00425772">
      <w:pPr>
        <w:rPr>
          <w:lang w:eastAsia="en-NZ"/>
        </w:rPr>
      </w:pPr>
      <w:r>
        <w:t xml:space="preserve">Ministry of Business, Innovation and Employment and Ministry of Foreign Affairs and Trade. (2025). </w:t>
      </w:r>
      <w:r>
        <w:rPr>
          <w:i/>
        </w:rPr>
        <w:t>New Zealand’s productivity in a changing world: Long-term Insights Briefing 2025</w:t>
      </w:r>
      <w:r>
        <w:t>. Wellington: Ministry of Business, Innovation and Employment.</w:t>
      </w:r>
    </w:p>
    <w:p w14:paraId="2C8068EC" w14:textId="77777777" w:rsidR="006A6424" w:rsidRPr="006A6424" w:rsidRDefault="006A6424" w:rsidP="00425772">
      <w:pPr>
        <w:rPr>
          <w:lang w:eastAsia="en-NZ"/>
        </w:rPr>
      </w:pPr>
      <w:r>
        <w:t xml:space="preserve">Ministry of Housing and Urban Development. (2024). </w:t>
      </w:r>
      <w:r>
        <w:rPr>
          <w:i/>
        </w:rPr>
        <w:t>Research on housing as an enabler of economic growth and productivity</w:t>
      </w:r>
      <w:r>
        <w:t xml:space="preserve"> (Aide-memoire HUD2024-003621, 8 March 2024). Wellington: New Zealand Government. Proactively released. https://www.hud.govt.nz/documents/hud2024-003621-research-on-housing-as-an-enabler-of-economic-growth-and-productivity</w:t>
      </w:r>
    </w:p>
    <w:p w14:paraId="5545E041"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74B8F221" w14:textId="77777777" w:rsidR="006A6424" w:rsidRPr="006A6424" w:rsidRDefault="006A6424" w:rsidP="00425772">
      <w:pPr>
        <w:rPr>
          <w:lang w:eastAsia="en-NZ"/>
        </w:rPr>
      </w:pPr>
      <w:r w:rsidRPr="009B2F01">
        <w:rPr>
          <w:lang w:eastAsia="en-NZ"/>
        </w:rPr>
        <w:t xml:space="preserve">New Zealand Infrastructure Commission, Te Waihanga. </w:t>
      </w:r>
      <w:r w:rsidRPr="006A6424">
        <w:rPr>
          <w:lang w:val="fr-FR" w:eastAsia="en-NZ"/>
        </w:rPr>
        <w:t>(2026).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762DD7FE"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57C41CCA"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1991526B"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77138EF6"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44606722"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41614F41"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4D2A4A87" w14:textId="77777777" w:rsidR="006A6424" w:rsidRPr="006A6424" w:rsidRDefault="006A6424" w:rsidP="00425772">
      <w:pPr>
        <w:rPr>
          <w:lang w:eastAsia="en-NZ"/>
        </w:rPr>
      </w:pPr>
      <w:r>
        <w:lastRenderedPageBreak/>
        <w:t xml:space="preserve">Porter, M.E. (2000). Location, competition, and economic development: Local clusters in a global economy. </w:t>
      </w:r>
      <w:r>
        <w:rPr>
          <w:i/>
        </w:rPr>
        <w:t>Economic Development Quarterly</w:t>
      </w:r>
      <w:r>
        <w:t>, 14(1), 15–34.</w:t>
      </w:r>
    </w:p>
    <w:p w14:paraId="6A79F5AE"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63D30FD7" w14:textId="77777777" w:rsidR="006A6424" w:rsidRPr="006A6424" w:rsidRDefault="006A6424" w:rsidP="00425772">
      <w:pPr>
        <w:rPr>
          <w:lang w:eastAsia="en-NZ"/>
        </w:rPr>
      </w:pPr>
      <w:r>
        <w:t xml:space="preserve">Statistics New Zealand. (1991). </w:t>
      </w:r>
      <w:r>
        <w:rPr>
          <w:i/>
        </w:rPr>
        <w:t>1991 Census of Population and Dwellings</w:t>
      </w:r>
      <w:r>
        <w:t>. Wellington: Statistics New Zealand.</w:t>
      </w:r>
    </w:p>
    <w:p w14:paraId="3313A012" w14:textId="77777777" w:rsidR="006A6424" w:rsidRPr="006A6424" w:rsidRDefault="006A6424" w:rsidP="00425772">
      <w:pPr>
        <w:rPr>
          <w:lang w:eastAsia="en-NZ"/>
        </w:rPr>
      </w:pPr>
      <w:r>
        <w:t xml:space="preserve">Statistics New Zealand. (2023). </w:t>
      </w:r>
      <w:r>
        <w:rPr>
          <w:i/>
        </w:rPr>
        <w:t>2023 Census population counts</w:t>
      </w:r>
      <w:r>
        <w:t>. Wellington: Statistics New Zealand.</w:t>
      </w:r>
    </w:p>
    <w:p w14:paraId="12F09AC6" w14:textId="77777777" w:rsidR="006A6424" w:rsidRPr="006A6424" w:rsidRDefault="006A6424" w:rsidP="00425772">
      <w:pPr>
        <w:rPr>
          <w:lang w:eastAsia="en-NZ"/>
        </w:rPr>
      </w:pPr>
      <w:r>
        <w:t xml:space="preserve">Statistics New Zealand. (2025). </w:t>
      </w:r>
      <w:r>
        <w:rPr>
          <w:i/>
        </w:rPr>
        <w:t>Subnational population estimates: At 30 June 2025</w:t>
      </w:r>
      <w:r>
        <w:t>. Wellington: Statistics New Zealand.</w:t>
      </w:r>
    </w:p>
    <w:p w14:paraId="336E554E"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2ACB4DBB" w14:textId="77777777" w:rsidR="006A6424" w:rsidRPr="006A6424" w:rsidRDefault="006A6424" w:rsidP="00425772">
      <w:pPr>
        <w:rPr>
          <w:lang w:eastAsia="en-NZ"/>
        </w:rPr>
      </w:pPr>
      <w:r w:rsidRPr="006A6424">
        <w:rPr>
          <w:lang w:eastAsia="en-NZ"/>
        </w:rPr>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5471C1D8" w14:textId="77777777" w:rsidR="006A6424" w:rsidRPr="006A6424" w:rsidRDefault="006A6424" w:rsidP="00425772">
      <w:pPr>
        <w:rPr>
          <w:lang w:eastAsia="en-NZ"/>
        </w:rPr>
      </w:pPr>
      <w:r>
        <w:t xml:space="preserve">Zheng, G. (2016). </w:t>
      </w:r>
      <w:r>
        <w:rPr>
          <w:i/>
        </w:rPr>
        <w:t>Geographic proximity and productivity convergence across New Zealand firms</w:t>
      </w:r>
      <w:r>
        <w:t>. New Zealand Productivity Commission Working Paper 2016/04. Wellington: New Zealand Productivity Commission. https://www.treasury.govt.nz/publications/geographic-proximity-and-productivity-convergence-across-new-zealand-firms-pcwp-2016-04</w:t>
      </w:r>
    </w:p>
    <w:p w14:paraId="2B265D2D" w14:textId="77777777" w:rsidR="0017741E" w:rsidRPr="00B22259" w:rsidRDefault="0017741E" w:rsidP="006A6424">
      <w:pPr>
        <w:pStyle w:val="Heading1"/>
      </w:pPr>
    </w:p>
    <w:sectPr w:rsidR="0017741E" w:rsidRPr="00B22259" w:rsidSect="00D2741D">
      <w:headerReference w:type="default" r:id="rId23"/>
      <w:footerReference w:type="default" r:id="rId24"/>
      <w:footerReference w:type="first" r:id="rId25"/>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377F4" w14:textId="77777777" w:rsidR="00C514AC" w:rsidRPr="006A6424" w:rsidRDefault="00C514AC" w:rsidP="004434DB">
      <w:r w:rsidRPr="006A6424">
        <w:separator/>
      </w:r>
    </w:p>
  </w:endnote>
  <w:endnote w:type="continuationSeparator" w:id="0">
    <w:p w14:paraId="01DA6352" w14:textId="77777777" w:rsidR="00C514AC" w:rsidRPr="006A6424" w:rsidRDefault="00C514AC"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1B05AC0E" w14:textId="77777777" w:rsidTr="00556981">
      <w:tc>
        <w:tcPr>
          <w:tcW w:w="7938" w:type="dxa"/>
        </w:tcPr>
        <w:p w14:paraId="4F14BC31" w14:textId="77777777" w:rsidR="00556981" w:rsidRPr="006A6424" w:rsidRDefault="00556981" w:rsidP="004434DB">
          <w:pPr>
            <w:pStyle w:val="Footer"/>
          </w:pPr>
        </w:p>
      </w:tc>
      <w:tc>
        <w:tcPr>
          <w:tcW w:w="1694" w:type="dxa"/>
        </w:tcPr>
        <w:p w14:paraId="69847EE9"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43A64EC8"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AD5D505" w14:textId="77777777" w:rsidTr="00C93AFC">
      <w:tc>
        <w:tcPr>
          <w:tcW w:w="7938" w:type="dxa"/>
        </w:tcPr>
        <w:p w14:paraId="426D4FF6" w14:textId="77777777" w:rsidR="003C54FF" w:rsidRPr="006A6424" w:rsidRDefault="005A2AAB" w:rsidP="003C54FF">
          <w:pPr>
            <w:pStyle w:val="Footer"/>
          </w:pPr>
          <w:r>
            <w:t>Cities and Spatial Policy</w:t>
          </w:r>
        </w:p>
      </w:tc>
      <w:tc>
        <w:tcPr>
          <w:tcW w:w="1694" w:type="dxa"/>
        </w:tcPr>
        <w:p w14:paraId="76A1736B"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6859F21D"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424F710B" w14:textId="77777777" w:rsidTr="00556981">
      <w:tc>
        <w:tcPr>
          <w:tcW w:w="8222" w:type="dxa"/>
        </w:tcPr>
        <w:p w14:paraId="7B03A1C9" w14:textId="77777777" w:rsidR="006002A4" w:rsidRPr="006A6424" w:rsidRDefault="005A2AAB" w:rsidP="004434DB">
          <w:pPr>
            <w:pStyle w:val="Footer"/>
          </w:pPr>
          <w:r>
            <w:t>Cities and Spatial Policy</w:t>
          </w:r>
          <w:r w:rsidR="008F461E">
            <w:t xml:space="preserve"> – </w:t>
          </w:r>
          <w:r w:rsidR="008F461E" w:rsidRPr="008F461E">
            <w:rPr>
              <w:color w:val="FF0000"/>
            </w:rPr>
            <w:t>DRAFT</w:t>
          </w:r>
          <w:r w:rsidR="008F461E">
            <w:rPr>
              <w:color w:val="FF0000"/>
            </w:rPr>
            <w:t xml:space="preserve"> NOT FINAL NOT GOVERNMENT POLICY</w:t>
          </w:r>
        </w:p>
      </w:tc>
      <w:tc>
        <w:tcPr>
          <w:tcW w:w="1410" w:type="dxa"/>
        </w:tcPr>
        <w:p w14:paraId="55629733"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7CB093F3"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6ED7B95A" w14:textId="77777777" w:rsidTr="00E258CF">
      <w:tc>
        <w:tcPr>
          <w:tcW w:w="8217" w:type="dxa"/>
        </w:tcPr>
        <w:p w14:paraId="42386A96" w14:textId="77777777" w:rsidR="00066273" w:rsidRPr="006A6424" w:rsidRDefault="00F175F9" w:rsidP="004434DB">
          <w:pPr>
            <w:pStyle w:val="Footer"/>
          </w:pPr>
          <w:fldSimple w:instr=" FILENAME  \* FirstCap  \* MERGEFORMAT ">
            <w:r>
              <w:rPr>
                <w:noProof/>
              </w:rPr>
              <w:t>Cities and Spatial Policy v1</w:t>
            </w:r>
          </w:fldSimple>
          <w:r w:rsidR="00066273" w:rsidRPr="006A6424">
            <w:t xml:space="preserve"> – edit on one page should update all pages</w:t>
          </w:r>
        </w:p>
      </w:tc>
      <w:tc>
        <w:tcPr>
          <w:tcW w:w="1139" w:type="dxa"/>
        </w:tcPr>
        <w:p w14:paraId="095DCEEB"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4EEA36F"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7084" w14:textId="77777777" w:rsidR="00C514AC" w:rsidRPr="006A6424" w:rsidRDefault="00C514AC" w:rsidP="004434DB">
      <w:bookmarkStart w:id="0" w:name="_Hlk104460753"/>
      <w:bookmarkEnd w:id="0"/>
      <w:r w:rsidRPr="006A6424">
        <w:separator/>
      </w:r>
    </w:p>
  </w:footnote>
  <w:footnote w:type="continuationSeparator" w:id="0">
    <w:p w14:paraId="7036779B" w14:textId="77777777" w:rsidR="00C514AC" w:rsidRPr="006A6424" w:rsidRDefault="00C514AC"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2ADC"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3B3E"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5133"/>
    <w:rsid w:val="000A6A27"/>
    <w:rsid w:val="000B224F"/>
    <w:rsid w:val="000B35AE"/>
    <w:rsid w:val="000C766A"/>
    <w:rsid w:val="000E07AB"/>
    <w:rsid w:val="000E3420"/>
    <w:rsid w:val="000E6C2A"/>
    <w:rsid w:val="000F3A64"/>
    <w:rsid w:val="001073F6"/>
    <w:rsid w:val="001308F8"/>
    <w:rsid w:val="00131B89"/>
    <w:rsid w:val="00144669"/>
    <w:rsid w:val="001464AE"/>
    <w:rsid w:val="00167942"/>
    <w:rsid w:val="00172EC2"/>
    <w:rsid w:val="0017398A"/>
    <w:rsid w:val="00175072"/>
    <w:rsid w:val="0017741E"/>
    <w:rsid w:val="00177B4A"/>
    <w:rsid w:val="001858BC"/>
    <w:rsid w:val="001927B5"/>
    <w:rsid w:val="001B6714"/>
    <w:rsid w:val="001C29BA"/>
    <w:rsid w:val="001D2C11"/>
    <w:rsid w:val="001D3A83"/>
    <w:rsid w:val="001D7310"/>
    <w:rsid w:val="00205378"/>
    <w:rsid w:val="002152AB"/>
    <w:rsid w:val="002268F7"/>
    <w:rsid w:val="00265A65"/>
    <w:rsid w:val="00267918"/>
    <w:rsid w:val="002721AD"/>
    <w:rsid w:val="00273C84"/>
    <w:rsid w:val="002755DA"/>
    <w:rsid w:val="002848BC"/>
    <w:rsid w:val="002A1986"/>
    <w:rsid w:val="002A2B6A"/>
    <w:rsid w:val="002C0894"/>
    <w:rsid w:val="002C3C6F"/>
    <w:rsid w:val="002D14FC"/>
    <w:rsid w:val="002F41A5"/>
    <w:rsid w:val="002F6396"/>
    <w:rsid w:val="003041F2"/>
    <w:rsid w:val="00323A8A"/>
    <w:rsid w:val="00336F64"/>
    <w:rsid w:val="00342DDB"/>
    <w:rsid w:val="00345E30"/>
    <w:rsid w:val="00346652"/>
    <w:rsid w:val="003501B4"/>
    <w:rsid w:val="00350578"/>
    <w:rsid w:val="00357F97"/>
    <w:rsid w:val="00370EF9"/>
    <w:rsid w:val="0037276F"/>
    <w:rsid w:val="0039171F"/>
    <w:rsid w:val="003A2761"/>
    <w:rsid w:val="003B184F"/>
    <w:rsid w:val="003C54FF"/>
    <w:rsid w:val="003D61D1"/>
    <w:rsid w:val="003D695F"/>
    <w:rsid w:val="003E67A7"/>
    <w:rsid w:val="003F57E3"/>
    <w:rsid w:val="004069EE"/>
    <w:rsid w:val="0041099D"/>
    <w:rsid w:val="00415A50"/>
    <w:rsid w:val="00421EA3"/>
    <w:rsid w:val="00423B7D"/>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129F"/>
    <w:rsid w:val="004F49B7"/>
    <w:rsid w:val="004F4B85"/>
    <w:rsid w:val="00505D4B"/>
    <w:rsid w:val="00506C99"/>
    <w:rsid w:val="00525B62"/>
    <w:rsid w:val="005262F0"/>
    <w:rsid w:val="00532577"/>
    <w:rsid w:val="00542193"/>
    <w:rsid w:val="005457A5"/>
    <w:rsid w:val="00546B8F"/>
    <w:rsid w:val="00556981"/>
    <w:rsid w:val="00585A8E"/>
    <w:rsid w:val="00587391"/>
    <w:rsid w:val="00587E81"/>
    <w:rsid w:val="00592D3D"/>
    <w:rsid w:val="0059550F"/>
    <w:rsid w:val="005A107C"/>
    <w:rsid w:val="005A2082"/>
    <w:rsid w:val="005A2AAB"/>
    <w:rsid w:val="005C021F"/>
    <w:rsid w:val="005C6F0C"/>
    <w:rsid w:val="005D4A0E"/>
    <w:rsid w:val="005E4A30"/>
    <w:rsid w:val="005E7A89"/>
    <w:rsid w:val="006002A4"/>
    <w:rsid w:val="00641B21"/>
    <w:rsid w:val="00644044"/>
    <w:rsid w:val="0064779D"/>
    <w:rsid w:val="0065533B"/>
    <w:rsid w:val="006606F0"/>
    <w:rsid w:val="00661336"/>
    <w:rsid w:val="0066185C"/>
    <w:rsid w:val="00676627"/>
    <w:rsid w:val="00694235"/>
    <w:rsid w:val="006958E4"/>
    <w:rsid w:val="006A53F6"/>
    <w:rsid w:val="006A6424"/>
    <w:rsid w:val="006C5C32"/>
    <w:rsid w:val="006D3167"/>
    <w:rsid w:val="006E1D9B"/>
    <w:rsid w:val="006E34E0"/>
    <w:rsid w:val="006E526C"/>
    <w:rsid w:val="00703900"/>
    <w:rsid w:val="00705DFD"/>
    <w:rsid w:val="0071405A"/>
    <w:rsid w:val="00717D67"/>
    <w:rsid w:val="007204F5"/>
    <w:rsid w:val="007443CE"/>
    <w:rsid w:val="00746971"/>
    <w:rsid w:val="00750063"/>
    <w:rsid w:val="007505B2"/>
    <w:rsid w:val="00751BC0"/>
    <w:rsid w:val="00763C7C"/>
    <w:rsid w:val="00771ED4"/>
    <w:rsid w:val="007805B0"/>
    <w:rsid w:val="007A1E22"/>
    <w:rsid w:val="007A3E24"/>
    <w:rsid w:val="007C1AE0"/>
    <w:rsid w:val="007C3E3C"/>
    <w:rsid w:val="007D3E29"/>
    <w:rsid w:val="007F53FB"/>
    <w:rsid w:val="0080142D"/>
    <w:rsid w:val="0080550B"/>
    <w:rsid w:val="00811C14"/>
    <w:rsid w:val="00812AB0"/>
    <w:rsid w:val="00817008"/>
    <w:rsid w:val="00820C81"/>
    <w:rsid w:val="00830B3A"/>
    <w:rsid w:val="008371B8"/>
    <w:rsid w:val="00841C29"/>
    <w:rsid w:val="008467D7"/>
    <w:rsid w:val="008522B6"/>
    <w:rsid w:val="0085384F"/>
    <w:rsid w:val="008666F9"/>
    <w:rsid w:val="00891B2B"/>
    <w:rsid w:val="008A3C9F"/>
    <w:rsid w:val="008B107F"/>
    <w:rsid w:val="008B3D67"/>
    <w:rsid w:val="008B4DDF"/>
    <w:rsid w:val="008D6889"/>
    <w:rsid w:val="008E6DE5"/>
    <w:rsid w:val="008F461E"/>
    <w:rsid w:val="00920D09"/>
    <w:rsid w:val="009238E1"/>
    <w:rsid w:val="009346E9"/>
    <w:rsid w:val="00935E72"/>
    <w:rsid w:val="00940330"/>
    <w:rsid w:val="009421A7"/>
    <w:rsid w:val="00943D25"/>
    <w:rsid w:val="00970ECB"/>
    <w:rsid w:val="00991D37"/>
    <w:rsid w:val="0099269E"/>
    <w:rsid w:val="009A444D"/>
    <w:rsid w:val="009B2F01"/>
    <w:rsid w:val="009B6B02"/>
    <w:rsid w:val="009C05CE"/>
    <w:rsid w:val="009C61D5"/>
    <w:rsid w:val="009E2A10"/>
    <w:rsid w:val="00A11B95"/>
    <w:rsid w:val="00A17B8B"/>
    <w:rsid w:val="00A204B0"/>
    <w:rsid w:val="00A373E7"/>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514AC"/>
    <w:rsid w:val="00C757F9"/>
    <w:rsid w:val="00C831C8"/>
    <w:rsid w:val="00C935C1"/>
    <w:rsid w:val="00CA52A2"/>
    <w:rsid w:val="00CB06EC"/>
    <w:rsid w:val="00CB20DF"/>
    <w:rsid w:val="00CC091B"/>
    <w:rsid w:val="00CD3FFB"/>
    <w:rsid w:val="00CE43B9"/>
    <w:rsid w:val="00CE5647"/>
    <w:rsid w:val="00CE73FC"/>
    <w:rsid w:val="00D12DA8"/>
    <w:rsid w:val="00D22D31"/>
    <w:rsid w:val="00D24853"/>
    <w:rsid w:val="00D2741D"/>
    <w:rsid w:val="00D4476D"/>
    <w:rsid w:val="00D55704"/>
    <w:rsid w:val="00D56963"/>
    <w:rsid w:val="00D6114E"/>
    <w:rsid w:val="00D70801"/>
    <w:rsid w:val="00D7320A"/>
    <w:rsid w:val="00DA262E"/>
    <w:rsid w:val="00DA303C"/>
    <w:rsid w:val="00DA734D"/>
    <w:rsid w:val="00DB154A"/>
    <w:rsid w:val="00DC273F"/>
    <w:rsid w:val="00DD67AB"/>
    <w:rsid w:val="00DF6210"/>
    <w:rsid w:val="00E26440"/>
    <w:rsid w:val="00E41A61"/>
    <w:rsid w:val="00E42D3A"/>
    <w:rsid w:val="00E60C59"/>
    <w:rsid w:val="00E732DF"/>
    <w:rsid w:val="00E75EBB"/>
    <w:rsid w:val="00EA669D"/>
    <w:rsid w:val="00EB68C4"/>
    <w:rsid w:val="00EB7F87"/>
    <w:rsid w:val="00ED5A80"/>
    <w:rsid w:val="00EE31E3"/>
    <w:rsid w:val="00F10D62"/>
    <w:rsid w:val="00F11AA7"/>
    <w:rsid w:val="00F175F9"/>
    <w:rsid w:val="00F2020F"/>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46960"/>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image" Target="media/image8.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3593390D-8333-4855-B9FC-4D43A1B016BD}"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D062DBBE-7C01-4982-A022-E9F31E29CFB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5CCCCD28-08A0-476A-B2BB-4E9E63266DCC}"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6034070F-C296-42DC-AB31-8B734936FD2E}"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211C3CAD-9891-4FE2-9253-89DF301F634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A79E9456-6FA6-410F-963D-45D62A464B89}"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2D5BAD72-1D90-40FF-AF45-136FA40CE78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A7ABDE5B-2309-4EF0-BF24-77A7ADD70BC7}"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274A83BD-D123-468A-A877-027934BB05A2}"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93ABB104-300A-4347-9667-47F09F161F4D}"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DDACCEFE-8E62-40E3-8F8E-5D0EBDE94B4D}"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820B302A-0435-49E3-8006-FD639C3CF6E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33AADAA4-63E0-4346-A4B6-B65FBF1BC2F7}"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B51FF9AF-633B-41D5-A8F7-1B596FDED152}"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F7AF8A26-84C5-4067-AB86-C16FF9C763B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4EBB0E17-1D21-498F-A332-DE68427316A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D6359246-502E-4336-BD6D-2499A921C05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C2715CF1-319A-4A3B-BA08-3D9F53EDF462}"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38231B7F-5B1C-43B1-840F-0042CA573F4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571C0B98-79BB-4B55-B7CF-3B2DABD4D247}"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113</TotalTime>
  <Pages>37</Pages>
  <Words>15011</Words>
  <Characters>87064</Characters>
  <Application>Microsoft Office Word</Application>
  <DocSecurity>0</DocSecurity>
  <Lines>1280</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4</cp:revision>
  <cp:lastPrinted>2026-07-03T04:26:00Z</cp:lastPrinted>
  <dcterms:created xsi:type="dcterms:W3CDTF">2026-09-02T00:37:00Z</dcterms:created>
  <dcterms:modified xsi:type="dcterms:W3CDTF">2026-09-02T02:31:00Z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2026-07-06T21:28:18Z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29ff97be-768b-498d-bdc4-84c34bbf42de</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