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MBIE Spatial Policy Position Paper</w:t>
      </w:r>
    </w:p>
    <w:p>
      <w:pPr>
        <w:pBdr>
          <w:top w:val="single" w:color="auto" w:sz="12"/>
        </w:pBdr>
        <w:spacing w:after="0"/>
      </w:pPr>
    </w:p>
    <w:p>
      <w:pPr>
        <w:pStyle w:val="Heading2"/>
      </w:pPr>
      <w:r>
        <w:rPr>
          <w:rStyle w:val="Normal"/>
        </w:rPr>
        <w:t xml:space="preserve">1. Purpose and Framing</w:t>
      </w:r>
    </w:p>
    <w:p>
      <w:r>
        <w:rPr>
          <w:b/>
          <w:bCs/>
          <w:rStyle w:val="Normal"/>
        </w:rPr>
        <w:t xml:space="preserve">[DRAFT]</w:t>
      </w:r>
    </w:p>
    <w:p>
      <w:r>
        <w:rPr>
          <w:rStyle w:val="Normal"/>
        </w:rPr>
        <w:t xml:space="preserve">This paper sets out an internal MBIE position on spatial policy, with a primary focus on cities and metropolitan systems.</w:t>
      </w:r>
    </w:p>
    <w:p>
      <w:pPr>
        <w:pBdr>
          <w:top w:val="single" w:color="auto" w:sz="12"/>
        </w:pBdr>
        <w:spacing w:after="0"/>
      </w:pPr>
    </w:p>
    <w:p>
      <w:pPr>
        <w:pStyle w:val="Heading2"/>
      </w:pPr>
      <w:r>
        <w:rPr>
          <w:rStyle w:val="Normal"/>
        </w:rPr>
        <w:t xml:space="preserve">2. What We Expect from Cities (Evidence Base)</w:t>
      </w:r>
    </w:p>
    <w:p>
      <w:r>
        <w:rPr>
          <w:b/>
          <w:bCs/>
          <w:rStyle w:val="Normal"/>
        </w:rPr>
        <w:t xml:space="preserve">[DRAFT]</w:t>
      </w:r>
    </w:p>
    <w:p>
      <w:r>
        <w:rPr>
          <w:rStyle w:val="Normal"/>
        </w:rPr>
        <w:t xml:space="preserve">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claim-0001; claim-0043).</w:t>
      </w:r>
    </w:p>
    <w:p>
      <w:r>
        <w:rPr>
          <w:rStyle w:val="Normal"/>
        </w:rPr>
        <w:t xml:space="preserve">However, it is worthwhile summarising the key points, so we understand what we should expect from successful metro, urban and spatial development. These key points then act as a benchmark from whcih we can judge the results we currently have.</w:t>
      </w:r>
    </w:p>
    <w:p>
      <w:r>
        <w:rPr>
          <w:rStyle w:val="Normal"/>
        </w:rPr>
        <w:t xml:space="preserve">First, economic activity is highly concentrated in metropolitan areas. Across OECD countries, a small share of land in and around major cities accounts for a disproportionate share of population, employment, and GDP </w:t>
      </w:r>
      <w:r>
        <w:rPr>
          <w:i/>
          <w:iCs/>
          <w:rStyle w:val="Normal"/>
        </w:rPr>
        <w:t xml:space="preserve">(claim-0021; claim-0029; claim-0030)</w:t>
      </w:r>
      <w:r>
        <w:rPr>
          <w:rStyle w:val="Normal"/>
        </w:rPr>
        <w:t xml:space="preserve">. Metro areas are not just where economic activity is located; they are empirically the primary drivers of national growth </w:t>
      </w:r>
      <w:r>
        <w:rPr>
          <w:i/>
          <w:iCs/>
          <w:rStyle w:val="Normal"/>
        </w:rPr>
        <w:t xml:space="preserve">(</w:t>
      </w:r>
      <w:r>
        <w:rPr>
          <w:b/>
          <w:bCs/>
          <w:i/>
          <w:iCs/>
          <w:rStyle w:val="Normal"/>
        </w:rPr>
        <w:t xml:space="preserve">claim-0029; claim-0030; claim-0021</w:t>
      </w:r>
      <w:r>
        <w:rPr>
          <w:i/>
          <w:iCs/>
          <w:rStyle w:val="Normal"/>
        </w:rPr>
        <w:t xml:space="preserve">)</w:t>
      </w:r>
      <w:r>
        <w:rPr>
          <w:rStyle w:val="Normal"/>
        </w:rPr>
        <w:t xml:space="preserve">. This is a point worth emphasising when our domestic dialogue tends to claim a range of things as the 'powerhouse of the economy' (primary industries, regions, towns, SMEs, Auckland, manufacturing; all depending on who is making the claim). In all other advanced economies, the answer to that claim is unequivocally 'cities'.</w:t>
      </w:r>
    </w:p>
    <w:p>
      <w:r>
        <w:rPr>
          <w:rStyle w:val="Normal"/>
        </w:rPr>
        <w:t xml:space="preserve">Second, larger and more connected cities tend to be more productive. A substantial body of evidence finds that increases in city size or effective density are associated with higher wages, greater output per worker, and stronger innovation outcomes </w:t>
      </w:r>
      <w:r>
        <w:rPr>
          <w:i/>
          <w:iCs/>
          <w:rStyle w:val="Normal"/>
        </w:rPr>
        <w:t xml:space="preserve">(claim-0001; claim-0043)</w:t>
      </w:r>
      <w:r>
        <w:rPr>
          <w:rStyle w:val="Normal"/>
        </w:rPr>
        <w:t xml:space="preserve">. Empirical estimates indicate that doubling city size increases productivity by around 2.7–6.4%, with a central estimate of approximately 4–5%. </w:t>
      </w:r>
      <w:r>
        <w:rPr>
          <w:i/>
          <w:iCs/>
          <w:rStyle w:val="Normal"/>
        </w:rPr>
        <w:t xml:space="preserve">(claim‑0001)</w:t>
      </w:r>
      <w:r>
        <w:rPr>
          <w:rStyle w:val="Normal"/>
        </w:rPr>
        <w:t xml:space="preserve">. At the metropolitan scale, more conservative estimates still find material effects, with productivity increasing by around 3% per doubling of city size. </w:t>
      </w:r>
      <w:r>
        <w:rPr>
          <w:i/>
          <w:iCs/>
          <w:rStyle w:val="Normal"/>
        </w:rPr>
        <w:t xml:space="preserve">(claim‑0011)</w:t>
      </w:r>
      <w:r>
        <w:rPr>
          <w:rStyle w:val="Normal"/>
        </w:rPr>
        <w:t xml:space="preserve">.</w:t>
      </w:r>
    </w:p>
    <w:p>
      <w:r>
        <w:rPr>
          <w:rStyle w:val="Normal"/>
        </w:rPr>
        <w:t xml:space="preserve">These effects arise from a set of well-established mechanisms—matching, learning, and sharing—that intensify as city size and connectivity increase. </w:t>
      </w:r>
      <w:r>
        <w:rPr>
          <w:i/>
          <w:iCs/>
          <w:rStyle w:val="Normal"/>
        </w:rPr>
        <w:t xml:space="preserve">(claim‑0001)</w:t>
      </w:r>
    </w:p>
    <w:p>
      <w:pPr>
        <w:pStyle w:val="ListParagraph"/>
        <w:pStyle w:val="ListParagraph"/>
        <w:numPr>
          <w:ilvl w:val="0"/>
          <w:numId w:val="1"/>
        </w:numPr>
        <w:numPr>
          <w:ilvl w:val="0"/>
          <w:numId w:val="2"/>
        </w:numPr>
      </w:pPr>
      <w:r>
        <w:rPr>
          <w:rStyle w:val="Normal"/>
        </w:rPr>
        <w:t xml:space="preserve">Deep labour markets – large pools of workers and firms enable better matching between skills and jobs, raising productivity for both </w:t>
      </w:r>
      <w:r>
        <w:rPr>
          <w:i/>
          <w:iCs/>
          <w:rStyle w:val="Normal"/>
        </w:rPr>
        <w:t xml:space="preserve">(claim-0051)</w:t>
      </w:r>
      <w:r>
        <w:rPr>
          <w:rStyle w:val="Normal"/>
        </w:rPr>
        <w:t xml:space="preserve">.</w:t>
      </w:r>
    </w:p>
    <w:p>
      <w:pPr>
        <w:pStyle w:val="ListParagraph"/>
        <w:pStyle w:val="ListParagraph"/>
        <w:numPr>
          <w:ilvl w:val="0"/>
          <w:numId w:val="1"/>
        </w:numPr>
        <w:numPr>
          <w:ilvl w:val="0"/>
          <w:numId w:val="2"/>
        </w:numPr>
      </w:pPr>
      <w:r>
        <w:rPr>
          <w:rStyle w:val="Normal"/>
        </w:rPr>
        <w:t xml:space="preserve">Skills matching and specialisation – workers can specialise more narrowly, and firms can find highly specific capabilities </w:t>
      </w:r>
      <w:r>
        <w:rPr>
          <w:i/>
          <w:iCs/>
          <w:rStyle w:val="Normal"/>
        </w:rPr>
        <w:t xml:space="preserve">(claim-0051)</w:t>
      </w:r>
      <w:r>
        <w:rPr>
          <w:rStyle w:val="Normal"/>
        </w:rPr>
        <w:t xml:space="preserve">.</w:t>
      </w:r>
    </w:p>
    <w:p>
      <w:pPr>
        <w:pStyle w:val="ListParagraph"/>
        <w:pStyle w:val="ListParagraph"/>
        <w:numPr>
          <w:ilvl w:val="0"/>
          <w:numId w:val="1"/>
        </w:numPr>
        <w:numPr>
          <w:ilvl w:val="0"/>
          <w:numId w:val="2"/>
        </w:numPr>
      </w:pPr>
      <w:r>
        <w:rPr>
          <w:rStyle w:val="Normal"/>
        </w:rPr>
        <w:t xml:space="preserve">Knowledge spillovers – proximity enables the transfer of tacit knowledge through face-to-face interaction, labour mobility, and informal networks </w:t>
      </w:r>
      <w:r>
        <w:rPr>
          <w:i/>
          <w:iCs/>
          <w:rStyle w:val="Normal"/>
        </w:rPr>
        <w:t xml:space="preserve">(claim-0001)</w:t>
      </w:r>
      <w:r>
        <w:rPr>
          <w:rStyle w:val="Normal"/>
        </w:rPr>
        <w:t xml:space="preserve">. Empirical work suggests these effects decay sharply over short distances </w:t>
      </w:r>
      <w:r>
        <w:rPr>
          <w:i/>
          <w:iCs/>
          <w:rStyle w:val="Normal"/>
        </w:rPr>
        <w:t xml:space="preserve">(</w:t>
      </w:r>
      <w:r>
        <w:rPr>
          <w:b/>
          <w:bCs/>
          <w:i/>
          <w:iCs/>
          <w:rStyle w:val="Normal"/>
        </w:rPr>
        <w:t xml:space="preserve">RW DN source not yet identified</w:t>
      </w:r>
      <w:r>
        <w:rPr>
          <w:i/>
          <w:iCs/>
          <w:rStyle w:val="Normal"/>
        </w:rPr>
        <w:t xml:space="preserve">)</w:t>
      </w:r>
      <w:r>
        <w:rPr>
          <w:rStyle w:val="Normal"/>
        </w:rPr>
        <w:t xml:space="preserve">.</w:t>
      </w:r>
    </w:p>
    <w:p>
      <w:pPr>
        <w:pStyle w:val="ListParagraph"/>
        <w:pStyle w:val="ListParagraph"/>
        <w:numPr>
          <w:ilvl w:val="0"/>
          <w:numId w:val="1"/>
        </w:numPr>
        <w:numPr>
          <w:ilvl w:val="0"/>
          <w:numId w:val="2"/>
        </w:numPr>
      </w:pPr>
      <w:r>
        <w:rPr>
          <w:rStyle w:val="Normal"/>
        </w:rPr>
        <w:t xml:space="preserve">Shared supply chains and inputs – firms benefit from access to specialised suppliers, services, and infrastructure that only exist at scale </w:t>
      </w:r>
      <w:r>
        <w:rPr>
          <w:i/>
          <w:iCs/>
          <w:rStyle w:val="Normal"/>
        </w:rPr>
        <w:t xml:space="preserve">(claim-0043)</w:t>
      </w:r>
      <w:r>
        <w:rPr>
          <w:rStyle w:val="Normal"/>
        </w:rPr>
        <w:t xml:space="preserve">.</w:t>
      </w:r>
    </w:p>
    <w:p>
      <w:pPr>
        <w:pStyle w:val="ListParagraph"/>
        <w:pStyle w:val="ListParagraph"/>
        <w:numPr>
          <w:ilvl w:val="0"/>
          <w:numId w:val="1"/>
        </w:numPr>
        <w:numPr>
          <w:ilvl w:val="0"/>
          <w:numId w:val="2"/>
        </w:numPr>
      </w:pPr>
      <w:r>
        <w:rPr>
          <w:rStyle w:val="Normal"/>
        </w:rPr>
        <w:t xml:space="preserve">Firm competition and selection – denser markets increase competitive pressure, improving average firm quality </w:t>
      </w:r>
      <w:r>
        <w:rPr>
          <w:i/>
          <w:iCs/>
          <w:rStyle w:val="Normal"/>
        </w:rPr>
        <w:t xml:space="preserve">(claim-0043)</w:t>
      </w:r>
      <w:r>
        <w:rPr>
          <w:rStyle w:val="Normal"/>
        </w:rPr>
        <w:t xml:space="preserve">.</w:t>
      </w:r>
    </w:p>
    <w:p>
      <w:pPr>
        <w:pStyle w:val="ListParagraph"/>
        <w:pStyle w:val="ListParagraph"/>
        <w:numPr>
          <w:ilvl w:val="0"/>
          <w:numId w:val="1"/>
        </w:numPr>
        <w:numPr>
          <w:ilvl w:val="0"/>
          <w:numId w:val="2"/>
        </w:numPr>
      </w:pPr>
      <w:r>
        <w:rPr>
          <w:rStyle w:val="Normal"/>
        </w:rPr>
        <w:t xml:space="preserve">Thicker capital and idea markets – access to finance, investors, and new ideas is stronger in concentrated economic centres </w:t>
      </w:r>
      <w:r>
        <w:rPr>
          <w:i/>
          <w:iCs/>
          <w:rStyle w:val="Normal"/>
        </w:rPr>
        <w:t xml:space="preserve">(claim-0043)</w:t>
      </w:r>
      <w:r>
        <w:rPr>
          <w:rStyle w:val="Normal"/>
        </w:rPr>
        <w:t xml:space="preserve">.</w:t>
      </w:r>
    </w:p>
    <w:p>
      <w:r>
        <w:rPr>
          <w:rStyle w:val="Normal"/>
        </w:rPr>
        <w:t xml:space="preserve">Third, connectivity matters at least as much as density. What drives productivity is not simply the number of people within a boundary, but the number of people and firms that can interact within a given time </w:t>
      </w:r>
      <w:r>
        <w:rPr>
          <w:i/>
          <w:iCs/>
          <w:rStyle w:val="Normal"/>
        </w:rPr>
        <w:t xml:space="preserve">(claim-0034)</w:t>
      </w:r>
      <w:r>
        <w:rPr>
          <w:rStyle w:val="Normal"/>
        </w:rPr>
        <w:t xml:space="preserve">. Transport systems and urban form therefore play a central role in determining the economic performance of cities.</w:t>
      </w:r>
    </w:p>
    <w:p>
      <w:r>
        <w:rPr>
          <w:rStyle w:val="Normal"/>
        </w:rPr>
        <w:t xml:space="preserve">Fourth, these relationships are not unconditional and need to be interpreted carefully. A significant share of the observed productivity advantages of cities reflects sorting — more productive workers and firms locating in larger urban areas — rather than purely causal effects of density. Estimates that properly control for this tend to find smaller, but still material, agglomeration effects. New Zealand-specific evidence finds that much of the observed urban productivity premium reflects sorting effects rather than pure agglomeration </w:t>
      </w:r>
      <w:r>
        <w:rPr>
          <w:i/>
          <w:iCs/>
          <w:rStyle w:val="Normal"/>
        </w:rPr>
        <w:t xml:space="preserve">(claim-0091)</w:t>
      </w:r>
      <w:r>
        <w:rPr>
          <w:rStyle w:val="Normal"/>
        </w:rPr>
        <w:t xml:space="preserve">. In addition, the strength of these effects varies by sector (stronger for services than manufacturing) and may have weakened over time </w:t>
      </w:r>
      <w:r>
        <w:rPr>
          <w:i/>
          <w:iCs/>
          <w:rStyle w:val="Normal"/>
        </w:rPr>
        <w:t xml:space="preserve">(claim-0043)</w:t>
      </w:r>
      <w:r>
        <w:rPr>
          <w:rStyle w:val="Normal"/>
        </w:rPr>
        <w:t xml:space="preserve">.</w:t>
      </w:r>
    </w:p>
    <w:p>
      <w:r>
        <w:rPr>
          <w:rStyle w:val="Normal"/>
        </w:rPr>
        <w:t xml:space="preserve">Taken together, the literature supports a clear baseline expectation: well-functioning metropolitan areas should deliver higher productivity, stronger innovation, and deeper labour markets than smaller or less connected places </w:t>
      </w:r>
      <w:r>
        <w:rPr>
          <w:i/>
          <w:iCs/>
          <w:rStyle w:val="Normal"/>
        </w:rPr>
        <w:t xml:space="preserve">(claim-0001; claim-0043)</w:t>
      </w:r>
      <w:r>
        <w:rPr>
          <w:rStyle w:val="Normal"/>
        </w:rPr>
        <w:t xml:space="preserve">. Where this does not occur, it is typically an indication that frictions in the urban system — such as housing constraints, congestion, or infrastructure deficits — are preventing cities from realising these benefits </w:t>
      </w:r>
      <w:r>
        <w:rPr>
          <w:i/>
          <w:iCs/>
          <w:rStyle w:val="Normal"/>
        </w:rPr>
        <w:t xml:space="preserve">(claim-0066; claim-0034)</w:t>
      </w:r>
      <w:r>
        <w:rPr>
          <w:rStyle w:val="Normal"/>
        </w:rPr>
        <w:t xml:space="preserve">.</w:t>
      </w:r>
    </w:p>
    <w:p>
      <w:pPr>
        <w:pBdr>
          <w:top w:val="single" w:color="auto" w:sz="12"/>
        </w:pBdr>
        <w:spacing w:after="0"/>
      </w:pPr>
    </w:p>
    <w:p>
      <w:pPr>
        <w:pStyle w:val="Heading2"/>
      </w:pPr>
      <w:r>
        <w:rPr>
          <w:rStyle w:val="Normal"/>
        </w:rPr>
        <w:t xml:space="preserve">3. Core Diagnosis: Growth, Capital Pressure, and Productivity</w:t>
      </w:r>
    </w:p>
    <w:p>
      <w:r>
        <w:rPr>
          <w:b/>
          <w:bCs/>
          <w:rStyle w:val="Normal"/>
        </w:rPr>
        <w:t xml:space="preserve">[DRAFT]</w:t>
      </w:r>
    </w:p>
    <w:p>
      <w:r>
        <w:rPr>
          <w:rStyle w:val="Normal"/>
        </w:rPr>
        <w:t xml:space="preserve">New Zealand’s productivity problem is, in part, a spatial allocation problem.</w:t>
      </w:r>
    </w:p>
    <w:p>
      <w:r>
        <w:rPr>
          <w:rStyle w:val="Normal"/>
        </w:rPr>
        <w:t xml:space="preserve">More specifically, it reflects a reinforcing system linking population growth, capital allocation, and spatial constraints that prevents metropolitan areas from delivering the productivity gains predicted by the literature.</w:t>
      </w:r>
    </w:p>
    <w:p>
      <w:r>
        <w:rPr>
          <w:rStyle w:val="Normal"/>
        </w:rPr>
        <w:t xml:space="preserve">This can be understood as a sequence of empirically observable developments.</w:t>
      </w:r>
    </w:p>
    <w:p>
      <w:pPr>
        <w:pBdr>
          <w:top w:val="single" w:color="auto" w:sz="12"/>
        </w:pBdr>
        <w:spacing w:after="0"/>
      </w:pPr>
    </w:p>
    <w:p>
      <w:pPr>
        <w:pStyle w:val="Heading3"/>
      </w:pPr>
      <w:r>
        <w:rPr>
          <w:rStyle w:val="Normal"/>
        </w:rPr>
        <w:t xml:space="preserve">A. Population growth has been strong by advanced economy standards</w:t>
      </w:r>
    </w:p>
    <w:p>
      <w:r>
        <w:rPr>
          <w:rStyle w:val="Normal"/>
        </w:rPr>
        <w:t xml:space="preserve">New Zealand has experienced sustained population growth above the average for advanced economies over recent decades, with a particularly strong contribution from migration since the early 1990s </w:t>
      </w:r>
      <w:r>
        <w:rPr>
          <w:i/>
          <w:iCs/>
          <w:rStyle w:val="Normal"/>
        </w:rPr>
        <w:t xml:space="preserve">(overview; demographic claims)</w:t>
      </w:r>
      <w:r>
        <w:rPr>
          <w:rStyle w:val="Normal"/>
        </w:rPr>
        <w:t xml:space="preserve">.</w:t>
      </w:r>
    </w:p>
    <w:p>
      <w:pPr>
        <w:pBdr>
          <w:left w:val="single" w:color="A6A6A6" w:sz="18" w:space="4"/>
        </w:pBdr>
        <w:ind w:left="180"/>
      </w:pPr>
      <w:r>
        <w:rPr>
          <w:rStyle w:val="Normal"/>
        </w:rPr>
        <w:t xml:space="preserve">[Figure 1: New Zealand population growth relative to advanced economies (index or % growth)]</w:t>
      </w:r>
    </w:p>
    <w:p>
      <w:r>
        <w:rPr>
          <w:rStyle w:val="Normal"/>
        </w:rPr>
        <w:t xml:space="preserve">This sustained growth rate differentiates New Zealand from many OECD peers, where population growth has slowed more markedly and is increasingly driven by ageing dynamics rather than migration.</w:t>
      </w:r>
    </w:p>
    <w:p>
      <w:pPr>
        <w:pBdr>
          <w:top w:val="single" w:color="auto" w:sz="12"/>
        </w:pBdr>
        <w:spacing w:after="0"/>
      </w:pPr>
    </w:p>
    <w:p>
      <w:pPr>
        <w:pStyle w:val="Heading3"/>
      </w:pPr>
      <w:r>
        <w:rPr>
          <w:rStyle w:val="Normal"/>
        </w:rPr>
        <w:t xml:space="preserve">B. The drivers of growth shifted from fertility to migration in the early 1990s</w:t>
      </w:r>
    </w:p>
    <w:p>
      <w:r>
        <w:rPr>
          <w:rStyle w:val="Normal"/>
        </w:rPr>
        <w:t xml:space="preserve">Since the early 1990s, international migration has become the dominant component of population growth. Immigration has accounted for a large share of New Zealand’s population growth since the early 1990s, and is strongly concentrated in metropolitan areas. </w:t>
      </w:r>
      <w:r>
        <w:rPr>
          <w:i/>
          <w:iCs/>
          <w:rStyle w:val="Normal"/>
        </w:rPr>
        <w:t xml:space="preserve">(claims 0136–0138)</w:t>
      </w:r>
      <w:r>
        <w:rPr>
          <w:rStyle w:val="Normal"/>
        </w:rPr>
        <w:t xml:space="preserve"> Migrants disproportionately locate in large cities, reinforcing existing agglomeration patterns and concentrating demand in already constrained urban systems. </w:t>
      </w:r>
      <w:r>
        <w:rPr>
          <w:i/>
          <w:iCs/>
          <w:rStyle w:val="Normal"/>
        </w:rPr>
        <w:t xml:space="preserve">(claims 0139–0141)</w:t>
      </w:r>
      <w:r>
        <w:rPr>
          <w:rStyle w:val="Normal"/>
        </w:rPr>
        <w:t xml:space="preserve"> </w:t>
      </w:r>
      <w:r>
        <w:rPr>
          <w:i/>
          <w:iCs/>
          <w:rStyle w:val="Normal"/>
        </w:rPr>
        <w:t xml:space="preserve">(overview; migration claims)</w:t>
      </w:r>
      <w:r>
        <w:rPr>
          <w:rStyle w:val="Normal"/>
        </w:rPr>
        <w:t xml:space="preserve">.</w:t>
      </w:r>
    </w:p>
    <w:p>
      <w:r>
        <w:rPr>
          <w:rStyle w:val="Normal"/>
        </w:rPr>
        <w:t xml:space="preserve">This matters not just for scale, but for spatial distribution, because:</w:t>
      </w:r>
    </w:p>
    <w:p>
      <w:pPr>
        <w:pStyle w:val="ListParagraph"/>
        <w:pStyle w:val="ListParagraph"/>
        <w:numPr>
          <w:ilvl w:val="0"/>
          <w:numId w:val="1"/>
        </w:numPr>
        <w:numPr>
          <w:ilvl w:val="0"/>
          <w:numId w:val="3"/>
        </w:numPr>
      </w:pPr>
      <w:r>
        <w:rPr>
          <w:rStyle w:val="Normal"/>
        </w:rPr>
        <w:t xml:space="preserve">migrants disproportionately settle in large cities</w:t>
      </w:r>
    </w:p>
    <w:p>
      <w:pPr>
        <w:pStyle w:val="ListParagraph"/>
        <w:pStyle w:val="ListParagraph"/>
        <w:numPr>
          <w:ilvl w:val="0"/>
          <w:numId w:val="1"/>
        </w:numPr>
        <w:numPr>
          <w:ilvl w:val="0"/>
          <w:numId w:val="3"/>
        </w:numPr>
      </w:pPr>
      <w:r>
        <w:rPr>
          <w:rStyle w:val="Normal"/>
        </w:rPr>
        <w:t xml:space="preserve">settlement patterns are driven by labour markets, existing communities, and access to services</w:t>
      </w:r>
    </w:p>
    <w:p>
      <w:pPr>
        <w:pBdr>
          <w:top w:val="single" w:color="auto" w:sz="12"/>
        </w:pBdr>
        <w:spacing w:after="0"/>
      </w:pPr>
    </w:p>
    <w:p>
      <w:pPr>
        <w:pStyle w:val="Heading3"/>
      </w:pPr>
      <w:r>
        <w:rPr>
          <w:rStyle w:val="Normal"/>
        </w:rPr>
        <w:t xml:space="preserve">C. Growth became rapidly “metropolitanised”</w:t>
      </w:r>
    </w:p>
    <w:p>
      <w:r>
        <w:rPr>
          <w:rStyle w:val="Normal"/>
        </w:rPr>
        <w:t xml:space="preserve">The shift to migration-led growth resulted in a relatively rapid metropolitanisation of population growth:</w:t>
      </w:r>
    </w:p>
    <w:p>
      <w:pPr>
        <w:pStyle w:val="ListParagraph"/>
        <w:pStyle w:val="ListParagraph"/>
        <w:numPr>
          <w:ilvl w:val="0"/>
          <w:numId w:val="1"/>
        </w:numPr>
        <w:numPr>
          <w:ilvl w:val="0"/>
          <w:numId w:val="4"/>
        </w:numPr>
      </w:pPr>
      <w:r>
        <w:rPr>
          <w:rStyle w:val="Normal"/>
        </w:rPr>
        <w:t xml:space="preserve">New Zealand urbanised later than many comparator economies</w:t>
      </w:r>
    </w:p>
    <w:p>
      <w:pPr>
        <w:pStyle w:val="ListParagraph"/>
        <w:pStyle w:val="ListParagraph"/>
        <w:numPr>
          <w:ilvl w:val="0"/>
          <w:numId w:val="1"/>
        </w:numPr>
        <w:numPr>
          <w:ilvl w:val="0"/>
          <w:numId w:val="4"/>
        </w:numPr>
      </w:pPr>
      <w:r>
        <w:rPr>
          <w:rStyle w:val="Normal"/>
        </w:rPr>
        <w:t xml:space="preserve">but once migration became the primary driver, growth became highly concentrated in metropolitan areas</w:t>
      </w:r>
    </w:p>
    <w:p>
      <w:r>
        <w:rPr>
          <w:rStyle w:val="Normal"/>
        </w:rPr>
        <w:t xml:space="preserve">Auckland, in particular, absorbs a large share of international population inflows </w:t>
      </w:r>
      <w:r>
        <w:rPr>
          <w:i/>
          <w:iCs/>
          <w:rStyle w:val="Normal"/>
        </w:rPr>
        <w:t xml:space="preserve">(overview; Auckland claims)</w:t>
      </w:r>
      <w:r>
        <w:rPr>
          <w:rStyle w:val="Normal"/>
        </w:rPr>
        <w:t xml:space="preserve">.</w:t>
      </w:r>
    </w:p>
    <w:p>
      <w:pPr>
        <w:pBdr>
          <w:left w:val="single" w:color="A6A6A6" w:sz="18" w:space="4"/>
        </w:pBdr>
        <w:ind w:left="180"/>
      </w:pPr>
      <w:r>
        <w:rPr>
          <w:rStyle w:val="Normal"/>
        </w:rPr>
        <w:t xml:space="preserve">[Figure 2: Components of population growth (migration vs natural increase, 1990–present)]</w:t>
      </w:r>
    </w:p>
    <w:p>
      <w:pPr>
        <w:pBdr>
          <w:left w:val="single" w:color="A6A6A6" w:sz="18" w:space="4"/>
        </w:pBdr>
        <w:ind w:left="180"/>
      </w:pPr>
      <w:r>
        <w:rPr>
          <w:rStyle w:val="Normal"/>
        </w:rPr>
        <w:t xml:space="preserve">[Figure 3: Share of population growth occurring in metro areas]</w:t>
      </w:r>
    </w:p>
    <w:p>
      <w:pPr>
        <w:pBdr>
          <w:top w:val="single" w:color="auto" w:sz="12"/>
        </w:pBdr>
        <w:spacing w:after="0"/>
      </w:pPr>
    </w:p>
    <w:p>
      <w:pPr>
        <w:pStyle w:val="Heading3"/>
      </w:pPr>
      <w:r>
        <w:rPr>
          <w:rStyle w:val="Normal"/>
        </w:rPr>
        <w:t xml:space="preserve">D. Growth is not spatially neutral—it lands disproportionately in metros</w:t>
      </w:r>
    </w:p>
    <w:p>
      <w:r>
        <w:rPr>
          <w:rStyle w:val="Normal"/>
        </w:rPr>
        <w:t xml:space="preserve">Population growth in New Zealand is highly uneven in its spatial incidence:</w:t>
      </w:r>
    </w:p>
    <w:p>
      <w:pPr>
        <w:pStyle w:val="ListParagraph"/>
        <w:pStyle w:val="ListParagraph"/>
        <w:numPr>
          <w:ilvl w:val="0"/>
          <w:numId w:val="1"/>
        </w:numPr>
        <w:numPr>
          <w:ilvl w:val="0"/>
          <w:numId w:val="5"/>
        </w:numPr>
      </w:pPr>
      <w:r>
        <w:rPr>
          <w:rStyle w:val="Normal"/>
        </w:rPr>
        <w:t xml:space="preserve">metro areas (especially Auckland) absorb most growth</w:t>
      </w:r>
    </w:p>
    <w:p>
      <w:pPr>
        <w:pStyle w:val="ListParagraph"/>
        <w:pStyle w:val="ListParagraph"/>
        <w:numPr>
          <w:ilvl w:val="0"/>
          <w:numId w:val="1"/>
        </w:numPr>
        <w:numPr>
          <w:ilvl w:val="0"/>
          <w:numId w:val="5"/>
        </w:numPr>
      </w:pPr>
      <w:r>
        <w:rPr>
          <w:rStyle w:val="Normal"/>
        </w:rPr>
        <w:t xml:space="preserve">internal migration redistributes population domestically</w:t>
      </w:r>
    </w:p>
    <w:p>
      <w:pPr>
        <w:pStyle w:val="ListParagraph"/>
        <w:pStyle w:val="ListParagraph"/>
        <w:numPr>
          <w:ilvl w:val="0"/>
          <w:numId w:val="1"/>
        </w:numPr>
        <w:numPr>
          <w:ilvl w:val="0"/>
          <w:numId w:val="5"/>
        </w:numPr>
      </w:pPr>
      <w:r>
        <w:rPr>
          <w:rStyle w:val="Normal"/>
        </w:rPr>
        <w:t xml:space="preserve">but international migration continues to drive metro expansion</w:t>
      </w:r>
    </w:p>
    <w:p>
      <w:r>
        <w:rPr>
          <w:rStyle w:val="Normal"/>
        </w:rPr>
        <w:t xml:space="preserve">This creates persistent, place-specific demand shocks, rather than evenly distributed national growth.</w:t>
      </w:r>
    </w:p>
    <w:p>
      <w:pPr>
        <w:pBdr>
          <w:top w:val="single" w:color="auto" w:sz="12"/>
        </w:pBdr>
        <w:spacing w:after="0"/>
      </w:pPr>
    </w:p>
    <w:p>
      <w:pPr>
        <w:pStyle w:val="Heading3"/>
      </w:pPr>
      <w:r>
        <w:rPr>
          <w:rStyle w:val="Normal"/>
        </w:rPr>
        <w:t xml:space="preserve">E. Metro growth has occurred alongside a structural infrastructure deficit</w:t>
      </w:r>
    </w:p>
    <w:p>
      <w:r>
        <w:rPr>
          <w:rStyle w:val="Normal"/>
        </w:rPr>
        <w:t xml:space="preserve">New Zealand invests heavily in infrastructure by OECD standards (around ~5.8% of GDP annually), but outcomes are weak due to:</w:t>
      </w:r>
    </w:p>
    <w:p>
      <w:pPr>
        <w:pStyle w:val="ListParagraph"/>
        <w:pStyle w:val="ListParagraph"/>
        <w:numPr>
          <w:ilvl w:val="0"/>
          <w:numId w:val="1"/>
        </w:numPr>
        <w:numPr>
          <w:ilvl w:val="0"/>
          <w:numId w:val="6"/>
        </w:numPr>
      </w:pPr>
      <w:r>
        <w:rPr>
          <w:rStyle w:val="Normal"/>
        </w:rPr>
        <w:t xml:space="preserve">high renewals requirements (a large share of infrastructure stock reaching end-of-life)</w:t>
      </w:r>
    </w:p>
    <w:p>
      <w:pPr>
        <w:pStyle w:val="ListParagraph"/>
        <w:pStyle w:val="ListParagraph"/>
        <w:numPr>
          <w:ilvl w:val="0"/>
          <w:numId w:val="1"/>
        </w:numPr>
        <w:numPr>
          <w:ilvl w:val="0"/>
          <w:numId w:val="6"/>
        </w:numPr>
      </w:pPr>
      <w:r>
        <w:rPr>
          <w:rStyle w:val="Normal"/>
        </w:rPr>
        <w:t xml:space="preserve">lagged provision relative to population growth</w:t>
      </w:r>
    </w:p>
    <w:p>
      <w:pPr>
        <w:pStyle w:val="ListParagraph"/>
        <w:pStyle w:val="ListParagraph"/>
        <w:numPr>
          <w:ilvl w:val="0"/>
          <w:numId w:val="1"/>
        </w:numPr>
        <w:numPr>
          <w:ilvl w:val="0"/>
          <w:numId w:val="6"/>
        </w:numPr>
      </w:pPr>
      <w:r>
        <w:rPr>
          <w:rStyle w:val="Normal"/>
        </w:rPr>
        <w:t xml:space="preserve">inefficiencies in planning, sequencing, and delivery</w:t>
      </w:r>
    </w:p>
    <w:p>
      <w:r>
        <w:rPr>
          <w:i/>
          <w:iCs/>
          <w:rStyle w:val="Normal"/>
        </w:rPr>
        <w:t xml:space="preserve">(claim‑0118; claim‑0119; claim‑0122;</w:t>
      </w:r>
      <w:r>
        <w:rPr>
          <w:rStyle w:val="Normal"/>
        </w:rPr>
        <w:t xml:space="preserve"> </w:t>
      </w:r>
      <w:r>
        <w:rPr>
          <w:i/>
          <w:iCs/>
          <w:rStyle w:val="Normal"/>
        </w:rPr>
        <w:t xml:space="preserve">claim-0137</w:t>
      </w:r>
      <w:r>
        <w:rPr>
          <w:rStyle w:val="Normal"/>
        </w:rPr>
        <w:t xml:space="preserve">*)*</w:t>
      </w:r>
    </w:p>
    <w:p>
      <w:pPr>
        <w:pBdr>
          <w:left w:val="single" w:color="A6A6A6" w:sz="18" w:space="4"/>
        </w:pBdr>
        <w:ind w:left="180"/>
      </w:pPr>
      <w:r>
        <w:rPr>
          <w:rStyle w:val="Normal"/>
        </w:rPr>
        <w:t xml:space="preserve">[Figure 4: Infrastructure investment vs estimated demand / gap]</w:t>
      </w:r>
    </w:p>
    <w:p>
      <w:r>
        <w:rPr>
          <w:rStyle w:val="Normal"/>
        </w:rPr>
        <w:t xml:space="preserve">The result is a structurally embedded **“**catch-up” model: infrastructure is delivered reactively, after demand has already materialised.</w:t>
      </w:r>
    </w:p>
    <w:p>
      <w:pPr>
        <w:pBdr>
          <w:top w:val="single" w:color="auto" w:sz="12"/>
        </w:pBdr>
        <w:spacing w:after="0"/>
      </w:pPr>
    </w:p>
    <w:p>
      <w:pPr>
        <w:pStyle w:val="Heading3"/>
      </w:pPr>
      <w:r>
        <w:rPr>
          <w:rStyle w:val="Normal"/>
        </w:rPr>
        <w:t xml:space="preserve">F. This generates persistent pressure in housing, land, and urban systems</w:t>
      </w:r>
    </w:p>
    <w:p>
      <w:r>
        <w:rPr>
          <w:rStyle w:val="Normal"/>
        </w:rPr>
        <w:t xml:space="preserve">In high-growth metro areas, this manifests as:</w:t>
      </w:r>
    </w:p>
    <w:p>
      <w:pPr>
        <w:pStyle w:val="ListParagraph"/>
        <w:pStyle w:val="ListParagraph"/>
        <w:numPr>
          <w:ilvl w:val="0"/>
          <w:numId w:val="1"/>
        </w:numPr>
        <w:numPr>
          <w:ilvl w:val="0"/>
          <w:numId w:val="7"/>
        </w:numPr>
      </w:pPr>
      <w:r>
        <w:rPr>
          <w:rStyle w:val="Normal"/>
        </w:rPr>
        <w:t xml:space="preserve">constrained housing supply and rising land prices </w:t>
      </w:r>
      <w:r>
        <w:rPr>
          <w:i/>
          <w:iCs/>
          <w:rStyle w:val="Normal"/>
        </w:rPr>
        <w:t xml:space="preserve">(claim‑0066; claim‑0075; claim‑0107)</w:t>
      </w:r>
    </w:p>
    <w:p>
      <w:pPr>
        <w:pStyle w:val="ListParagraph"/>
        <w:pStyle w:val="ListParagraph"/>
        <w:numPr>
          <w:ilvl w:val="0"/>
          <w:numId w:val="1"/>
        </w:numPr>
        <w:numPr>
          <w:ilvl w:val="0"/>
          <w:numId w:val="7"/>
        </w:numPr>
      </w:pPr>
      <w:r>
        <w:rPr>
          <w:rStyle w:val="Normal"/>
        </w:rPr>
        <w:t xml:space="preserve">congestion and declining travel speeds </w:t>
      </w:r>
      <w:r>
        <w:rPr>
          <w:i/>
          <w:iCs/>
          <w:rStyle w:val="Normal"/>
        </w:rPr>
        <w:t xml:space="preserve">(claim‑0017; claim‑0109)</w:t>
      </w:r>
    </w:p>
    <w:p>
      <w:pPr>
        <w:pStyle w:val="ListParagraph"/>
        <w:pStyle w:val="ListParagraph"/>
        <w:numPr>
          <w:ilvl w:val="0"/>
          <w:numId w:val="1"/>
        </w:numPr>
        <w:numPr>
          <w:ilvl w:val="0"/>
          <w:numId w:val="7"/>
        </w:numPr>
      </w:pPr>
      <w:r>
        <w:rPr>
          <w:rStyle w:val="Normal"/>
        </w:rPr>
        <w:t xml:space="preserve">infrastructure shortages and sequencing problems </w:t>
      </w:r>
      <w:r>
        <w:rPr>
          <w:i/>
          <w:iCs/>
          <w:rStyle w:val="Normal"/>
        </w:rPr>
        <w:t xml:space="preserve">(claim‑0038; claim‑0045)</w:t>
      </w:r>
    </w:p>
    <w:p>
      <w:r>
        <w:rPr>
          <w:rStyle w:val="Normal"/>
        </w:rPr>
        <w:t xml:space="preserve">These pressures are not cyclical—they are systemic features of the growth model.</w:t>
      </w:r>
    </w:p>
    <w:p>
      <w:pPr>
        <w:pBdr>
          <w:top w:val="single" w:color="auto" w:sz="12"/>
        </w:pBdr>
        <w:spacing w:after="0"/>
      </w:pPr>
    </w:p>
    <w:p>
      <w:pPr>
        <w:pStyle w:val="Heading3"/>
      </w:pPr>
      <w:r>
        <w:rPr>
          <w:rStyle w:val="Normal"/>
        </w:rPr>
        <w:t xml:space="preserve">G. Capital is drawn into accommodating growth rather than enhancing productivity</w:t>
      </w:r>
    </w:p>
    <w:p>
      <w:r>
        <w:rPr>
          <w:rStyle w:val="Normal"/>
        </w:rPr>
        <w:t xml:space="preserve">Because growth is concentrated and infrastructure-constrained:</w:t>
      </w:r>
    </w:p>
    <w:p>
      <w:pPr>
        <w:pStyle w:val="ListParagraph"/>
        <w:pStyle w:val="ListParagraph"/>
        <w:numPr>
          <w:ilvl w:val="0"/>
          <w:numId w:val="1"/>
        </w:numPr>
        <w:numPr>
          <w:ilvl w:val="0"/>
          <w:numId w:val="8"/>
        </w:numPr>
      </w:pPr>
      <w:r>
        <w:rPr>
          <w:rStyle w:val="Normal"/>
        </w:rPr>
        <w:t xml:space="preserve">investment is drawn heavily into housing, land, and infrastructure</w:t>
      </w:r>
    </w:p>
    <w:p>
      <w:pPr>
        <w:pStyle w:val="ListParagraph"/>
        <w:pStyle w:val="ListParagraph"/>
        <w:numPr>
          <w:ilvl w:val="0"/>
          <w:numId w:val="1"/>
        </w:numPr>
        <w:numPr>
          <w:ilvl w:val="0"/>
          <w:numId w:val="8"/>
        </w:numPr>
      </w:pPr>
      <w:r>
        <w:rPr>
          <w:rStyle w:val="Normal"/>
        </w:rPr>
        <w:t xml:space="preserve">capital is required both to accommodate new population and maintain existing systems</w:t>
      </w:r>
    </w:p>
    <w:p>
      <w:pPr>
        <w:pStyle w:val="ListParagraph"/>
        <w:pStyle w:val="ListParagraph"/>
        <w:numPr>
          <w:ilvl w:val="0"/>
          <w:numId w:val="1"/>
        </w:numPr>
        <w:numPr>
          <w:ilvl w:val="0"/>
          <w:numId w:val="8"/>
        </w:numPr>
      </w:pPr>
      <w:r>
        <w:rPr>
          <w:rStyle w:val="Normal"/>
        </w:rPr>
        <w:t xml:space="preserve">relatively less capital is available for productive investment and technology adoption</w:t>
      </w:r>
    </w:p>
    <w:p>
      <w:r>
        <w:rPr>
          <w:i/>
          <w:iCs/>
          <w:rStyle w:val="Normal"/>
        </w:rPr>
        <w:t xml:space="preserve">(claim‑0078; claim‑0083; capital accumulation claims)</w:t>
      </w:r>
    </w:p>
    <w:p>
      <w:r>
        <w:rPr>
          <w:rStyle w:val="Normal"/>
        </w:rPr>
        <w:t xml:space="preserve">This contributes to broader macroeconomic effects observed in New Zealand, including:</w:t>
      </w:r>
    </w:p>
    <w:p>
      <w:pPr>
        <w:pStyle w:val="ListParagraph"/>
        <w:pStyle w:val="ListParagraph"/>
        <w:numPr>
          <w:ilvl w:val="0"/>
          <w:numId w:val="1"/>
        </w:numPr>
        <w:numPr>
          <w:ilvl w:val="0"/>
          <w:numId w:val="9"/>
        </w:numPr>
      </w:pPr>
      <w:r>
        <w:rPr>
          <w:rStyle w:val="Normal"/>
        </w:rPr>
        <w:t xml:space="preserve">relatively high real interest rates</w:t>
      </w:r>
    </w:p>
    <w:p>
      <w:pPr>
        <w:pStyle w:val="ListParagraph"/>
        <w:pStyle w:val="ListParagraph"/>
        <w:numPr>
          <w:ilvl w:val="0"/>
          <w:numId w:val="1"/>
        </w:numPr>
        <w:numPr>
          <w:ilvl w:val="0"/>
          <w:numId w:val="9"/>
        </w:numPr>
      </w:pPr>
      <w:r>
        <w:rPr>
          <w:rStyle w:val="Normal"/>
        </w:rPr>
        <w:t xml:space="preserve">an elevated exchange rate</w:t>
      </w:r>
    </w:p>
    <w:p>
      <w:pPr>
        <w:pStyle w:val="ListParagraph"/>
        <w:pStyle w:val="ListParagraph"/>
        <w:numPr>
          <w:ilvl w:val="0"/>
          <w:numId w:val="1"/>
        </w:numPr>
        <w:numPr>
          <w:ilvl w:val="0"/>
          <w:numId w:val="9"/>
        </w:numPr>
      </w:pPr>
      <w:r>
        <w:rPr>
          <w:rStyle w:val="Normal"/>
        </w:rPr>
        <w:t xml:space="preserve">a structural tilt toward non-tradable sectors such as construction and local services</w:t>
      </w:r>
    </w:p>
    <w:p>
      <w:r>
        <w:rPr>
          <w:i/>
          <w:iCs/>
          <w:rStyle w:val="Normal"/>
        </w:rPr>
        <w:t xml:space="preserve">(macroeconomic framing from slides; consistent with capital allocation literature)</w:t>
      </w:r>
    </w:p>
    <w:p>
      <w:pPr>
        <w:pBdr>
          <w:top w:val="single" w:color="auto" w:sz="12"/>
        </w:pBdr>
        <w:spacing w:after="0"/>
      </w:pPr>
    </w:p>
    <w:p>
      <w:pPr>
        <w:pStyle w:val="Heading3"/>
      </w:pPr>
      <w:r>
        <w:rPr>
          <w:rStyle w:val="Normal"/>
        </w:rPr>
        <w:t xml:space="preserve">H. These dynamics create binding constraints within metropolitan areas</w:t>
      </w:r>
    </w:p>
    <w:p>
      <w:r>
        <w:rPr>
          <w:rStyle w:val="Normal"/>
        </w:rPr>
        <w:t xml:space="preserve">The interaction of growth and capital pressure manifests spatially:</w:t>
      </w:r>
    </w:p>
    <w:p>
      <w:pPr>
        <w:pStyle w:val="ListParagraph"/>
        <w:pStyle w:val="ListParagraph"/>
        <w:numPr>
          <w:ilvl w:val="0"/>
          <w:numId w:val="1"/>
        </w:numPr>
        <w:numPr>
          <w:ilvl w:val="0"/>
          <w:numId w:val="10"/>
        </w:numPr>
      </w:pPr>
      <w:r>
        <w:rPr>
          <w:rStyle w:val="Normal"/>
        </w:rPr>
        <w:t xml:space="preserve">housing and land constraints limit access to productive locations </w:t>
      </w:r>
      <w:r>
        <w:rPr>
          <w:i/>
          <w:iCs/>
          <w:rStyle w:val="Normal"/>
        </w:rPr>
        <w:t xml:space="preserve">(claim‑0070)</w:t>
      </w:r>
    </w:p>
    <w:p>
      <w:pPr>
        <w:pStyle w:val="ListParagraph"/>
        <w:pStyle w:val="ListParagraph"/>
        <w:numPr>
          <w:ilvl w:val="0"/>
          <w:numId w:val="1"/>
        </w:numPr>
        <w:numPr>
          <w:ilvl w:val="0"/>
          <w:numId w:val="10"/>
        </w:numPr>
      </w:pPr>
      <w:r>
        <w:rPr>
          <w:rStyle w:val="Normal"/>
        </w:rPr>
        <w:t xml:space="preserve">transport constraints reduce effective city size and labour market depth </w:t>
      </w:r>
      <w:r>
        <w:rPr>
          <w:i/>
          <w:iCs/>
          <w:rStyle w:val="Normal"/>
        </w:rPr>
        <w:t xml:space="preserve">(claim‑0034)</w:t>
      </w:r>
    </w:p>
    <w:p>
      <w:pPr>
        <w:pStyle w:val="ListParagraph"/>
        <w:pStyle w:val="ListParagraph"/>
        <w:numPr>
          <w:ilvl w:val="0"/>
          <w:numId w:val="1"/>
        </w:numPr>
        <w:numPr>
          <w:ilvl w:val="0"/>
          <w:numId w:val="10"/>
        </w:numPr>
      </w:pPr>
      <w:r>
        <w:rPr>
          <w:rStyle w:val="Normal"/>
        </w:rPr>
        <w:t xml:space="preserve">infrastructure provision reinforces inefficient urban form </w:t>
      </w:r>
      <w:r>
        <w:rPr>
          <w:i/>
          <w:iCs/>
          <w:rStyle w:val="Normal"/>
        </w:rPr>
        <w:t xml:space="preserve">(claim‑0038)</w:t>
      </w:r>
    </w:p>
    <w:p>
      <w:pPr>
        <w:pStyle w:val="ListParagraph"/>
        <w:pStyle w:val="ListParagraph"/>
        <w:numPr>
          <w:ilvl w:val="0"/>
          <w:numId w:val="1"/>
        </w:numPr>
        <w:numPr>
          <w:ilvl w:val="0"/>
          <w:numId w:val="10"/>
        </w:numPr>
      </w:pPr>
      <w:r>
        <w:rPr>
          <w:rStyle w:val="Normal"/>
        </w:rPr>
        <w:t xml:space="preserve">firms face higher costs and reduced ability to scale</w:t>
      </w:r>
    </w:p>
    <w:p>
      <w:pPr>
        <w:pBdr>
          <w:top w:val="single" w:color="auto" w:sz="12"/>
        </w:pBdr>
        <w:spacing w:after="0"/>
      </w:pPr>
    </w:p>
    <w:p>
      <w:pPr>
        <w:pStyle w:val="Heading3"/>
      </w:pPr>
      <w:r>
        <w:rPr>
          <w:rStyle w:val="Normal"/>
        </w:rPr>
        <w:t xml:space="preserve">I. The result is systematic spatial misallocation</w:t>
      </w:r>
    </w:p>
    <w:p>
      <w:r>
        <w:rPr>
          <w:rStyle w:val="Normal"/>
        </w:rPr>
        <w:t xml:space="preserve">Across the system:</w:t>
      </w:r>
    </w:p>
    <w:p>
      <w:pPr>
        <w:pStyle w:val="ListParagraph"/>
        <w:pStyle w:val="ListParagraph"/>
        <w:numPr>
          <w:ilvl w:val="0"/>
          <w:numId w:val="1"/>
        </w:numPr>
        <w:numPr>
          <w:ilvl w:val="0"/>
          <w:numId w:val="11"/>
        </w:numPr>
      </w:pPr>
      <w:r>
        <w:rPr>
          <w:rStyle w:val="Normal"/>
        </w:rPr>
        <w:t xml:space="preserve">workers cannot locate in the places where they are most productive </w:t>
      </w:r>
      <w:r>
        <w:rPr>
          <w:i/>
          <w:iCs/>
          <w:rStyle w:val="Normal"/>
        </w:rPr>
        <w:t xml:space="preserve">(claim‑0070)</w:t>
      </w:r>
    </w:p>
    <w:p>
      <w:pPr>
        <w:pStyle w:val="ListParagraph"/>
        <w:pStyle w:val="ListParagraph"/>
        <w:numPr>
          <w:ilvl w:val="0"/>
          <w:numId w:val="1"/>
        </w:numPr>
        <w:numPr>
          <w:ilvl w:val="0"/>
          <w:numId w:val="11"/>
        </w:numPr>
      </w:pPr>
      <w:r>
        <w:rPr>
          <w:rStyle w:val="Normal"/>
        </w:rPr>
        <w:t xml:space="preserve">firms cannot fully access deep labour markets </w:t>
      </w:r>
      <w:r>
        <w:rPr>
          <w:i/>
          <w:iCs/>
          <w:rStyle w:val="Normal"/>
        </w:rPr>
        <w:t xml:space="preserve">(claim‑0051)</w:t>
      </w:r>
    </w:p>
    <w:p>
      <w:pPr>
        <w:pStyle w:val="ListParagraph"/>
        <w:pStyle w:val="ListParagraph"/>
        <w:numPr>
          <w:ilvl w:val="0"/>
          <w:numId w:val="1"/>
        </w:numPr>
        <w:numPr>
          <w:ilvl w:val="0"/>
          <w:numId w:val="11"/>
        </w:numPr>
      </w:pPr>
      <w:r>
        <w:rPr>
          <w:rStyle w:val="Normal"/>
        </w:rPr>
        <w:t xml:space="preserve">capital is concentrated in land and existing assets rather than innovation </w:t>
      </w:r>
      <w:r>
        <w:rPr>
          <w:i/>
          <w:iCs/>
          <w:rStyle w:val="Normal"/>
        </w:rPr>
        <w:t xml:space="preserve">(claim‑0078; claim‑0083)</w:t>
      </w:r>
    </w:p>
    <w:p>
      <w:r>
        <w:rPr>
          <w:rStyle w:val="Normal"/>
        </w:rPr>
        <w:t xml:space="preserve">As a result, the core productivity mechanisms identified in the literature—matching, specialisation, and knowledge spillovers </w:t>
      </w:r>
      <w:r>
        <w:rPr>
          <w:i/>
          <w:iCs/>
          <w:rStyle w:val="Normal"/>
        </w:rPr>
        <w:t xml:space="preserve">(Section 2; claim‑0001)</w:t>
      </w:r>
      <w:r>
        <w:rPr>
          <w:rStyle w:val="Normal"/>
        </w:rPr>
        <w:t xml:space="preserve">—are only partially realised.</w:t>
      </w:r>
    </w:p>
    <w:p>
      <w:r>
        <w:rPr>
          <w:rStyle w:val="Normal"/>
        </w:rPr>
        <w:t xml:space="preserve">Instead of amplifying productivity, metropolitan growth is absorbed into:</w:t>
      </w:r>
    </w:p>
    <w:p>
      <w:pPr>
        <w:pStyle w:val="ListParagraph"/>
        <w:pStyle w:val="ListParagraph"/>
        <w:numPr>
          <w:ilvl w:val="0"/>
          <w:numId w:val="1"/>
        </w:numPr>
        <w:numPr>
          <w:ilvl w:val="0"/>
          <w:numId w:val="12"/>
        </w:numPr>
      </w:pPr>
      <w:r>
        <w:rPr>
          <w:rStyle w:val="Normal"/>
        </w:rPr>
        <w:t xml:space="preserve">rising land and housing costs</w:t>
      </w:r>
    </w:p>
    <w:p>
      <w:pPr>
        <w:pStyle w:val="ListParagraph"/>
        <w:pStyle w:val="ListParagraph"/>
        <w:numPr>
          <w:ilvl w:val="0"/>
          <w:numId w:val="1"/>
        </w:numPr>
        <w:numPr>
          <w:ilvl w:val="0"/>
          <w:numId w:val="12"/>
        </w:numPr>
      </w:pPr>
      <w:r>
        <w:rPr>
          <w:rStyle w:val="Normal"/>
        </w:rPr>
        <w:t xml:space="preserve">congestion and reduced accessibility</w:t>
      </w:r>
    </w:p>
    <w:p>
      <w:pPr>
        <w:pStyle w:val="ListParagraph"/>
        <w:pStyle w:val="ListParagraph"/>
        <w:numPr>
          <w:ilvl w:val="0"/>
          <w:numId w:val="1"/>
        </w:numPr>
        <w:numPr>
          <w:ilvl w:val="0"/>
          <w:numId w:val="12"/>
        </w:numPr>
      </w:pPr>
      <w:r>
        <w:rPr>
          <w:rStyle w:val="Normal"/>
        </w:rPr>
        <w:t xml:space="preserve">capital deepening in low-productivity uses</w:t>
      </w:r>
    </w:p>
    <w:p>
      <w:pPr>
        <w:pBdr>
          <w:top w:val="single" w:color="auto" w:sz="12"/>
        </w:pBdr>
        <w:spacing w:after="0"/>
      </w:pPr>
    </w:p>
    <w:p>
      <w:pPr>
        <w:pStyle w:val="Heading3"/>
      </w:pPr>
      <w:r>
        <w:rPr>
          <w:rStyle w:val="Normal"/>
        </w:rPr>
        <w:t xml:space="preserve">J. This produces a low-productivity equilibrium</w:t>
      </w:r>
    </w:p>
    <w:p>
      <w:r>
        <w:rPr>
          <w:rStyle w:val="Normal"/>
        </w:rPr>
        <w:t xml:space="preserve">Taken together, these dynamics generate a </w:t>
      </w:r>
      <w:r>
        <w:rPr>
          <w:b/>
          <w:bCs/>
          <w:rStyle w:val="Normal"/>
        </w:rPr>
        <w:t xml:space="preserve">l</w:t>
      </w:r>
      <w:r>
        <w:rPr>
          <w:rStyle w:val="Normal"/>
        </w:rPr>
        <w:t xml:space="preserve">ow-productivity equilibrium:</w:t>
      </w:r>
    </w:p>
    <w:p>
      <w:pPr>
        <w:pStyle w:val="ListParagraph"/>
        <w:pStyle w:val="ListParagraph"/>
        <w:numPr>
          <w:ilvl w:val="0"/>
          <w:numId w:val="1"/>
        </w:numPr>
        <w:numPr>
          <w:ilvl w:val="0"/>
          <w:numId w:val="13"/>
        </w:numPr>
      </w:pPr>
      <w:r>
        <w:rPr>
          <w:rStyle w:val="Normal"/>
        </w:rPr>
        <w:t xml:space="preserve">Population and economic growth continue</w:t>
      </w:r>
    </w:p>
    <w:p>
      <w:pPr>
        <w:pStyle w:val="ListParagraph"/>
        <w:pStyle w:val="ListParagraph"/>
        <w:numPr>
          <w:ilvl w:val="0"/>
          <w:numId w:val="1"/>
        </w:numPr>
        <w:numPr>
          <w:ilvl w:val="0"/>
          <w:numId w:val="13"/>
        </w:numPr>
      </w:pPr>
      <w:r>
        <w:rPr>
          <w:rStyle w:val="Normal"/>
        </w:rPr>
        <w:t xml:space="preserve">But the benefits of growth are diluted</w:t>
      </w:r>
    </w:p>
    <w:p>
      <w:pPr>
        <w:pStyle w:val="ListParagraph"/>
        <w:pStyle w:val="ListParagraph"/>
        <w:numPr>
          <w:ilvl w:val="0"/>
          <w:numId w:val="1"/>
        </w:numPr>
        <w:numPr>
          <w:ilvl w:val="0"/>
          <w:numId w:val="13"/>
        </w:numPr>
      </w:pPr>
      <w:r>
        <w:rPr>
          <w:rStyle w:val="Normal"/>
        </w:rPr>
        <w:t xml:space="preserve">Capital accumulates in non-productive assets</w:t>
      </w:r>
    </w:p>
    <w:p>
      <w:pPr>
        <w:pStyle w:val="ListParagraph"/>
        <w:pStyle w:val="ListParagraph"/>
        <w:numPr>
          <w:ilvl w:val="0"/>
          <w:numId w:val="1"/>
        </w:numPr>
        <w:numPr>
          <w:ilvl w:val="0"/>
          <w:numId w:val="13"/>
        </w:numPr>
      </w:pPr>
      <w:r>
        <w:rPr>
          <w:rStyle w:val="Normal"/>
        </w:rPr>
        <w:t xml:space="preserve">Cities expand without delivering expected productivity gains</w:t>
      </w:r>
    </w:p>
    <w:p>
      <w:pPr>
        <w:pBdr>
          <w:top w:val="single" w:color="auto" w:sz="12"/>
        </w:pBdr>
        <w:spacing w:after="0"/>
      </w:pPr>
    </w:p>
    <w:p>
      <w:r>
        <w:rPr>
          <w:rStyle w:val="Normal"/>
        </w:rPr>
        <w:t xml:space="preserve">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pPr>
        <w:pBdr>
          <w:top w:val="single" w:color="auto" w:sz="12"/>
        </w:pBdr>
        <w:spacing w:after="0"/>
      </w:pPr>
    </w:p>
    <w:p>
      <w:pPr>
        <w:pStyle w:val="Heading2"/>
      </w:pPr>
      <w:r>
        <w:rPr>
          <w:rStyle w:val="Normal"/>
        </w:rPr>
        <w:t xml:space="preserve">4. Spatial Policy as a System Lever</w:t>
      </w:r>
    </w:p>
    <w:p>
      <w:r>
        <w:rPr>
          <w:b/>
          <w:bCs/>
          <w:rStyle w:val="Normal"/>
        </w:rPr>
        <w:t xml:space="preserve">[LOCKED]</w:t>
      </w:r>
    </w:p>
    <w:p>
      <w:r>
        <w:rPr>
          <w:rStyle w:val="Normal"/>
        </w:rPr>
        <w:t xml:space="preserve">The preceding sections set up a clear contrast. The literature establishes that well-functioning cities generate productivity gains through deep labour markets, matching, and knowledge spillovers </w:t>
      </w:r>
      <w:r>
        <w:rPr>
          <w:i/>
          <w:iCs/>
          <w:rStyle w:val="Normal"/>
        </w:rPr>
        <w:t xml:space="preserve">(claim-0001; claim-0051)</w:t>
      </w:r>
      <w:r>
        <w:rPr>
          <w:rStyle w:val="Normal"/>
        </w:rPr>
        <w:t xml:space="preserve">. The New Zealand experience shows that these gains are not being fully realised, despite sustained growth and increasing metropolitan concentration </w:t>
      </w:r>
      <w:r>
        <w:rPr>
          <w:i/>
          <w:iCs/>
          <w:rStyle w:val="Normal"/>
        </w:rPr>
        <w:t xml:space="preserve">(Section 3; claim-0034; claim-0109)</w:t>
      </w:r>
      <w:r>
        <w:rPr>
          <w:rStyle w:val="Normal"/>
        </w:rPr>
        <w:t xml:space="preserve">.</w:t>
      </w:r>
    </w:p>
    <w:p>
      <w:r>
        <w:rPr>
          <w:rStyle w:val="Normal"/>
        </w:rPr>
        <w:t xml:space="preserve">This gap is not accidental. It reflects a set of policy choices and institutional settings that shape how growth translates into spatial outcomes </w:t>
      </w:r>
      <w:r>
        <w:rPr>
          <w:i/>
          <w:iCs/>
          <w:rStyle w:val="Normal"/>
        </w:rPr>
        <w:t xml:space="preserve">(claim-0112; claim-0020)</w:t>
      </w:r>
      <w:r>
        <w:rPr>
          <w:rStyle w:val="Normal"/>
        </w:rPr>
        <w:t xml:space="preserve">.</w:t>
      </w:r>
    </w:p>
    <w:p>
      <w:r>
        <w:rPr>
          <w:rStyle w:val="Normal"/>
        </w:rPr>
        <w:t xml:space="preserve">In this context, spatial policy should be understood not as a narrow planning function, but as a system-level lever. It encompasses the combined effect of:</w:t>
      </w:r>
    </w:p>
    <w:p>
      <w:pPr>
        <w:pStyle w:val="ListParagraph"/>
        <w:pStyle w:val="ListParagraph"/>
        <w:numPr>
          <w:ilvl w:val="0"/>
          <w:numId w:val="1"/>
        </w:numPr>
        <w:numPr>
          <w:ilvl w:val="0"/>
          <w:numId w:val="14"/>
        </w:numPr>
      </w:pPr>
      <w:r>
        <w:rPr>
          <w:rStyle w:val="Normal"/>
        </w:rPr>
        <w:t xml:space="preserve">land use regulation and zoning </w:t>
      </w:r>
      <w:r>
        <w:rPr>
          <w:i/>
          <w:iCs/>
          <w:rStyle w:val="Normal"/>
        </w:rPr>
        <w:t xml:space="preserve">(claim-0066; claim-0108)</w:t>
      </w:r>
    </w:p>
    <w:p>
      <w:pPr>
        <w:pStyle w:val="ListParagraph"/>
        <w:pStyle w:val="ListParagraph"/>
        <w:numPr>
          <w:ilvl w:val="0"/>
          <w:numId w:val="1"/>
        </w:numPr>
        <w:numPr>
          <w:ilvl w:val="0"/>
          <w:numId w:val="14"/>
        </w:numPr>
      </w:pPr>
      <w:r>
        <w:rPr>
          <w:rStyle w:val="Normal"/>
        </w:rPr>
        <w:t xml:space="preserve">infrastructure planning, funding, and sequencing </w:t>
      </w:r>
      <w:r>
        <w:rPr>
          <w:i/>
          <w:iCs/>
          <w:rStyle w:val="Normal"/>
        </w:rPr>
        <w:t xml:space="preserve">(claim-0038; claim-0118)</w:t>
      </w:r>
    </w:p>
    <w:p>
      <w:pPr>
        <w:pStyle w:val="ListParagraph"/>
        <w:pStyle w:val="ListParagraph"/>
        <w:numPr>
          <w:ilvl w:val="0"/>
          <w:numId w:val="1"/>
        </w:numPr>
        <w:numPr>
          <w:ilvl w:val="0"/>
          <w:numId w:val="14"/>
        </w:numPr>
      </w:pPr>
      <w:r>
        <w:rPr>
          <w:rStyle w:val="Normal"/>
        </w:rPr>
        <w:t xml:space="preserve">transport systems and network design </w:t>
      </w:r>
      <w:r>
        <w:rPr>
          <w:i/>
          <w:iCs/>
          <w:rStyle w:val="Normal"/>
        </w:rPr>
        <w:t xml:space="preserve">(claim-0034; claim-0111)</w:t>
      </w:r>
    </w:p>
    <w:p>
      <w:pPr>
        <w:pStyle w:val="ListParagraph"/>
        <w:pStyle w:val="ListParagraph"/>
        <w:numPr>
          <w:ilvl w:val="0"/>
          <w:numId w:val="1"/>
        </w:numPr>
        <w:numPr>
          <w:ilvl w:val="0"/>
          <w:numId w:val="14"/>
        </w:numPr>
      </w:pPr>
      <w:r>
        <w:rPr>
          <w:rStyle w:val="Normal"/>
        </w:rPr>
        <w:t xml:space="preserve">housing supply settings </w:t>
      </w:r>
      <w:r>
        <w:rPr>
          <w:i/>
          <w:iCs/>
          <w:rStyle w:val="Normal"/>
        </w:rPr>
        <w:t xml:space="preserve">(claim-0075; claim-0107)</w:t>
      </w:r>
    </w:p>
    <w:p>
      <w:pPr>
        <w:pStyle w:val="ListParagraph"/>
        <w:pStyle w:val="ListParagraph"/>
        <w:numPr>
          <w:ilvl w:val="0"/>
          <w:numId w:val="1"/>
        </w:numPr>
        <w:numPr>
          <w:ilvl w:val="0"/>
          <w:numId w:val="14"/>
        </w:numPr>
      </w:pPr>
      <w:r>
        <w:rPr>
          <w:rStyle w:val="Normal"/>
        </w:rPr>
        <w:t xml:space="preserve">governance arrangements across central and local government </w:t>
      </w:r>
      <w:r>
        <w:rPr>
          <w:i/>
          <w:iCs/>
          <w:rStyle w:val="Normal"/>
        </w:rPr>
        <w:t xml:space="preserve">(claim-0020; claim-0023)</w:t>
      </w:r>
    </w:p>
    <w:p>
      <w:r>
        <w:rPr>
          <w:rStyle w:val="Normal"/>
        </w:rPr>
        <w:t xml:space="preserve">Together, these determine how people, firms, capital, and infrastructure are arranged in space, and therefore how effectively they combine.</w:t>
      </w:r>
    </w:p>
    <w:p>
      <w:r>
        <w:rPr>
          <w:rStyle w:val="Normal"/>
        </w:rPr>
        <w:t xml:space="preserve">Critically, spatial policy governs whether population growth leads to productive agglomeration or to rising costs and constraint </w:t>
      </w:r>
      <w:r>
        <w:rPr>
          <w:i/>
          <w:iCs/>
          <w:rStyle w:val="Normal"/>
        </w:rPr>
        <w:t xml:space="preserve">(claim-0001; claim-0043)</w:t>
      </w:r>
      <w:r>
        <w:rPr>
          <w:rStyle w:val="Normal"/>
        </w:rPr>
        <w:t xml:space="preserve">. Where spatial policy enables density, connectivity, and timely infrastructure provision, growth expands effective labour markets and raises productivity </w:t>
      </w:r>
      <w:r>
        <w:rPr>
          <w:i/>
          <w:iCs/>
          <w:rStyle w:val="Normal"/>
        </w:rPr>
        <w:t xml:space="preserve">(claim-0034; claim-0043)</w:t>
      </w:r>
      <w:r>
        <w:rPr>
          <w:rStyle w:val="Normal"/>
        </w:rPr>
        <w:t xml:space="preserve">. Where it does not, growth is absorbed into higher land prices, congestion, and fragmented urban form </w:t>
      </w:r>
      <w:r>
        <w:rPr>
          <w:i/>
          <w:iCs/>
          <w:rStyle w:val="Normal"/>
        </w:rPr>
        <w:t xml:space="preserve">(claim-0066; claim-0017)</w:t>
      </w:r>
      <w:r>
        <w:rPr>
          <w:rStyle w:val="Normal"/>
        </w:rPr>
        <w:t xml:space="preserve">.</w:t>
      </w:r>
    </w:p>
    <w:p>
      <w:r>
        <w:rPr>
          <w:rStyle w:val="Normal"/>
        </w:rPr>
        <w:t xml:space="preserve">The New Zealand evidence suggests the latter has often been the case. Growth has been accommodated, but not optimised. Infrastructure has followed demand rather than shaping it </w:t>
      </w:r>
      <w:r>
        <w:rPr>
          <w:i/>
          <w:iCs/>
          <w:rStyle w:val="Normal"/>
        </w:rPr>
        <w:t xml:space="preserve">(claim-0118; claim-0130)</w:t>
      </w:r>
      <w:r>
        <w:rPr>
          <w:rStyle w:val="Normal"/>
        </w:rPr>
        <w:t xml:space="preserve">. Land use and transport systems have limited effective density </w:t>
      </w:r>
      <w:r>
        <w:rPr>
          <w:i/>
          <w:iCs/>
          <w:rStyle w:val="Normal"/>
        </w:rPr>
        <w:t xml:space="preserve">(claim-0108; claim-0109)</w:t>
      </w:r>
      <w:r>
        <w:rPr>
          <w:rStyle w:val="Normal"/>
        </w:rPr>
        <w:t xml:space="preserve">. Governance arrangements have fragmented decision-making across key components of the system </w:t>
      </w:r>
      <w:r>
        <w:rPr>
          <w:i/>
          <w:iCs/>
          <w:rStyle w:val="Normal"/>
        </w:rPr>
        <w:t xml:space="preserve">(claim-0020; claim-0024)</w:t>
      </w:r>
      <w:r>
        <w:rPr>
          <w:rStyle w:val="Normal"/>
        </w:rPr>
        <w:t xml:space="preserve">.</w:t>
      </w:r>
    </w:p>
    <w:p>
      <w:r>
        <w:rPr>
          <w:rStyle w:val="Normal"/>
        </w:rPr>
        <w:t xml:space="preserve">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w:t>
      </w:r>
      <w:r>
        <w:rPr>
          <w:i/>
          <w:iCs/>
          <w:rStyle w:val="Normal"/>
        </w:rPr>
        <w:t xml:space="preserve">(claim-0070; claim-0075)</w:t>
      </w:r>
      <w:r>
        <w:rPr>
          <w:rStyle w:val="Normal"/>
        </w:rPr>
        <w:t xml:space="preserve">.</w:t>
      </w:r>
    </w:p>
    <w:p>
      <w:pPr>
        <w:pBdr>
          <w:top w:val="single" w:color="auto" w:sz="12"/>
        </w:pBdr>
        <w:spacing w:after="0"/>
      </w:pPr>
    </w:p>
    <w:p>
      <w:pPr>
        <w:pStyle w:val="Heading2"/>
      </w:pPr>
      <w:r>
        <w:rPr>
          <w:rStyle w:val="Normal"/>
        </w:rPr>
        <w:t xml:space="preserve">5. The New Zealand Spatial Challenge</w:t>
      </w:r>
    </w:p>
    <w:p>
      <w:r>
        <w:rPr>
          <w:rStyle w:val="Normal"/>
        </w:rPr>
        <w:t xml:space="preserve">**[</w:t>
      </w:r>
      <w:r>
        <w:rPr>
          <w:b/>
          <w:bCs/>
          <w:rStyle w:val="Normal"/>
        </w:rPr>
        <w:t xml:space="preserve">DRAFT</w:t>
      </w:r>
      <w:r>
        <w:rPr>
          <w:rStyle w:val="Normal"/>
        </w:rPr>
        <w:t xml:space="preserve">]</w:t>
      </w:r>
    </w:p>
    <w:p>
      <w:r>
        <w:rPr>
          <w:rStyle w:val="Normal"/>
        </w:rPr>
        <w:t xml:space="preserve">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pPr>
        <w:pStyle w:val="Heading3"/>
      </w:pPr>
      <w:r>
        <w:rPr>
          <w:rStyle w:val="Normal"/>
        </w:rPr>
        <w:t xml:space="preserve">Auckland as a dominant but underperforming metro</w:t>
      </w:r>
    </w:p>
    <w:p>
      <w:r>
        <w:rPr>
          <w:rStyle w:val="Normal"/>
        </w:rPr>
        <w:t xml:space="preserve">Auckland functions as New Zealand’s primary metropolitan centre and captures a disproportionate share of population and economic growth. Growth in high-productivity service sectors has been disproportionately concentrated in Auckland, with finance and wholesale activity expanding significantly faster than predicted by initial distribution. (claims 0168–0169)</w:t>
      </w:r>
    </w:p>
    <w:p>
      <w:r>
        <w:rPr>
          <w:rStyle w:val="Normal"/>
        </w:rPr>
        <w:t xml:space="preserve">This pattern is consistent with international evidence: high-value, knowledge-intensive services tend to concentrate in large metropolitan areas where agglomeration benefits are strongest. (claim-0043)</w:t>
      </w:r>
    </w:p>
    <w:p>
      <w:r>
        <w:rPr>
          <w:rStyle w:val="Normal"/>
        </w:rPr>
        <w:t xml:space="preserve">However, as set out in Section 3, Auckland has not delivered productivity outcomes commensurate with its scale. This indicates that the issue is not insufficient concentration, but constraints on how that concentration functions.</w:t>
      </w:r>
    </w:p>
    <w:p>
      <w:pPr>
        <w:pStyle w:val="Heading3"/>
      </w:pPr>
      <w:r>
        <w:rPr>
          <w:rStyle w:val="Normal"/>
        </w:rPr>
        <w:t xml:space="preserve">Weak secondary city system</w:t>
      </w:r>
    </w:p>
    <w:p>
      <w:r>
        <w:rPr>
          <w:rStyle w:val="Normal"/>
        </w:rPr>
        <w:t xml:space="preserve">Outside Auckland, New Zealand’s urban system is characterised by smaller centres that have not developed the scale or connectivity required to replicate metropolitan productivity dynamics.</w:t>
      </w:r>
    </w:p>
    <w:p>
      <w:r>
        <w:rPr>
          <w:rStyle w:val="Normal"/>
        </w:rPr>
        <w:t xml:space="preserve">Differences in long-run city growth are only weakly explained by initial industry mix, and New Zealand cities have tended to diversify rather than specialise. (claims 0173–0174) This limits the effectiveness of policies aimed at redistributing activity across places, as services-led concentration is unlikely to be reversed through regional interventions. (claim 0175)</w:t>
      </w:r>
    </w:p>
    <w:p>
      <w:r>
        <w:rPr>
          <w:rStyle w:val="Normal"/>
        </w:rPr>
        <w:t xml:space="preserve">As a result, the secondary city system does not operate as a strong network of complementary urban centres, but as a set of relatively shallow labour markets with limited agglomeration effects.</w:t>
      </w:r>
    </w:p>
    <w:p>
      <w:pPr>
        <w:pStyle w:val="Heading3"/>
      </w:pPr>
      <w:r>
        <w:rPr>
          <w:rStyle w:val="Normal"/>
        </w:rPr>
        <w:t xml:space="preserve">Migration-driven metropolitanisation</w:t>
      </w:r>
    </w:p>
    <w:p>
      <w:r>
        <w:rPr>
          <w:rStyle w:val="Normal"/>
        </w:rPr>
        <w:t xml:space="preserve">New Zealand’s spatial pattern has been shaped by migration-driven growth, which is concentrated in metropolitan areas. Migrants tend to locate in large cities due to labour market opportunities, existing networks, and access to services. (overview; migration claims)</w:t>
      </w:r>
    </w:p>
    <w:p>
      <w:r>
        <w:rPr>
          <w:rStyle w:val="Normal"/>
        </w:rPr>
        <w:t xml:space="preserve">This reinforces the scale advantages of Auckland and increases the divergence between metropolitan and non-metropolitan areas.</w:t>
      </w:r>
    </w:p>
    <w:p>
      <w:r>
        <w:rPr>
          <w:rStyle w:val="Normal"/>
        </w:rPr>
        <w:t xml:space="preserve">Population growth strengthens business performance in cities by increasing market size and labour supply, even where it places pressure on urban systems. (claim 0183) However, the drivers of location choice differ between firms and households, creating potential divergence between economic concentration and lived outcomes. (claim 0185)</w:t>
      </w:r>
    </w:p>
    <w:p>
      <w:pPr>
        <w:pStyle w:val="Heading3"/>
      </w:pPr>
      <w:r>
        <w:rPr>
          <w:rStyle w:val="Normal"/>
        </w:rPr>
        <w:t xml:space="preserve">Diverging regional dynamics</w:t>
      </w:r>
    </w:p>
    <w:p>
      <w:r>
        <w:rPr>
          <w:rStyle w:val="Normal"/>
        </w:rPr>
        <w:t xml:space="preserve">These dynamics contribute to increasingly divergent regional outcomes:</w:t>
      </w:r>
    </w:p>
    <w:p>
      <w:pPr>
        <w:pStyle w:val="ListParagraph"/>
        <w:pStyle w:val="ListParagraph"/>
        <w:numPr>
          <w:ilvl w:val="0"/>
          <w:numId w:val="1"/>
        </w:numPr>
        <w:numPr>
          <w:ilvl w:val="0"/>
          <w:numId w:val="15"/>
        </w:numPr>
      </w:pPr>
      <w:r>
        <w:rPr>
          <w:rStyle w:val="Normal"/>
        </w:rPr>
        <w:t xml:space="preserve">Auckland continues to attract population and high-value activity</w:t>
      </w:r>
    </w:p>
    <w:p>
      <w:pPr>
        <w:pStyle w:val="ListParagraph"/>
        <w:pStyle w:val="ListParagraph"/>
        <w:numPr>
          <w:ilvl w:val="0"/>
          <w:numId w:val="1"/>
        </w:numPr>
        <w:numPr>
          <w:ilvl w:val="0"/>
          <w:numId w:val="15"/>
        </w:numPr>
      </w:pPr>
      <w:r>
        <w:rPr>
          <w:rStyle w:val="Normal"/>
        </w:rPr>
        <w:t xml:space="preserve">smaller centres face thinner labour markets and more limited growth opportunities</w:t>
      </w:r>
    </w:p>
    <w:p>
      <w:pPr>
        <w:pStyle w:val="ListParagraph"/>
        <w:pStyle w:val="ListParagraph"/>
        <w:numPr>
          <w:ilvl w:val="0"/>
          <w:numId w:val="1"/>
        </w:numPr>
        <w:numPr>
          <w:ilvl w:val="0"/>
          <w:numId w:val="15"/>
        </w:numPr>
      </w:pPr>
      <w:r>
        <w:rPr>
          <w:rStyle w:val="Normal"/>
        </w:rPr>
        <w:t xml:space="preserve">regionally concentrated industries are more exposed to shocks and adjustment pressures</w:t>
      </w:r>
    </w:p>
    <w:p>
      <w:r>
        <w:rPr>
          <w:rStyle w:val="Normal"/>
        </w:rPr>
        <w:t xml:space="preserve">Regional labour markets in smaller or slow-growing cities exhibit higher levels of excess churn, reflecting ongoing adjustment without strong net growth. (claim 0170) Where economic activity is narrowly based, shocks can have persistent negative effects without offsetting gains. (claims 0171–0172)</w:t>
      </w:r>
    </w:p>
    <w:p>
      <w:r>
        <w:rPr>
          <w:rStyle w:val="Normal"/>
        </w:rPr>
        <w:t xml:space="preserve">Over time, this produces a spatial pattern in which:</w:t>
      </w:r>
    </w:p>
    <w:p>
      <w:pPr>
        <w:pStyle w:val="ListParagraph"/>
        <w:pStyle w:val="ListParagraph"/>
        <w:numPr>
          <w:ilvl w:val="0"/>
          <w:numId w:val="1"/>
        </w:numPr>
        <w:numPr>
          <w:ilvl w:val="0"/>
          <w:numId w:val="16"/>
        </w:numPr>
      </w:pPr>
      <w:r>
        <w:rPr>
          <w:rStyle w:val="Normal"/>
        </w:rPr>
        <w:t xml:space="preserve">metropolitan areas concentrate growth and opportunity</w:t>
      </w:r>
    </w:p>
    <w:p>
      <w:pPr>
        <w:pStyle w:val="ListParagraph"/>
        <w:pStyle w:val="ListParagraph"/>
        <w:numPr>
          <w:ilvl w:val="0"/>
          <w:numId w:val="1"/>
        </w:numPr>
        <w:numPr>
          <w:ilvl w:val="0"/>
          <w:numId w:val="16"/>
        </w:numPr>
      </w:pPr>
      <w:r>
        <w:rPr>
          <w:rStyle w:val="Normal"/>
        </w:rPr>
        <w:t xml:space="preserve">non-metropolitan areas experience more volatile and constrained development</w:t>
      </w:r>
    </w:p>
    <w:p>
      <w:pPr>
        <w:pStyle w:val="Heading3"/>
      </w:pPr>
      <w:r>
        <w:rPr>
          <w:rStyle w:val="Normal"/>
        </w:rPr>
        <w:t xml:space="preserve">Implication</w:t>
      </w:r>
    </w:p>
    <w:p>
      <w:r>
        <w:rPr>
          <w:rStyle w:val="Normal"/>
        </w:rPr>
        <w:t xml:space="preserve">Taken together, New Zealand exhibits a spatial configuration in which growth is appropriately concentrated but incompletely realised. The issue is not that activity is in the “wrong” places, but that the places where it is concentrated are not functioning effectively.</w:t>
      </w:r>
    </w:p>
    <w:p>
      <w:r>
        <w:rPr>
          <w:rStyle w:val="Normal"/>
        </w:rPr>
        <w:t xml:space="preserve">This reinforces the central argument of the paper: improving national productivity does not require redistributing growth, but improving the performance of the metropolitan system through which that growth is delivered.</w:t>
      </w:r>
    </w:p>
    <w:p>
      <w:pPr>
        <w:pStyle w:val="Heading2"/>
      </w:pPr>
      <w:r>
        <w:rPr>
          <w:rStyle w:val="Normal"/>
        </w:rPr>
        <w:t xml:space="preserve">6. System Failures in Metro Areas</w:t>
      </w:r>
    </w:p>
    <w:p>
      <w:r>
        <w:rPr>
          <w:b/>
          <w:bCs/>
          <w:rStyle w:val="Normal"/>
        </w:rPr>
        <w:t xml:space="preserve">[DRAFT]</w:t>
      </w:r>
    </w:p>
    <w:p>
      <w:r>
        <w:rPr>
          <w:rStyle w:val="Normal"/>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as set out in earlier sections, these mechanisms are systematically weakened in practice by a set of recurring system failures. These failures are not isolated or project-specific; they arise from the way land use, infrastructure, transport, governance, and capital allocation interact. Together, they prevent metropolitan areas from functioning as fully effective economic systems, and therefore limit the extent to which growth translates into productivity.</w:t>
      </w:r>
    </w:p>
    <w:p>
      <w:pPr>
        <w:pStyle w:val="Heading3"/>
      </w:pPr>
      <w:r>
        <w:rPr>
          <w:rStyle w:val="Normal"/>
        </w:rPr>
        <w:t xml:space="preserve">Land use and housing constraints</w:t>
      </w:r>
    </w:p>
    <w:p>
      <w:r>
        <w:rPr>
          <w:rStyle w:val="Normal"/>
        </w:rPr>
        <w:t xml:space="preserve">Land use and housing constraints limit access to the locations where agglomeration benefits are strongest, weakening the core mechanism through which cities generate productivity.</w:t>
      </w:r>
    </w:p>
    <w:p>
      <w:r>
        <w:rPr>
          <w:rStyle w:val="Normal"/>
        </w:rPr>
        <w:t xml:space="preserve">In New Zealand’s largest cities, housing supply has been persistently unresponsive to demand, resulting in high land and housing costs in the most productive locations. </w:t>
      </w:r>
      <w:r>
        <w:rPr>
          <w:i/>
          <w:iCs/>
          <w:rStyle w:val="Normal"/>
        </w:rPr>
        <w:t xml:space="preserve">(claims 0066; 0075; 0107–0108)</w:t>
      </w:r>
      <w:r>
        <w:rPr>
          <w:rStyle w:val="Normal"/>
        </w:rPr>
        <w:t xml:space="preserve"> These costs materially restrict where households can locate, reducing access to high-productivity jobs and limiting firms’ ability to draw on deep labour markets. </w:t>
      </w:r>
      <w:r>
        <w:rPr>
          <w:i/>
          <w:iCs/>
          <w:rStyle w:val="Normal"/>
        </w:rPr>
        <w:t xml:space="preserve">(claims 0070; 0112)</w:t>
      </w:r>
    </w:p>
    <w:p>
      <w:r>
        <w:rPr>
          <w:rStyle w:val="Normal"/>
        </w:rPr>
        <w:t xml:space="preserve">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w:t>
      </w:r>
      <w:r>
        <w:rPr>
          <w:i/>
          <w:iCs/>
          <w:rStyle w:val="Normal"/>
        </w:rPr>
        <w:t xml:space="preserve">(claim 0070)</w:t>
      </w:r>
    </w:p>
    <w:p>
      <w:r>
        <w:rPr>
          <w:rStyle w:val="Normal"/>
        </w:rPr>
        <w:t xml:space="preserve">Constraints on urban development also have system-wide effects. Limits on intensification and expansion push growth toward lower-density and less well-connected locations, increasing infrastructure costs and reducing effective city size. </w:t>
      </w:r>
      <w:r>
        <w:rPr>
          <w:i/>
          <w:iCs/>
          <w:rStyle w:val="Normal"/>
        </w:rPr>
        <w:t xml:space="preserve">(claims 0108; 0111)</w:t>
      </w:r>
      <w:r>
        <w:rPr>
          <w:rStyle w:val="Normal"/>
        </w:rPr>
        <w:t xml:space="preserve"> This reinforces the patterns identified in Section 3, including dispersed urban form and inefficient capital allocation.</w:t>
      </w:r>
    </w:p>
    <w:p>
      <w:r>
        <w:rPr>
          <w:rStyle w:val="Normal"/>
        </w:rPr>
        <w:t xml:space="preserve">The result is that population growth is absorbed through rising land values and housing costs rather than improved urban productivity. Instead of enabling agglomeration, the land use system converts growth into higher costs, reduced accessibility, and weaker economic performance.</w:t>
      </w:r>
    </w:p>
    <w:p>
      <w:pPr>
        <w:pStyle w:val="Heading3"/>
      </w:pPr>
      <w:r>
        <w:rPr>
          <w:rStyle w:val="Normal"/>
        </w:rPr>
        <w:t xml:space="preserve">Infrastructure sequencing failures</w:t>
      </w:r>
    </w:p>
    <w:p>
      <w:r>
        <w:rPr>
          <w:rStyle w:val="Normal"/>
        </w:rPr>
        <w:t xml:space="preserve">Infrastructure provision in New Zealand exhibits a persistent gap between demand and available capacity, reflecting a system that delivers infrastructure more slowly than growth generates need.</w:t>
      </w:r>
    </w:p>
    <w:p>
      <w:r>
        <w:rPr>
          <w:rStyle w:val="Normal"/>
        </w:rPr>
        <w:t xml:space="preserve">New Zealand has a long‑recognised infrastructure deficit, with existing networks in transport and other core systems operating under pressure in high‑growth metropolitan areas. </w:t>
      </w:r>
      <w:r>
        <w:rPr>
          <w:i/>
          <w:iCs/>
          <w:rStyle w:val="Normal"/>
        </w:rPr>
        <w:t xml:space="preserve">(claims 0118; 0122 — deficit framing)</w:t>
      </w:r>
      <w:r>
        <w:rPr>
          <w:rStyle w:val="Normal"/>
        </w:rPr>
        <w:t xml:space="preserve"> This indicates that infrastructure provision has not kept pace with population and demand, even where overall investment levels are relatively high.</w:t>
      </w:r>
    </w:p>
    <w:p>
      <w:r>
        <w:rPr>
          <w:rStyle w:val="Normal"/>
        </w:rPr>
        <w:t xml:space="preserve">A key feature of this dynamic is the composition of investment. A significant share of infrastructure spending is absorbed by renewals and the maintenance of existing assets, rather than the expansion of new capacity. </w:t>
      </w:r>
      <w:r>
        <w:rPr>
          <w:i/>
          <w:iCs/>
          <w:rStyle w:val="Normal"/>
        </w:rPr>
        <w:t xml:space="preserve">(claim 0119)</w:t>
      </w:r>
      <w:r>
        <w:rPr>
          <w:rStyle w:val="Normal"/>
        </w:rPr>
        <w:t xml:space="preserve"> This limits the system’s ability to close the gap between demand and provision, particularly in growing urban areas.</w:t>
      </w:r>
    </w:p>
    <w:p>
      <w:r>
        <w:rPr>
          <w:rStyle w:val="Normal"/>
        </w:rPr>
        <w:t xml:space="preserve">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r>
        <w:rPr>
          <w:rStyle w:val="Normal"/>
        </w:rPr>
        <w:t xml:space="preserve">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pPr>
        <w:pStyle w:val="Heading3"/>
      </w:pPr>
      <w:r>
        <w:rPr>
          <w:rStyle w:val="Normal"/>
        </w:rPr>
        <w:t xml:space="preserve">Transport and connectivity gaps</w:t>
      </w:r>
    </w:p>
    <w:p>
      <w:r>
        <w:rPr>
          <w:rStyle w:val="Normal"/>
        </w:rPr>
        <w:t xml:space="preserve">Transport systems in New Zealand’s metropolitan areas do not provide the level of connectivity required to support effective urban scale, limiting the ability of cities to realise agglomeration benefits.</w:t>
      </w:r>
    </w:p>
    <w:p>
      <w:r>
        <w:rPr>
          <w:rStyle w:val="Normal"/>
        </w:rPr>
        <w:t xml:space="preserve">As set out in Section 2, the relevant measure of urban scale is not simply population, but the number of people and firms that can interact within a given time. </w:t>
      </w:r>
      <w:r>
        <w:rPr>
          <w:i/>
          <w:iCs/>
          <w:rStyle w:val="Normal"/>
        </w:rPr>
        <w:t xml:space="preserve">(claim 0034)</w:t>
      </w:r>
      <w:r>
        <w:rPr>
          <w:rStyle w:val="Normal"/>
        </w:rPr>
        <w:t xml:space="preserve"> In practice, transport constraints reduce this “effective density” by limiting access to jobs, services, and markets within metropolitan areas.</w:t>
      </w:r>
    </w:p>
    <w:p>
      <w:r>
        <w:rPr>
          <w:rStyle w:val="Normal"/>
        </w:rPr>
        <w:t xml:space="preserve">In New Zealand, this manifests through congestion, limited network capacity, and spatial fragmentation, particularly in high-growth areas. </w:t>
      </w:r>
      <w:r>
        <w:rPr>
          <w:i/>
          <w:iCs/>
          <w:rStyle w:val="Normal"/>
        </w:rPr>
        <w:t xml:space="preserve">(claims 0017; 0109)</w:t>
      </w:r>
      <w:r>
        <w:rPr>
          <w:rStyle w:val="Normal"/>
        </w:rPr>
        <w:t xml:space="preserve"> These constraints reduce labour market accessibility and increase travel times, weakening matching between workers and firms and limiting the depth of effective labour markets.</w:t>
      </w:r>
    </w:p>
    <w:p>
      <w:r>
        <w:rPr>
          <w:rStyle w:val="Normal"/>
        </w:rPr>
        <w:t xml:space="preserve">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r>
        <w:rPr>
          <w:rStyle w:val="Normal"/>
        </w:rPr>
        <w:t xml:space="preserve">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r>
        <w:rPr>
          <w:rStyle w:val="Normal"/>
        </w:rPr>
        <w:t xml:space="preserve">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pPr>
        <w:pStyle w:val="Heading3"/>
      </w:pPr>
      <w:r>
        <w:rPr>
          <w:rStyle w:val="Normal"/>
        </w:rPr>
        <w:t xml:space="preserve">Governance fragmentation</w:t>
      </w:r>
    </w:p>
    <w:p>
      <w:r>
        <w:rPr>
          <w:rStyle w:val="Normal"/>
        </w:rPr>
        <w:t xml:space="preserve">Governance arrangements in New Zealand’s spatial system have improved over time, but still create coordination challenges that affect how growth is translated into urban outcomes.</w:t>
      </w:r>
    </w:p>
    <w:p>
      <w:r>
        <w:rPr>
          <w:rStyle w:val="Normal"/>
        </w:rPr>
        <w:t xml:space="preserve">As set out in Section 4, key components of the spatial system—land use, infrastructure, transport, and funding—are governed by different actors across central and local government. </w:t>
      </w:r>
      <w:r>
        <w:rPr>
          <w:i/>
          <w:iCs/>
          <w:rStyle w:val="Normal"/>
        </w:rPr>
        <w:t xml:space="preserve">(claims 0020; 0023)</w:t>
      </w:r>
      <w:r>
        <w:rPr>
          <w:rStyle w:val="Normal"/>
        </w:rPr>
        <w:t xml:space="preserve"> While mechanisms such as metropolitan governance reforms and spatial planning have strengthened coordination, decision-making remains distributed across institutions with distinct roles and constraints.</w:t>
      </w:r>
    </w:p>
    <w:p>
      <w:r>
        <w:rPr>
          <w:rStyle w:val="Normal"/>
        </w:rPr>
        <w:t xml:space="preserve">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r>
        <w:rPr>
          <w:rStyle w:val="Normal"/>
        </w:rPr>
        <w:t xml:space="preserve">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w:t>
      </w:r>
      <w:r>
        <w:rPr>
          <w:i/>
          <w:iCs/>
          <w:rStyle w:val="Normal"/>
        </w:rPr>
        <w:t xml:space="preserve">(claims 0020; 0023)</w:t>
      </w:r>
    </w:p>
    <w:p>
      <w:r>
        <w:rPr>
          <w:rStyle w:val="Normal"/>
        </w:rPr>
        <w:t xml:space="preserve">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pPr>
        <w:pStyle w:val="Heading3"/>
      </w:pPr>
      <w:r>
        <w:rPr>
          <w:rStyle w:val="Normal"/>
        </w:rPr>
        <w:t xml:space="preserve">Capital misallocation</w:t>
      </w:r>
    </w:p>
    <w:p>
      <w:r>
        <w:rPr>
          <w:rStyle w:val="Normal"/>
        </w:rPr>
        <w:t xml:space="preserve">Capital allocation in New Zealand is shaped by the interaction of population growth and spatial constraints, resulting in a persistent shift toward lower‑productivity uses.</w:t>
      </w:r>
    </w:p>
    <w:p>
      <w:r>
        <w:rPr>
          <w:rStyle w:val="Normal"/>
        </w:rPr>
        <w:t xml:space="preserve">As set out in Section 3, a significant share of investment is directed toward housing, land, and infrastructure required to accommodate population growth. </w:t>
      </w:r>
      <w:r>
        <w:rPr>
          <w:i/>
          <w:iCs/>
          <w:rStyle w:val="Normal"/>
        </w:rPr>
        <w:t xml:space="preserve">(claims 0078; 0083)</w:t>
      </w:r>
      <w:r>
        <w:rPr>
          <w:rStyle w:val="Normal"/>
        </w:rPr>
        <w:t xml:space="preserve"> This reflects both strong demand pressures in metropolitan areas and the constraints on land and infrastructure that raise the cost of accommodating that growth.</w:t>
      </w:r>
    </w:p>
    <w:p>
      <w:r>
        <w:rPr>
          <w:rStyle w:val="Normal"/>
        </w:rPr>
        <w:t xml:space="preserve">This affects the composition of investment across the economy. Where capital is absorbed into housing, land, and supporting infrastructure, relatively less is directed toward productive business investment, including plant, equipment, and technology. </w:t>
      </w:r>
      <w:r>
        <w:rPr>
          <w:i/>
          <w:iCs/>
          <w:rStyle w:val="Normal"/>
        </w:rPr>
        <w:t xml:space="preserve">(claims 0078; 0083)</w:t>
      </w:r>
    </w:p>
    <w:p>
      <w:r>
        <w:rPr>
          <w:rStyle w:val="Normal"/>
        </w:rPr>
        <w:t xml:space="preserve">The mechanism is spatial. When access to high‑productivity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r>
        <w:rPr>
          <w:rStyle w:val="Normal"/>
        </w:rPr>
        <w:t xml:space="preserve">The result is not a simple shortage of capital, but a misallocation. Investment remains substantial in aggregate terms, but is persistently skewed toward accommodating growth and sustaining existing urban systems. This weakens capital deepening at the firm level and limits the capacity of the economy to translate growth into higher productivity.</w:t>
      </w:r>
    </w:p>
    <w:p>
      <w:r>
        <w:rPr>
          <w:rStyle w:val="Normal"/>
        </w:rPr>
        <w:t xml:space="preserve">In effect, the spatial constraints identified earlier do not just affect where activity occurs—they shape how the economy invests, diverting capital toward lower‑productivity uses and reinforcing the broader pattern of underperformance.</w:t>
      </w:r>
    </w:p>
    <w:p>
      <w:pPr>
        <w:pBdr>
          <w:top w:val="single" w:color="auto" w:sz="12"/>
        </w:pBdr>
        <w:spacing w:after="0"/>
      </w:pPr>
    </w:p>
    <w:p>
      <w:pPr>
        <w:pStyle w:val="Heading2"/>
      </w:pPr>
      <w:r>
        <w:rPr>
          <w:rStyle w:val="Normal"/>
        </w:rPr>
        <w:t xml:space="preserve">7. Political Economy of the Spatial System</w:t>
      </w:r>
    </w:p>
    <w:p>
      <w:r>
        <w:rPr>
          <w:b/>
          <w:bCs/>
          <w:rStyle w:val="Normal"/>
        </w:rPr>
        <w:t xml:space="preserve">[DRAFT but with placeholder key idea]</w:t>
      </w:r>
    </w:p>
    <w:p>
      <w:r>
        <w:rPr>
          <w:rStyle w:val="Normal"/>
        </w:rPr>
        <w:t xml:space="preserve">New Zealand’s policy debate often frames spatial choices as a trade-off between Auckland and the rest of the country. This framing is misleading. Auckland is not a marginal region; it accounts for a substantial share of population and economic activity, and therefore a large share of national outcomes.</w:t>
      </w:r>
    </w:p>
    <w:p>
      <w:r>
        <w:rPr>
          <w:rStyle w:val="Normal"/>
        </w:rPr>
        <w:t xml:space="preserve">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w:t>
      </w:r>
    </w:p>
    <w:p>
      <w:r>
        <w:rPr>
          <w:rStyle w:val="Normal"/>
        </w:rPr>
        <w:t xml:space="preserve">More broadly, different types of places require different policy approaches. Metropolitan areas generate national productivity benefits through mechanisms such as agglomeration, matching, and knowledge spillovers, while smaller centres and regions play complementary roles. A mature spatial policy recognises this differentiation rather than treating place-based policy as a zero-sum contest.</w:t>
      </w:r>
    </w:p>
    <w:p>
      <w:r>
        <w:rPr>
          <w:rStyle w:val="Normal"/>
        </w:rPr>
        <w:t xml:space="preserve">If Auckland is not generating net national productivity benefits commensurate with its scale, the case for its size weakens. Conversely, improving metropolitan performance is likely to have disproportionately large national benefits. The challenge is therefore not to choose between places, but to ensure each part of the spatial system is functioning as effectively as possible.</w:t>
      </w:r>
    </w:p>
    <w:p>
      <w:pPr>
        <w:pBdr>
          <w:top w:val="single" w:color="auto" w:sz="12"/>
        </w:pBdr>
        <w:spacing w:after="0"/>
      </w:pPr>
    </w:p>
    <w:p>
      <w:pPr>
        <w:pStyle w:val="Heading2"/>
      </w:pPr>
      <w:r>
        <w:rPr>
          <w:rStyle w:val="Normal"/>
        </w:rPr>
        <w:t xml:space="preserve">8. Implications for Government Policy</w:t>
      </w:r>
    </w:p>
    <w:p>
      <w:r>
        <w:rPr>
          <w:b/>
          <w:bCs/>
          <w:rStyle w:val="Normal"/>
        </w:rPr>
        <w:t xml:space="preserve">[DRAFT</w:t>
      </w:r>
      <w:r>
        <w:rPr>
          <w:rStyle w:val="Normal"/>
        </w:rPr>
        <w:t xml:space="preserve"> </w:t>
      </w:r>
      <w:r>
        <w:rPr>
          <w:b/>
          <w:bCs/>
          <w:rStyle w:val="Normal"/>
        </w:rPr>
        <w:t xml:space="preserve">but with placeholder key idea</w:t>
      </w:r>
      <w:r>
        <w:rPr>
          <w:rStyle w:val="Normal"/>
        </w:rPr>
        <w:t xml:space="preserve">**]**</w:t>
      </w:r>
    </w:p>
    <w:p>
      <w:pPr>
        <w:pStyle w:val="ListParagraph"/>
        <w:pStyle w:val="ListParagraph"/>
        <w:numPr>
          <w:ilvl w:val="0"/>
          <w:numId w:val="1"/>
        </w:numPr>
        <w:numPr>
          <w:ilvl w:val="0"/>
          <w:numId w:val="17"/>
        </w:numPr>
      </w:pPr>
      <w:r>
        <w:rPr>
          <w:rStyle w:val="Normal"/>
        </w:rPr>
        <w:t xml:space="preserve">Spatial incidence of national policy</w:t>
      </w:r>
    </w:p>
    <w:p>
      <w:pPr>
        <w:pStyle w:val="ListParagraph"/>
        <w:pStyle w:val="ListParagraph"/>
        <w:numPr>
          <w:ilvl w:val="0"/>
          <w:numId w:val="1"/>
        </w:numPr>
        <w:numPr>
          <w:ilvl w:val="0"/>
          <w:numId w:val="17"/>
        </w:numPr>
      </w:pPr>
      <w:r>
        <w:rPr>
          <w:rStyle w:val="Normal"/>
        </w:rPr>
        <w:t xml:space="preserve">Growth does not pay for itself locally</w:t>
      </w:r>
    </w:p>
    <w:p>
      <w:pPr>
        <w:pStyle w:val="ListParagraph"/>
        <w:pStyle w:val="ListParagraph"/>
        <w:numPr>
          <w:ilvl w:val="0"/>
          <w:numId w:val="1"/>
        </w:numPr>
        <w:numPr>
          <w:ilvl w:val="0"/>
          <w:numId w:val="17"/>
        </w:numPr>
      </w:pPr>
      <w:r>
        <w:rPr>
          <w:rStyle w:val="Normal"/>
        </w:rPr>
        <w:t xml:space="preserve">Fiscal and delivery constraints</w:t>
      </w:r>
    </w:p>
    <w:p>
      <w:pPr>
        <w:pStyle w:val="ListParagraph"/>
        <w:pStyle w:val="ListParagraph"/>
        <w:numPr>
          <w:ilvl w:val="0"/>
          <w:numId w:val="1"/>
        </w:numPr>
        <w:numPr>
          <w:ilvl w:val="0"/>
          <w:numId w:val="17"/>
        </w:numPr>
      </w:pPr>
      <w:r>
        <w:rPr>
          <w:rStyle w:val="Normal"/>
        </w:rPr>
        <w:t xml:space="preserve">Spatial policy as growth allocation</w:t>
      </w:r>
    </w:p>
    <w:p>
      <w:r>
        <w:rPr>
          <w:rStyle w:val="Normal"/>
        </w:rPr>
        <w:t xml:space="preserve">Many of the factors widely recognised as constraining New Zealand’s productivity—including weak frontier firm performance, slow technology diffusion, poor skill matching, and inefficient capital allocation—have well-established spatial dimensions. Population growth strengthens business performance in cities, but this is not matched by equivalent improvements in living conditions, reflecting a divergence between what attracts firms and what sustains households. (claims 0183, 0185)</w:t>
      </w:r>
    </w:p>
    <w:p>
      <w:r>
        <w:rPr>
          <w:rStyle w:val="Normal"/>
        </w:rPr>
        <w:t xml:space="preserve">New Zealand exhibits many of the spatial conditions that are expected to generate these outcomes, including high housing costs in productive areas, constrained transport networks, and fragmented labour markets. Restrictive urban conditions compress real outcomes by simultaneously increasing housing costs and reducing wages, reinforcing the productivity impacts of spatial constraint. (claim 0190)</w:t>
      </w:r>
    </w:p>
    <w:p>
      <w:r>
        <w:rPr>
          <w:rStyle w:val="Normal"/>
        </w:rPr>
        <w:t xml:space="preserve">While isolating the precise causal contribution of spatial factors is challenging,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w:t>
      </w:r>
    </w:p>
    <w:p>
      <w:r>
        <w:rPr>
          <w:rStyle w:val="Normal"/>
        </w:rPr>
        <w:t xml:space="preserve">In this context, spatial policy should be understood as central to improving national productivity outcomes. It is not necessary to fully resolve causal attribution before acting; the weight of evidence and the consistency of observed patterns justify a more deliberate and explicit approach to spatial policy.</w:t>
      </w:r>
    </w:p>
    <w:p>
      <w:pPr>
        <w:pStyle w:val="Heading2"/>
      </w:pPr>
      <w:r>
        <w:rPr>
          <w:rStyle w:val="Normal"/>
        </w:rPr>
        <w:t xml:space="preserve">9. Role of MBIE</w:t>
      </w:r>
    </w:p>
    <w:p>
      <w:r>
        <w:rPr>
          <w:b/>
          <w:bCs/>
          <w:rStyle w:val="Normal"/>
        </w:rPr>
        <w:t xml:space="preserve">[OUTLINE ONLY]</w:t>
      </w:r>
    </w:p>
    <w:p>
      <w:pPr>
        <w:pStyle w:val="ListParagraph"/>
        <w:pStyle w:val="ListParagraph"/>
        <w:numPr>
          <w:ilvl w:val="0"/>
          <w:numId w:val="1"/>
        </w:numPr>
        <w:numPr>
          <w:ilvl w:val="0"/>
          <w:numId w:val="18"/>
        </w:numPr>
      </w:pPr>
      <w:r>
        <w:rPr>
          <w:rStyle w:val="Normal"/>
        </w:rPr>
        <w:t xml:space="preserve">Economic analysis role</w:t>
      </w:r>
    </w:p>
    <w:p>
      <w:pPr>
        <w:pStyle w:val="ListParagraph"/>
        <w:pStyle w:val="ListParagraph"/>
        <w:numPr>
          <w:ilvl w:val="0"/>
          <w:numId w:val="1"/>
        </w:numPr>
        <w:numPr>
          <w:ilvl w:val="0"/>
          <w:numId w:val="18"/>
        </w:numPr>
      </w:pPr>
      <w:r>
        <w:rPr>
          <w:rStyle w:val="Normal"/>
        </w:rPr>
        <w:t xml:space="preserve">Investment and capital settings</w:t>
      </w:r>
    </w:p>
    <w:p>
      <w:pPr>
        <w:pStyle w:val="ListParagraph"/>
        <w:pStyle w:val="ListParagraph"/>
        <w:numPr>
          <w:ilvl w:val="0"/>
          <w:numId w:val="1"/>
        </w:numPr>
        <w:numPr>
          <w:ilvl w:val="0"/>
          <w:numId w:val="18"/>
        </w:numPr>
      </w:pPr>
      <w:r>
        <w:rPr>
          <w:rStyle w:val="Normal"/>
        </w:rPr>
        <w:t xml:space="preserve">Cross-system coordination</w:t>
      </w:r>
    </w:p>
    <w:p>
      <w:pPr>
        <w:pBdr>
          <w:top w:val="single" w:color="auto" w:sz="12"/>
        </w:pBdr>
        <w:spacing w:after="0"/>
      </w:pPr>
    </w:p>
    <w:p>
      <w:pPr>
        <w:pStyle w:val="Heading2"/>
      </w:pPr>
      <w:r>
        <w:rPr>
          <w:rStyle w:val="Normal"/>
        </w:rPr>
        <w:t xml:space="preserve">10. Priority Actions (MBIE ‘Do’)</w:t>
      </w:r>
    </w:p>
    <w:p>
      <w:r>
        <w:rPr>
          <w:b/>
          <w:bCs/>
          <w:rStyle w:val="Normal"/>
        </w:rPr>
        <w:t xml:space="preserve">[OUTLINE ONLY]</w:t>
      </w:r>
    </w:p>
    <w:p>
      <w:r>
        <w:rPr>
          <w:rStyle w:val="Normal"/>
        </w:rPr>
        <w:t xml:space="preserve">3–5 specific actions, tied to system failures and MBIE levers.</w:t>
      </w:r>
    </w:p>
    <w:p>
      <w:pPr>
        <w:pBdr>
          <w:top w:val="single" w:color="auto" w:sz="12"/>
        </w:pBdr>
        <w:spacing w:after="0"/>
      </w:pPr>
    </w:p>
    <w:p>
      <w:pPr>
        <w:pStyle w:val="Heading2"/>
      </w:pPr>
      <w:r>
        <w:rPr>
          <w:rStyle w:val="Normal"/>
        </w:rPr>
        <w:t xml:space="preserve">11. Conclusion</w:t>
      </w:r>
    </w:p>
    <w:p>
      <w:r>
        <w:rPr>
          <w:b/>
          <w:bCs/>
          <w:rStyle w:val="Normal"/>
        </w:rPr>
        <w:t xml:space="preserve">[DRAFT – PLACEHOLDER]</w:t>
      </w:r>
    </w:p>
    <w:p>
      <w:r>
        <w:rPr>
          <w:rStyle w:val="Normal"/>
        </w:rPr>
        <w:t xml:space="preserve">Spatial policy is a core determinant of productivity; metro performance is nationally binding.</w:t>
      </w:r>
    </w:p>
    <w:p>
      <w:pPr>
        <w:pBdr>
          <w:top w:val="single" w:color="auto" w:sz="12"/>
        </w:pBdr>
        <w:spacing w:after="0"/>
      </w:pPr>
    </w:p>
    <w:p>
      <w:pPr>
        <w:pStyle w:val="Heading2"/>
      </w:pPr>
      <w:r>
        <w:rPr>
          <w:rStyle w:val="Normal"/>
        </w:rPr>
        <w:t xml:space="preserve">Editing Rules (Working Draft)</w:t>
      </w:r>
    </w:p>
    <w:p>
      <w:pPr>
        <w:pStyle w:val="ListParagraph"/>
        <w:pStyle w:val="ListParagraph"/>
        <w:numPr>
          <w:ilvl w:val="0"/>
          <w:numId w:val="1"/>
        </w:numPr>
        <w:numPr>
          <w:ilvl w:val="0"/>
          <w:numId w:val="19"/>
        </w:numPr>
      </w:pPr>
      <w:r>
        <w:rPr>
          <w:rStyle w:val="Normal"/>
        </w:rPr>
        <w:t xml:space="preserve">Sections marked </w:t>
      </w:r>
      <w:r>
        <w:rPr>
          <w:b/>
          <w:bCs/>
          <w:rStyle w:val="Normal"/>
        </w:rPr>
        <w:t xml:space="preserve">[LOCKED]</w:t>
      </w:r>
      <w:r>
        <w:rPr>
          <w:rStyle w:val="Normal"/>
        </w:rPr>
        <w:t xml:space="preserve"> must not be changed without explicit instruction</w:t>
      </w:r>
    </w:p>
    <w:p>
      <w:pPr>
        <w:pStyle w:val="ListParagraph"/>
        <w:pStyle w:val="ListParagraph"/>
        <w:numPr>
          <w:ilvl w:val="0"/>
          <w:numId w:val="1"/>
        </w:numPr>
        <w:numPr>
          <w:ilvl w:val="0"/>
          <w:numId w:val="19"/>
        </w:numPr>
      </w:pPr>
      <w:r>
        <w:rPr>
          <w:rStyle w:val="Normal"/>
        </w:rPr>
        <w:t xml:space="preserve">Sections marked </w:t>
      </w:r>
      <w:r>
        <w:rPr>
          <w:b/>
          <w:bCs/>
          <w:rStyle w:val="Normal"/>
        </w:rPr>
        <w:t xml:space="preserve">[DRAFT]</w:t>
      </w:r>
      <w:r>
        <w:rPr>
          <w:rStyle w:val="Normal"/>
        </w:rPr>
        <w:t xml:space="preserve"> are open for iterative refinement</w:t>
      </w:r>
    </w:p>
    <w:p>
      <w:pPr>
        <w:pStyle w:val="ListParagraph"/>
        <w:pStyle w:val="ListParagraph"/>
        <w:numPr>
          <w:ilvl w:val="0"/>
          <w:numId w:val="1"/>
        </w:numPr>
        <w:numPr>
          <w:ilvl w:val="0"/>
          <w:numId w:val="19"/>
        </w:numPr>
      </w:pPr>
      <w:r>
        <w:rPr>
          <w:rStyle w:val="Normal"/>
        </w:rPr>
        <w:t xml:space="preserve">Sections marked </w:t>
      </w:r>
      <w:r>
        <w:rPr>
          <w:b/>
          <w:bCs/>
          <w:rStyle w:val="Normal"/>
        </w:rPr>
        <w:t xml:space="preserve">[OUTLINE ONLY]</w:t>
      </w:r>
      <w:r>
        <w:rPr>
          <w:rStyle w:val="Normal"/>
        </w:rPr>
        <w:t xml:space="preserve"> will be filled in later</w:t>
      </w:r>
    </w:p>
    <w:p>
      <w:pPr>
        <w:pStyle w:val="ListParagraph"/>
        <w:pStyle w:val="ListParagraph"/>
        <w:numPr>
          <w:ilvl w:val="0"/>
          <w:numId w:val="1"/>
        </w:numPr>
        <w:numPr>
          <w:ilvl w:val="0"/>
          <w:numId w:val="19"/>
        </w:numPr>
      </w:pPr>
      <w:r>
        <w:rPr>
          <w:rStyle w:val="Normal"/>
        </w:rPr>
        <w:t xml:space="preserve">Changes must be made section-by-section, not across the whole document</w:t>
      </w:r>
    </w:p>
    <w:p>
      <w:pPr>
        <w:pStyle w:val="ListParagraph"/>
        <w:pStyle w:val="ListParagraph"/>
        <w:numPr>
          <w:ilvl w:val="0"/>
          <w:numId w:val="1"/>
        </w:numPr>
        <w:numPr>
          <w:ilvl w:val="0"/>
          <w:numId w:val="19"/>
        </w:numPr>
      </w:pPr>
      <w:r>
        <w:rPr>
          <w:rStyle w:val="Normal"/>
        </w:rPr>
        <w:t xml:space="preserve">Redrafting must be proposed in chat before being incorporated into the page</w:t>
      </w:r>
    </w:p>
    <w:p>
      <w:r>
        <w:rPr>
          <w:rStyle w:val="Normal"/>
        </w:rPr>
        <w:t xml:space="preserve">need the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2026-06-30T00:14:55.423Z</dcterms:created>
  <dcterms:modified xsi:type="dcterms:W3CDTF">2026-06-30T00:14:55.423Z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2026-06-30T00:14:55Z</vt:lpwstr>
  </property>
  <property fmtid="{D5CDD505-2E9C-101B-9397-08002B2CF9AE}" pid="4" name="MSIP_Label_738466f7-346c-47bb-a4d2-4a6558d61975_Method">
    <vt:lpwstr>Standard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11e8a96a-22f5-44ee-b79f-9e83eb0f8e70</vt:lpwstr>
  </property>
  <property fmtid="{D5CDD505-2E9C-101B-9397-08002B2CF9AE}" pid="8" name="MSIP_Label_738466f7-346c-47bb-a4d2-4a6558d61975_ContentBits">
    <vt:lpwstr>0</vt:lpwstr>
  </property>
</Properties>
</file>