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F0ACD" w14:textId="77777777" w:rsidR="00DA4462" w:rsidRPr="00A3585F" w:rsidRDefault="00DA4462" w:rsidP="00E2656A">
      <w:pPr>
        <w:spacing w:line="360" w:lineRule="auto"/>
        <w:ind w:right="-22"/>
        <w:jc w:val="right"/>
        <w:rPr>
          <w:rStyle w:val="Emphasis"/>
          <w:rFonts w:ascii="Cambria" w:hAnsi="Cambria" w:cs="Arial"/>
          <w:b/>
          <w:i w:val="0"/>
          <w:u w:val="single"/>
        </w:rPr>
      </w:pPr>
    </w:p>
    <w:p w14:paraId="4340B9C1" w14:textId="18A7BD1F" w:rsidR="00E2656A" w:rsidRPr="00A3585F" w:rsidRDefault="009A189E" w:rsidP="00E2656A">
      <w:pPr>
        <w:spacing w:line="360" w:lineRule="auto"/>
        <w:ind w:right="-22"/>
        <w:jc w:val="right"/>
        <w:rPr>
          <w:rStyle w:val="Emphasis"/>
          <w:rFonts w:ascii="Cambria" w:hAnsi="Cambria" w:cs="Arial"/>
          <w:b/>
          <w:i w:val="0"/>
          <w:iCs w:val="0"/>
          <w:u w:val="single"/>
        </w:rPr>
      </w:pPr>
      <w:r w:rsidRPr="00A3585F">
        <w:rPr>
          <w:rStyle w:val="Emphasis"/>
          <w:rFonts w:ascii="Cambria" w:hAnsi="Cambria" w:cs="Arial"/>
          <w:b/>
          <w:i w:val="0"/>
          <w:u w:val="single"/>
        </w:rPr>
        <w:t xml:space="preserve">Agenda Item No. </w:t>
      </w:r>
    </w:p>
    <w:p w14:paraId="2522FCD4" w14:textId="77777777" w:rsidR="00E2656A" w:rsidRPr="00A3585F" w:rsidRDefault="00E2656A" w:rsidP="00E2656A">
      <w:pPr>
        <w:spacing w:line="360" w:lineRule="auto"/>
        <w:ind w:right="992"/>
        <w:jc w:val="right"/>
        <w:rPr>
          <w:rStyle w:val="Emphasis"/>
          <w:rFonts w:ascii="Cambria" w:hAnsi="Cambria" w:cs="Arial"/>
          <w:b/>
          <w:i w:val="0"/>
          <w:iCs w:val="0"/>
          <w:u w:val="single"/>
        </w:rPr>
      </w:pPr>
    </w:p>
    <w:tbl>
      <w:tblPr>
        <w:tblW w:w="1089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0"/>
      </w:tblGrid>
      <w:tr w:rsidR="00E2656A" w:rsidRPr="00A3585F" w14:paraId="06DE018F" w14:textId="77777777" w:rsidTr="001D27E4">
        <w:trPr>
          <w:trHeight w:val="1655"/>
        </w:trPr>
        <w:tc>
          <w:tcPr>
            <w:tcW w:w="10890" w:type="dxa"/>
          </w:tcPr>
          <w:p w14:paraId="4A4A1114" w14:textId="0B5F4359" w:rsidR="00E2656A" w:rsidRPr="00A3585F" w:rsidRDefault="00E2656A" w:rsidP="00954BB5">
            <w:pPr>
              <w:spacing w:line="360" w:lineRule="auto"/>
              <w:ind w:left="1553" w:right="-108" w:hanging="1553"/>
              <w:rPr>
                <w:rStyle w:val="Emphasis"/>
                <w:rFonts w:ascii="Cambria" w:hAnsi="Cambria" w:cs="Arial"/>
                <w:b/>
                <w:i w:val="0"/>
                <w:iCs w:val="0"/>
              </w:rPr>
            </w:pPr>
            <w:r w:rsidRPr="00A3585F">
              <w:rPr>
                <w:rStyle w:val="Emphasis"/>
                <w:rFonts w:ascii="Cambria" w:hAnsi="Cambria" w:cs="Arial"/>
                <w:b/>
                <w:i w:val="0"/>
              </w:rPr>
              <w:t xml:space="preserve">Subject           </w:t>
            </w:r>
            <w:r w:rsidR="004109A0">
              <w:rPr>
                <w:rStyle w:val="Emphasis"/>
                <w:rFonts w:ascii="Cambria" w:hAnsi="Cambria" w:cs="Arial"/>
                <w:b/>
                <w:i w:val="0"/>
              </w:rPr>
              <w:t xml:space="preserve"> </w:t>
            </w:r>
            <w:proofErr w:type="gramStart"/>
            <w:r w:rsidR="004109A0">
              <w:rPr>
                <w:rStyle w:val="Emphasis"/>
                <w:rFonts w:ascii="Cambria" w:hAnsi="Cambria" w:cs="Arial"/>
                <w:b/>
                <w:i w:val="0"/>
              </w:rPr>
              <w:t xml:space="preserve">  </w:t>
            </w:r>
            <w:r w:rsidR="004109A0">
              <w:rPr>
                <w:rStyle w:val="Emphasis"/>
                <w:rFonts w:ascii="Cambria" w:hAnsi="Cambria" w:cs="Arial"/>
                <w:b/>
              </w:rPr>
              <w:t>:</w:t>
            </w:r>
            <w:proofErr w:type="gramEnd"/>
            <w:r w:rsidRPr="00A3585F">
              <w:rPr>
                <w:rStyle w:val="Emphasis"/>
                <w:rFonts w:ascii="Cambria" w:hAnsi="Cambria" w:cs="Arial"/>
                <w:b/>
                <w:i w:val="0"/>
              </w:rPr>
              <w:t xml:space="preserve"> </w:t>
            </w:r>
            <w:r w:rsidR="006F6749">
              <w:rPr>
                <w:rStyle w:val="Emphasis"/>
                <w:rFonts w:ascii="Cambria" w:hAnsi="Cambria" w:cs="Arial"/>
                <w:b/>
                <w:i w:val="0"/>
              </w:rPr>
              <w:t xml:space="preserve">Approval of </w:t>
            </w:r>
            <w:r w:rsidR="00954BB5">
              <w:rPr>
                <w:rStyle w:val="Emphasis"/>
                <w:rFonts w:ascii="Cambria" w:hAnsi="Cambria" w:cs="Arial"/>
                <w:b/>
                <w:i w:val="0"/>
              </w:rPr>
              <w:t xml:space="preserve">2018-19 </w:t>
            </w:r>
            <w:r w:rsidR="006F6749">
              <w:rPr>
                <w:rStyle w:val="Emphasis"/>
                <w:rFonts w:ascii="Cambria" w:hAnsi="Cambria" w:cs="Arial"/>
                <w:b/>
                <w:i w:val="0"/>
              </w:rPr>
              <w:t xml:space="preserve">Work Order for </w:t>
            </w:r>
            <w:r w:rsidR="00954BB5">
              <w:rPr>
                <w:rStyle w:val="Emphasis"/>
                <w:rFonts w:ascii="Cambria" w:hAnsi="Cambria" w:cs="Arial"/>
                <w:b/>
                <w:i w:val="0"/>
              </w:rPr>
              <w:t xml:space="preserve">Enhancement to Skill Development Management                      System (M/s Campus Management) </w:t>
            </w:r>
          </w:p>
          <w:p w14:paraId="167E11B9" w14:textId="4FC4E11A" w:rsidR="001D27E4" w:rsidRPr="00C458F4" w:rsidRDefault="004109A0" w:rsidP="001D27E4">
            <w:pPr>
              <w:spacing w:line="360" w:lineRule="auto"/>
              <w:ind w:right="342"/>
              <w:rPr>
                <w:rStyle w:val="Emphasis"/>
                <w:rFonts w:ascii="Cambria" w:hAnsi="Cambria" w:cs="Arial"/>
                <w:i w:val="0"/>
              </w:rPr>
            </w:pPr>
            <w:r w:rsidRPr="00A3585F">
              <w:rPr>
                <w:rStyle w:val="Emphasis"/>
                <w:rFonts w:ascii="Cambria" w:hAnsi="Cambria" w:cs="Arial"/>
                <w:b/>
                <w:i w:val="0"/>
              </w:rPr>
              <w:t xml:space="preserve">Proposed </w:t>
            </w:r>
            <w:proofErr w:type="gramStart"/>
            <w:r w:rsidRPr="00A3585F">
              <w:rPr>
                <w:rStyle w:val="Emphasis"/>
                <w:rFonts w:ascii="Cambria" w:hAnsi="Cambria" w:cs="Arial"/>
                <w:b/>
                <w:i w:val="0"/>
              </w:rPr>
              <w:t>by</w:t>
            </w:r>
            <w:r w:rsidR="00E2656A" w:rsidRPr="00A3585F">
              <w:rPr>
                <w:rStyle w:val="Emphasis"/>
                <w:rFonts w:ascii="Cambria" w:hAnsi="Cambria" w:cs="Arial"/>
                <w:b/>
                <w:i w:val="0"/>
              </w:rPr>
              <w:t xml:space="preserve"> </w:t>
            </w:r>
            <w:r w:rsidRPr="00A3585F">
              <w:rPr>
                <w:rStyle w:val="Emphasis"/>
                <w:rFonts w:ascii="Cambria" w:hAnsi="Cambria" w:cs="Arial"/>
                <w:b/>
                <w:i w:val="0"/>
              </w:rPr>
              <w:t xml:space="preserve"> </w:t>
            </w:r>
            <w:r>
              <w:rPr>
                <w:rStyle w:val="Emphasis"/>
                <w:rFonts w:ascii="Cambria" w:hAnsi="Cambria" w:cs="Arial"/>
                <w:b/>
                <w:i w:val="0"/>
              </w:rPr>
              <w:t>:</w:t>
            </w:r>
            <w:proofErr w:type="gramEnd"/>
            <w:r w:rsidR="00EE6EEF" w:rsidRPr="00A3585F">
              <w:rPr>
                <w:rStyle w:val="Emphasis"/>
                <w:rFonts w:ascii="Cambria" w:hAnsi="Cambria" w:cs="Arial"/>
                <w:b/>
                <w:i w:val="0"/>
              </w:rPr>
              <w:t xml:space="preserve">  </w:t>
            </w:r>
            <w:r w:rsidR="00C458F4" w:rsidRPr="00C458F4">
              <w:rPr>
                <w:rStyle w:val="Emphasis"/>
                <w:rFonts w:ascii="Cambria" w:hAnsi="Cambria" w:cs="Arial"/>
                <w:b/>
                <w:i w:val="0"/>
              </w:rPr>
              <w:t>Jayant Krishna</w:t>
            </w:r>
          </w:p>
          <w:p w14:paraId="63106420" w14:textId="68E9E196" w:rsidR="009A189E" w:rsidRPr="00A3585F" w:rsidRDefault="00E2656A" w:rsidP="006F6749">
            <w:pPr>
              <w:spacing w:line="360" w:lineRule="auto"/>
              <w:ind w:left="1871" w:right="992" w:hanging="1871"/>
              <w:rPr>
                <w:rStyle w:val="Emphasis"/>
                <w:rFonts w:ascii="Cambria" w:hAnsi="Cambria" w:cs="Arial"/>
                <w:b/>
                <w:i w:val="0"/>
              </w:rPr>
            </w:pPr>
            <w:r w:rsidRPr="00A3585F">
              <w:rPr>
                <w:rStyle w:val="Emphasis"/>
                <w:rFonts w:ascii="Cambria" w:hAnsi="Cambria" w:cs="Arial"/>
                <w:b/>
                <w:i w:val="0"/>
              </w:rPr>
              <w:t xml:space="preserve">Submitted </w:t>
            </w:r>
            <w:proofErr w:type="gramStart"/>
            <w:r w:rsidRPr="00A3585F">
              <w:rPr>
                <w:rStyle w:val="Emphasis"/>
                <w:rFonts w:ascii="Cambria" w:hAnsi="Cambria" w:cs="Arial"/>
                <w:b/>
                <w:i w:val="0"/>
              </w:rPr>
              <w:t>for</w:t>
            </w:r>
            <w:r w:rsidR="00EE6EEF" w:rsidRPr="00A3585F">
              <w:rPr>
                <w:rStyle w:val="Emphasis"/>
                <w:rFonts w:ascii="Cambria" w:hAnsi="Cambria" w:cs="Arial"/>
                <w:b/>
                <w:i w:val="0"/>
              </w:rPr>
              <w:t xml:space="preserve"> </w:t>
            </w:r>
            <w:r w:rsidRPr="00A3585F">
              <w:rPr>
                <w:rStyle w:val="Emphasis"/>
                <w:rFonts w:ascii="Cambria" w:hAnsi="Cambria" w:cs="Arial"/>
                <w:b/>
                <w:i w:val="0"/>
              </w:rPr>
              <w:t xml:space="preserve"> :</w:t>
            </w:r>
            <w:proofErr w:type="gramEnd"/>
            <w:r w:rsidRPr="00A3585F">
              <w:rPr>
                <w:rStyle w:val="Emphasis"/>
                <w:rFonts w:ascii="Cambria" w:hAnsi="Cambria" w:cs="Arial"/>
                <w:b/>
                <w:i w:val="0"/>
              </w:rPr>
              <w:t xml:space="preserve"> </w:t>
            </w:r>
            <w:r w:rsidR="006F6749">
              <w:rPr>
                <w:rStyle w:val="Emphasis"/>
                <w:rFonts w:ascii="Cambria" w:hAnsi="Cambria" w:cs="Arial"/>
                <w:b/>
                <w:i w:val="0"/>
              </w:rPr>
              <w:t>For</w:t>
            </w:r>
            <w:r w:rsidR="00EE6EEF" w:rsidRPr="00A3585F">
              <w:rPr>
                <w:rStyle w:val="Emphasis"/>
                <w:rFonts w:ascii="Cambria" w:hAnsi="Cambria" w:cs="Arial"/>
                <w:b/>
                <w:i w:val="0"/>
              </w:rPr>
              <w:t xml:space="preserve"> seeking approval from the</w:t>
            </w:r>
            <w:r w:rsidR="001A2D1C" w:rsidRPr="00A3585F">
              <w:rPr>
                <w:rStyle w:val="Emphasis"/>
                <w:rFonts w:ascii="Cambria" w:hAnsi="Cambria" w:cs="Arial"/>
                <w:b/>
                <w:i w:val="0"/>
              </w:rPr>
              <w:t xml:space="preserve"> </w:t>
            </w:r>
            <w:r w:rsidR="00954BB5">
              <w:rPr>
                <w:rStyle w:val="Emphasis"/>
                <w:rFonts w:ascii="Cambria" w:hAnsi="Cambria" w:cs="Arial"/>
                <w:b/>
                <w:i w:val="0"/>
              </w:rPr>
              <w:t>Board</w:t>
            </w:r>
            <w:r w:rsidR="00EE6EEF" w:rsidRPr="00A3585F">
              <w:rPr>
                <w:rStyle w:val="Emphasis"/>
                <w:rFonts w:ascii="Cambria" w:hAnsi="Cambria" w:cs="Arial"/>
                <w:b/>
                <w:i w:val="0"/>
              </w:rPr>
              <w:t xml:space="preserve"> </w:t>
            </w:r>
          </w:p>
        </w:tc>
      </w:tr>
    </w:tbl>
    <w:p w14:paraId="0DEE8DF0" w14:textId="77777777" w:rsidR="00E2656A" w:rsidRPr="00A3585F" w:rsidRDefault="00E2656A" w:rsidP="00E2656A">
      <w:pPr>
        <w:suppressAutoHyphens/>
        <w:spacing w:line="360" w:lineRule="auto"/>
        <w:ind w:right="992"/>
        <w:jc w:val="both"/>
        <w:rPr>
          <w:rStyle w:val="Emphasis"/>
          <w:rFonts w:ascii="Cambria" w:hAnsi="Cambria" w:cs="Arial"/>
          <w:b/>
          <w:i w:val="0"/>
          <w:iCs w:val="0"/>
        </w:rPr>
      </w:pPr>
    </w:p>
    <w:p w14:paraId="13C7F281" w14:textId="074E666D" w:rsidR="001D27E4" w:rsidRPr="00A3585F" w:rsidRDefault="00E2656A" w:rsidP="005A3B3E">
      <w:pPr>
        <w:spacing w:line="360" w:lineRule="auto"/>
        <w:jc w:val="both"/>
        <w:rPr>
          <w:rFonts w:ascii="Cambria" w:hAnsi="Cambria" w:cs="Arial"/>
          <w:b/>
        </w:rPr>
      </w:pPr>
      <w:r w:rsidRPr="00A3585F">
        <w:rPr>
          <w:rFonts w:ascii="Cambria" w:hAnsi="Cambria" w:cs="Arial"/>
          <w:b/>
        </w:rPr>
        <w:t>Back Ground:</w:t>
      </w:r>
    </w:p>
    <w:p w14:paraId="0D158626" w14:textId="787AE9FE" w:rsidR="00A4716A" w:rsidRPr="0015297F" w:rsidRDefault="0015297F" w:rsidP="0015297F">
      <w:pPr>
        <w:pStyle w:val="ListParagraph"/>
        <w:spacing w:line="276" w:lineRule="auto"/>
        <w:ind w:left="0"/>
        <w:jc w:val="both"/>
        <w:rPr>
          <w:rFonts w:eastAsia="Times New Roman"/>
          <w:bCs/>
        </w:rPr>
      </w:pPr>
      <w:r w:rsidRPr="0015297F">
        <w:rPr>
          <w:rFonts w:eastAsia="Times New Roman"/>
          <w:bCs/>
        </w:rPr>
        <w:t xml:space="preserve">NSDC proposes to extend the contract with Campus Management (erstwhile </w:t>
      </w:r>
      <w:proofErr w:type="spellStart"/>
      <w:r w:rsidRPr="0015297F">
        <w:rPr>
          <w:rFonts w:eastAsia="Times New Roman"/>
          <w:bCs/>
        </w:rPr>
        <w:t>Talisma</w:t>
      </w:r>
      <w:proofErr w:type="spellEnd"/>
      <w:r w:rsidRPr="0015297F">
        <w:rPr>
          <w:rFonts w:eastAsia="Times New Roman"/>
          <w:bCs/>
        </w:rPr>
        <w:t>) to continue to support the applications developed and deployed. It is also expected that Campus Management will be developing new application modules under the enhanced scope that is required to support new initiatives during this timeframe</w:t>
      </w:r>
    </w:p>
    <w:p w14:paraId="3ECF9AAC" w14:textId="77777777" w:rsidR="0015297F" w:rsidRDefault="0015297F" w:rsidP="00954BB5">
      <w:pPr>
        <w:spacing w:line="360" w:lineRule="auto"/>
        <w:jc w:val="both"/>
        <w:rPr>
          <w:rFonts w:ascii="Cambria" w:hAnsi="Cambria" w:cs="Arial"/>
          <w:b/>
        </w:rPr>
      </w:pPr>
    </w:p>
    <w:p w14:paraId="5F4EEED2" w14:textId="4B5D706F" w:rsidR="00954BB5" w:rsidRDefault="00282046" w:rsidP="00954BB5">
      <w:pPr>
        <w:spacing w:line="360" w:lineRule="auto"/>
        <w:jc w:val="both"/>
        <w:rPr>
          <w:rFonts w:ascii="Cambria" w:hAnsi="Cambria" w:cs="Arial"/>
          <w:b/>
        </w:rPr>
      </w:pPr>
      <w:r w:rsidRPr="00A3585F">
        <w:rPr>
          <w:rFonts w:ascii="Cambria" w:hAnsi="Cambria" w:cs="Arial"/>
          <w:b/>
        </w:rPr>
        <w:t xml:space="preserve">Proposal and </w:t>
      </w:r>
      <w:r w:rsidR="00A4716A" w:rsidRPr="00A3585F">
        <w:rPr>
          <w:rFonts w:ascii="Cambria" w:hAnsi="Cambria" w:cs="Arial"/>
          <w:b/>
        </w:rPr>
        <w:t>Purpose</w:t>
      </w:r>
      <w:r w:rsidR="00E2656A" w:rsidRPr="00A3585F">
        <w:rPr>
          <w:rFonts w:ascii="Cambria" w:hAnsi="Cambria" w:cs="Arial"/>
          <w:b/>
        </w:rPr>
        <w:t>:</w:t>
      </w:r>
      <w:r w:rsidR="00653450" w:rsidRPr="00A3585F">
        <w:rPr>
          <w:rFonts w:ascii="Cambria" w:hAnsi="Cambria" w:cs="Arial"/>
          <w:b/>
        </w:rPr>
        <w:t xml:space="preserve"> </w:t>
      </w:r>
      <w:r w:rsidR="00DD28FF" w:rsidRPr="00A3585F">
        <w:rPr>
          <w:rFonts w:ascii="Cambria" w:hAnsi="Cambria" w:cs="Arial"/>
          <w:b/>
        </w:rPr>
        <w:t xml:space="preserve">   </w:t>
      </w:r>
      <w:bookmarkStart w:id="0" w:name="_Toc479102640"/>
      <w:bookmarkStart w:id="1" w:name="_Toc513558762"/>
    </w:p>
    <w:p w14:paraId="5AAF31DB" w14:textId="7961426F" w:rsidR="00B82E5B" w:rsidRPr="00B82E5B" w:rsidRDefault="00B82E5B" w:rsidP="00954BB5">
      <w:pPr>
        <w:spacing w:line="360" w:lineRule="auto"/>
        <w:jc w:val="both"/>
        <w:rPr>
          <w:rFonts w:eastAsia="Times New Roman"/>
          <w:bCs/>
        </w:rPr>
      </w:pPr>
      <w:r w:rsidRPr="00B82E5B">
        <w:rPr>
          <w:rFonts w:eastAsia="Times New Roman"/>
          <w:bCs/>
        </w:rPr>
        <w:t>Renewal/ Extension of contract of campus management with revised requirement for F</w:t>
      </w:r>
      <w:r>
        <w:rPr>
          <w:rFonts w:eastAsia="Times New Roman"/>
          <w:bCs/>
        </w:rPr>
        <w:t>Y</w:t>
      </w:r>
      <w:r w:rsidRPr="00B82E5B">
        <w:rPr>
          <w:rFonts w:eastAsia="Times New Roman"/>
          <w:bCs/>
        </w:rPr>
        <w:t xml:space="preserve"> 2018-19 till 31st March 2019</w:t>
      </w:r>
      <w:r>
        <w:rPr>
          <w:rFonts w:eastAsia="Times New Roman"/>
          <w:bCs/>
        </w:rPr>
        <w:t>.</w:t>
      </w:r>
    </w:p>
    <w:p w14:paraId="375EEA5B" w14:textId="2E08F925" w:rsidR="000E3622" w:rsidRDefault="00B82E5B" w:rsidP="00511BE6">
      <w:pPr>
        <w:spacing w:line="360" w:lineRule="auto"/>
        <w:jc w:val="both"/>
        <w:rPr>
          <w:rFonts w:eastAsia="Times New Roman"/>
          <w:bCs/>
        </w:rPr>
      </w:pPr>
      <w:r>
        <w:rPr>
          <w:rFonts w:eastAsia="Times New Roman"/>
          <w:bCs/>
        </w:rPr>
        <w:t>T</w:t>
      </w:r>
      <w:r w:rsidR="000E3622">
        <w:rPr>
          <w:rFonts w:eastAsia="Times New Roman"/>
          <w:bCs/>
        </w:rPr>
        <w:t xml:space="preserve">o </w:t>
      </w:r>
      <w:r w:rsidR="000E3622" w:rsidRPr="000E3622">
        <w:rPr>
          <w:rFonts w:eastAsia="Times New Roman"/>
          <w:bCs/>
          <w:noProof/>
        </w:rPr>
        <w:t>ensu</w:t>
      </w:r>
      <w:r w:rsidR="000E3622">
        <w:rPr>
          <w:rFonts w:eastAsia="Times New Roman"/>
          <w:bCs/>
          <w:noProof/>
        </w:rPr>
        <w:t>r</w:t>
      </w:r>
      <w:r w:rsidR="000E3622" w:rsidRPr="000E3622">
        <w:rPr>
          <w:rFonts w:eastAsia="Times New Roman"/>
          <w:bCs/>
          <w:noProof/>
        </w:rPr>
        <w:t>e</w:t>
      </w:r>
      <w:r w:rsidR="00511BE6">
        <w:rPr>
          <w:rFonts w:eastAsia="Times New Roman"/>
          <w:bCs/>
        </w:rPr>
        <w:t xml:space="preserve"> </w:t>
      </w:r>
      <w:r>
        <w:rPr>
          <w:rFonts w:eastAsia="Times New Roman"/>
          <w:bCs/>
        </w:rPr>
        <w:t>continuous system support through SDMS</w:t>
      </w:r>
      <w:r w:rsidR="00D812BB">
        <w:rPr>
          <w:rFonts w:eastAsia="Times New Roman"/>
          <w:bCs/>
        </w:rPr>
        <w:t xml:space="preserve"> (SDMS1.0 &amp; SDMS2.0)</w:t>
      </w:r>
      <w:r>
        <w:rPr>
          <w:rFonts w:eastAsia="Times New Roman"/>
          <w:bCs/>
        </w:rPr>
        <w:t xml:space="preserve"> for uninterrupted and smooth business continuity. </w:t>
      </w:r>
    </w:p>
    <w:p w14:paraId="2CED450F" w14:textId="15E5453F" w:rsidR="00B82E5B" w:rsidRPr="00B82E5B" w:rsidRDefault="00B82E5B" w:rsidP="00B82E5B">
      <w:pPr>
        <w:pStyle w:val="ListParagraph"/>
        <w:numPr>
          <w:ilvl w:val="0"/>
          <w:numId w:val="12"/>
        </w:numPr>
        <w:jc w:val="both"/>
        <w:rPr>
          <w:rFonts w:eastAsia="Times New Roman"/>
          <w:b/>
          <w:bCs/>
          <w:u w:val="single"/>
        </w:rPr>
      </w:pPr>
      <w:r w:rsidRPr="00B82E5B">
        <w:rPr>
          <w:rFonts w:eastAsia="Times New Roman"/>
          <w:b/>
          <w:bCs/>
          <w:noProof/>
          <w:u w:val="single"/>
        </w:rPr>
        <w:t xml:space="preserve">Operational </w:t>
      </w:r>
      <w:r>
        <w:rPr>
          <w:rFonts w:eastAsia="Times New Roman"/>
          <w:b/>
          <w:bCs/>
          <w:noProof/>
          <w:u w:val="single"/>
        </w:rPr>
        <w:t>O</w:t>
      </w:r>
      <w:r w:rsidRPr="00B82E5B">
        <w:rPr>
          <w:rFonts w:eastAsia="Times New Roman"/>
          <w:b/>
          <w:bCs/>
          <w:noProof/>
          <w:u w:val="single"/>
        </w:rPr>
        <w:t xml:space="preserve">verlap </w:t>
      </w:r>
    </w:p>
    <w:p w14:paraId="55747B0D" w14:textId="70DB810A" w:rsidR="00B82E5B" w:rsidRDefault="00B82E5B" w:rsidP="00B82E5B">
      <w:pPr>
        <w:pStyle w:val="ListParagraph"/>
        <w:ind w:left="765"/>
        <w:jc w:val="both"/>
        <w:rPr>
          <w:rFonts w:eastAsia="Times New Roman"/>
          <w:bCs/>
        </w:rPr>
      </w:pPr>
      <w:r>
        <w:rPr>
          <w:rFonts w:eastAsia="Times New Roman"/>
          <w:bCs/>
          <w:noProof/>
        </w:rPr>
        <w:t xml:space="preserve">Training lifecycle initiated in current SDMS </w:t>
      </w:r>
      <w:r w:rsidR="00D812BB">
        <w:rPr>
          <w:rFonts w:eastAsia="Times New Roman"/>
          <w:bCs/>
          <w:noProof/>
        </w:rPr>
        <w:t>will</w:t>
      </w:r>
      <w:r>
        <w:rPr>
          <w:rFonts w:eastAsia="Times New Roman"/>
          <w:bCs/>
          <w:noProof/>
        </w:rPr>
        <w:t xml:space="preserve"> be completed in the current system, all the legacy data </w:t>
      </w:r>
      <w:r>
        <w:rPr>
          <w:rFonts w:eastAsia="Times New Roman"/>
          <w:bCs/>
        </w:rPr>
        <w:t xml:space="preserve">will be migrated to </w:t>
      </w:r>
      <w:proofErr w:type="spellStart"/>
      <w:r>
        <w:rPr>
          <w:rFonts w:eastAsia="Times New Roman"/>
          <w:bCs/>
        </w:rPr>
        <w:t>NextGen</w:t>
      </w:r>
      <w:proofErr w:type="spellEnd"/>
      <w:r>
        <w:rPr>
          <w:rFonts w:eastAsia="Times New Roman"/>
          <w:bCs/>
        </w:rPr>
        <w:t xml:space="preserve"> SDMS post go</w:t>
      </w:r>
      <w:r w:rsidR="00C458F4">
        <w:rPr>
          <w:rFonts w:eastAsia="Times New Roman"/>
          <w:bCs/>
        </w:rPr>
        <w:t xml:space="preserve"> </w:t>
      </w:r>
      <w:r>
        <w:rPr>
          <w:rFonts w:eastAsia="Times New Roman"/>
          <w:bCs/>
        </w:rPr>
        <w:t xml:space="preserve">live of the same. </w:t>
      </w:r>
    </w:p>
    <w:p w14:paraId="010FC7E6" w14:textId="77777777" w:rsidR="00B82E5B" w:rsidRDefault="00B82E5B" w:rsidP="00B82E5B">
      <w:pPr>
        <w:pStyle w:val="ListParagraph"/>
        <w:ind w:left="765"/>
        <w:jc w:val="both"/>
        <w:rPr>
          <w:rFonts w:eastAsia="Times New Roman"/>
          <w:bCs/>
        </w:rPr>
      </w:pPr>
    </w:p>
    <w:p w14:paraId="1AF9F349" w14:textId="02D480F9" w:rsidR="00AA6F4F" w:rsidRPr="00C458F4" w:rsidRDefault="000E3622" w:rsidP="00C458F4">
      <w:pPr>
        <w:pStyle w:val="ListParagraph"/>
        <w:numPr>
          <w:ilvl w:val="0"/>
          <w:numId w:val="12"/>
        </w:numPr>
        <w:jc w:val="both"/>
        <w:rPr>
          <w:rFonts w:eastAsia="Times New Roman"/>
          <w:bCs/>
          <w:sz w:val="14"/>
        </w:rPr>
      </w:pPr>
      <w:r w:rsidRPr="00C458F4">
        <w:rPr>
          <w:rFonts w:eastAsia="Times New Roman"/>
          <w:bCs/>
          <w:noProof/>
        </w:rPr>
        <w:t>The NextGen</w:t>
      </w:r>
      <w:r w:rsidRPr="00C458F4">
        <w:rPr>
          <w:rFonts w:eastAsia="Times New Roman"/>
          <w:bCs/>
        </w:rPr>
        <w:t xml:space="preserve"> SDMS as per plan</w:t>
      </w:r>
      <w:r w:rsidR="00D812BB">
        <w:rPr>
          <w:rFonts w:eastAsia="Times New Roman"/>
          <w:bCs/>
        </w:rPr>
        <w:t xml:space="preserve">, </w:t>
      </w:r>
      <w:r w:rsidRPr="00C458F4">
        <w:rPr>
          <w:rFonts w:eastAsia="Times New Roman"/>
          <w:bCs/>
        </w:rPr>
        <w:t>will go live</w:t>
      </w:r>
      <w:r w:rsidR="00D812BB">
        <w:rPr>
          <w:rFonts w:eastAsia="Times New Roman"/>
          <w:bCs/>
        </w:rPr>
        <w:t xml:space="preserve"> for Phase1</w:t>
      </w:r>
      <w:r w:rsidRPr="00C458F4">
        <w:rPr>
          <w:rFonts w:eastAsia="Times New Roman"/>
          <w:bCs/>
        </w:rPr>
        <w:t xml:space="preserve"> in July’ 18</w:t>
      </w:r>
      <w:r w:rsidR="00B82E5B" w:rsidRPr="00C458F4">
        <w:rPr>
          <w:rFonts w:eastAsia="Times New Roman"/>
          <w:bCs/>
        </w:rPr>
        <w:t xml:space="preserve">. Phase one </w:t>
      </w:r>
      <w:r w:rsidR="00C458F4" w:rsidRPr="00C458F4">
        <w:rPr>
          <w:rFonts w:eastAsia="Times New Roman"/>
          <w:bCs/>
        </w:rPr>
        <w:t xml:space="preserve">that </w:t>
      </w:r>
      <w:r w:rsidR="00B82E5B" w:rsidRPr="00C458F4">
        <w:rPr>
          <w:rFonts w:eastAsia="Times New Roman"/>
          <w:bCs/>
        </w:rPr>
        <w:t xml:space="preserve">will cover </w:t>
      </w:r>
      <w:r w:rsidR="00C458F4" w:rsidRPr="00C458F4">
        <w:rPr>
          <w:rFonts w:eastAsia="Times New Roman"/>
          <w:bCs/>
        </w:rPr>
        <w:t>TP &amp; TC lifecycle, QP &amp; NOS, training lifecycle</w:t>
      </w:r>
      <w:r w:rsidRPr="00C458F4">
        <w:rPr>
          <w:rFonts w:eastAsia="Times New Roman"/>
          <w:bCs/>
        </w:rPr>
        <w:t xml:space="preserve"> and Phase2 of </w:t>
      </w:r>
      <w:r w:rsidRPr="00C458F4">
        <w:rPr>
          <w:rFonts w:eastAsia="Times New Roman"/>
          <w:bCs/>
          <w:noProof/>
        </w:rPr>
        <w:t>NextGen</w:t>
      </w:r>
      <w:r w:rsidRPr="00C458F4">
        <w:rPr>
          <w:rFonts w:eastAsia="Times New Roman"/>
          <w:bCs/>
        </w:rPr>
        <w:t xml:space="preserve"> SDMS is </w:t>
      </w:r>
      <w:r w:rsidRPr="00C458F4">
        <w:rPr>
          <w:rFonts w:eastAsia="Times New Roman"/>
          <w:bCs/>
          <w:noProof/>
        </w:rPr>
        <w:t>planned</w:t>
      </w:r>
      <w:r w:rsidRPr="00C458F4">
        <w:rPr>
          <w:rFonts w:eastAsia="Times New Roman"/>
          <w:bCs/>
        </w:rPr>
        <w:t xml:space="preserve"> to go live in October’ 18 </w:t>
      </w:r>
      <w:r w:rsidR="00C458F4" w:rsidRPr="00C458F4">
        <w:rPr>
          <w:rFonts w:eastAsia="Times New Roman"/>
          <w:bCs/>
        </w:rPr>
        <w:t>w</w:t>
      </w:r>
      <w:r w:rsidR="00B82E5B" w:rsidRPr="00C458F4">
        <w:rPr>
          <w:rFonts w:eastAsia="Times New Roman"/>
          <w:bCs/>
        </w:rPr>
        <w:t>hich</w:t>
      </w:r>
      <w:r w:rsidR="00D812BB">
        <w:rPr>
          <w:rFonts w:eastAsia="Times New Roman"/>
          <w:bCs/>
        </w:rPr>
        <w:t xml:space="preserve"> will</w:t>
      </w:r>
      <w:r w:rsidR="00B82E5B" w:rsidRPr="00C458F4">
        <w:rPr>
          <w:rFonts w:eastAsia="Times New Roman"/>
          <w:bCs/>
        </w:rPr>
        <w:t xml:space="preserve"> cover PMKVY-2 scheme</w:t>
      </w:r>
      <w:r w:rsidR="00C458F4" w:rsidRPr="00C458F4">
        <w:rPr>
          <w:rFonts w:eastAsia="Times New Roman"/>
          <w:bCs/>
        </w:rPr>
        <w:t xml:space="preserve"> along with remaining part of phase</w:t>
      </w:r>
      <w:r w:rsidR="00D812BB">
        <w:rPr>
          <w:rFonts w:eastAsia="Times New Roman"/>
          <w:bCs/>
        </w:rPr>
        <w:t>1</w:t>
      </w:r>
      <w:r w:rsidR="00C458F4" w:rsidRPr="00C458F4">
        <w:rPr>
          <w:rFonts w:eastAsia="Times New Roman"/>
          <w:bCs/>
        </w:rPr>
        <w:t xml:space="preserve"> module</w:t>
      </w:r>
      <w:r w:rsidR="00D812BB">
        <w:rPr>
          <w:rFonts w:eastAsia="Times New Roman"/>
          <w:bCs/>
        </w:rPr>
        <w:t>s</w:t>
      </w:r>
      <w:r w:rsidR="00B82E5B" w:rsidRPr="00C458F4">
        <w:rPr>
          <w:rFonts w:eastAsia="Times New Roman"/>
          <w:bCs/>
        </w:rPr>
        <w:t>, post go live both the system</w:t>
      </w:r>
      <w:r w:rsidR="00D812BB">
        <w:rPr>
          <w:rFonts w:eastAsia="Times New Roman"/>
          <w:bCs/>
        </w:rPr>
        <w:t>s</w:t>
      </w:r>
      <w:r w:rsidR="00B82E5B" w:rsidRPr="00C458F4">
        <w:rPr>
          <w:rFonts w:eastAsia="Times New Roman"/>
          <w:bCs/>
        </w:rPr>
        <w:t xml:space="preserve"> to be run parallelly </w:t>
      </w:r>
      <w:r w:rsidR="00C458F4" w:rsidRPr="00C458F4">
        <w:rPr>
          <w:rFonts w:eastAsia="Times New Roman"/>
          <w:bCs/>
        </w:rPr>
        <w:t>for this transition period as e</w:t>
      </w:r>
      <w:r w:rsidR="00B73051" w:rsidRPr="00C458F4">
        <w:rPr>
          <w:rFonts w:eastAsia="Times New Roman"/>
          <w:bCs/>
        </w:rPr>
        <w:t>very newly developed IT system require</w:t>
      </w:r>
      <w:r w:rsidR="00D812BB">
        <w:rPr>
          <w:rFonts w:eastAsia="Times New Roman"/>
          <w:bCs/>
        </w:rPr>
        <w:t>s</w:t>
      </w:r>
      <w:r w:rsidR="00B73051" w:rsidRPr="00C458F4">
        <w:rPr>
          <w:rFonts w:eastAsia="Times New Roman"/>
          <w:bCs/>
        </w:rPr>
        <w:t xml:space="preserve"> </w:t>
      </w:r>
      <w:r w:rsidR="00B73051" w:rsidRPr="00C458F4">
        <w:rPr>
          <w:rFonts w:eastAsia="Times New Roman"/>
          <w:bCs/>
          <w:noProof/>
        </w:rPr>
        <w:t>some time</w:t>
      </w:r>
      <w:r w:rsidR="00B73051" w:rsidRPr="00C458F4">
        <w:rPr>
          <w:rFonts w:eastAsia="Times New Roman"/>
          <w:bCs/>
        </w:rPr>
        <w:t xml:space="preserve"> to stabilize.</w:t>
      </w:r>
      <w:r w:rsidR="00C458F4">
        <w:rPr>
          <w:rFonts w:eastAsia="Times New Roman"/>
          <w:bCs/>
        </w:rPr>
        <w:t xml:space="preserve"> </w:t>
      </w:r>
      <w:r w:rsidR="00B73051" w:rsidRPr="00C458F4">
        <w:rPr>
          <w:rFonts w:eastAsia="Times New Roman"/>
          <w:bCs/>
          <w:noProof/>
        </w:rPr>
        <w:t>Further,</w:t>
      </w:r>
      <w:r w:rsidR="00B73051" w:rsidRPr="00C458F4">
        <w:rPr>
          <w:rFonts w:eastAsia="Times New Roman"/>
          <w:bCs/>
        </w:rPr>
        <w:t xml:space="preserve"> </w:t>
      </w:r>
      <w:r w:rsidR="00C458F4">
        <w:rPr>
          <w:rFonts w:eastAsia="Times New Roman"/>
          <w:bCs/>
        </w:rPr>
        <w:t>a</w:t>
      </w:r>
      <w:r w:rsidR="00B73051" w:rsidRPr="00C458F4">
        <w:rPr>
          <w:rFonts w:eastAsia="Times New Roman"/>
          <w:bCs/>
        </w:rPr>
        <w:t>ll current SDMS stakeholders</w:t>
      </w:r>
      <w:r w:rsidR="00C458F4">
        <w:rPr>
          <w:rFonts w:eastAsia="Times New Roman"/>
          <w:bCs/>
        </w:rPr>
        <w:t xml:space="preserve"> both external and internal</w:t>
      </w:r>
      <w:r w:rsidR="00B73051" w:rsidRPr="00C458F4">
        <w:rPr>
          <w:rFonts w:eastAsia="Times New Roman"/>
          <w:bCs/>
        </w:rPr>
        <w:t xml:space="preserve"> </w:t>
      </w:r>
      <w:r w:rsidR="00B73051" w:rsidRPr="00C458F4">
        <w:rPr>
          <w:rFonts w:eastAsia="Times New Roman"/>
          <w:bCs/>
          <w:noProof/>
        </w:rPr>
        <w:t>need</w:t>
      </w:r>
      <w:r w:rsidR="00B73051" w:rsidRPr="00C458F4">
        <w:rPr>
          <w:rFonts w:eastAsia="Times New Roman"/>
          <w:bCs/>
        </w:rPr>
        <w:t xml:space="preserve"> to</w:t>
      </w:r>
      <w:r w:rsidR="00D812BB">
        <w:rPr>
          <w:rFonts w:eastAsia="Times New Roman"/>
          <w:bCs/>
        </w:rPr>
        <w:t xml:space="preserve"> be</w:t>
      </w:r>
      <w:r w:rsidR="00B73051" w:rsidRPr="00C458F4">
        <w:rPr>
          <w:rFonts w:eastAsia="Times New Roman"/>
          <w:bCs/>
        </w:rPr>
        <w:t xml:space="preserve"> </w:t>
      </w:r>
      <w:r w:rsidR="00B73051" w:rsidRPr="00C458F4">
        <w:rPr>
          <w:rFonts w:eastAsia="Times New Roman"/>
          <w:bCs/>
          <w:noProof/>
        </w:rPr>
        <w:t>train</w:t>
      </w:r>
      <w:r w:rsidR="00AA6F4F" w:rsidRPr="00C458F4">
        <w:rPr>
          <w:rFonts w:eastAsia="Times New Roman"/>
          <w:bCs/>
          <w:noProof/>
        </w:rPr>
        <w:t>ed and acclimatize</w:t>
      </w:r>
      <w:r w:rsidR="00D812BB">
        <w:rPr>
          <w:rFonts w:eastAsia="Times New Roman"/>
          <w:bCs/>
          <w:noProof/>
        </w:rPr>
        <w:t>d</w:t>
      </w:r>
      <w:r w:rsidR="00B73051" w:rsidRPr="00C458F4">
        <w:rPr>
          <w:rFonts w:eastAsia="Times New Roman"/>
          <w:bCs/>
        </w:rPr>
        <w:t xml:space="preserve"> on Nextgen SDMS </w:t>
      </w:r>
      <w:r w:rsidR="00C458F4">
        <w:rPr>
          <w:rFonts w:eastAsia="Times New Roman"/>
          <w:bCs/>
        </w:rPr>
        <w:t>during this transition period which will take at least 3 to 4 months</w:t>
      </w:r>
      <w:r w:rsidR="00D812BB">
        <w:rPr>
          <w:rFonts w:eastAsia="Times New Roman"/>
          <w:bCs/>
        </w:rPr>
        <w:t>,</w:t>
      </w:r>
      <w:r w:rsidR="00C458F4">
        <w:rPr>
          <w:rFonts w:eastAsia="Times New Roman"/>
          <w:bCs/>
        </w:rPr>
        <w:t xml:space="preserve"> considering the current volume and diversity in user</w:t>
      </w:r>
      <w:r w:rsidR="00D812BB">
        <w:rPr>
          <w:rFonts w:eastAsia="Times New Roman"/>
          <w:bCs/>
        </w:rPr>
        <w:t>s</w:t>
      </w:r>
      <w:r w:rsidR="00C458F4">
        <w:rPr>
          <w:rFonts w:eastAsia="Times New Roman"/>
          <w:bCs/>
        </w:rPr>
        <w:t xml:space="preserve"> and stakeholders. </w:t>
      </w:r>
    </w:p>
    <w:p w14:paraId="2E5D5E6A" w14:textId="3B586E59" w:rsidR="003D65C7" w:rsidRDefault="003D65C7" w:rsidP="00954BB5">
      <w:pPr>
        <w:spacing w:line="360" w:lineRule="auto"/>
        <w:jc w:val="both"/>
        <w:rPr>
          <w:rFonts w:eastAsia="Times New Roman"/>
          <w:bCs/>
        </w:rPr>
      </w:pPr>
    </w:p>
    <w:p w14:paraId="4A8E1A1B" w14:textId="27AEDEF0" w:rsidR="00242F46" w:rsidRPr="00242F46" w:rsidRDefault="00242F46" w:rsidP="00954BB5">
      <w:pPr>
        <w:spacing w:line="360" w:lineRule="auto"/>
        <w:jc w:val="both"/>
        <w:rPr>
          <w:rFonts w:eastAsia="Times New Roman"/>
          <w:b/>
          <w:bCs/>
          <w:u w:val="single"/>
        </w:rPr>
      </w:pPr>
      <w:r w:rsidRPr="00242F46">
        <w:rPr>
          <w:rFonts w:eastAsia="Times New Roman"/>
          <w:b/>
          <w:bCs/>
          <w:u w:val="single"/>
        </w:rPr>
        <w:t>Scope of Work</w:t>
      </w:r>
    </w:p>
    <w:p w14:paraId="5379A6F2" w14:textId="77777777" w:rsidR="00954BB5" w:rsidRPr="00ED1B93" w:rsidRDefault="00954BB5" w:rsidP="00954BB5">
      <w:pPr>
        <w:spacing w:line="360" w:lineRule="auto"/>
        <w:jc w:val="both"/>
        <w:rPr>
          <w:rFonts w:ascii="Cambria" w:hAnsi="Cambria" w:cs="Arial"/>
        </w:rPr>
      </w:pPr>
      <w:r w:rsidRPr="00ED1B93">
        <w:rPr>
          <w:rFonts w:eastAsia="Times New Roman"/>
          <w:bCs/>
        </w:rPr>
        <w:t>The scope of this work order included the following:</w:t>
      </w:r>
      <w:bookmarkEnd w:id="0"/>
      <w:bookmarkEnd w:id="1"/>
    </w:p>
    <w:p w14:paraId="09EE102F" w14:textId="7D067E55" w:rsidR="00954BB5" w:rsidRPr="00ED1B93" w:rsidRDefault="00954BB5" w:rsidP="00ED1B93">
      <w:pPr>
        <w:pStyle w:val="NoSpacing"/>
        <w:numPr>
          <w:ilvl w:val="0"/>
          <w:numId w:val="7"/>
        </w:numPr>
      </w:pPr>
      <w:r>
        <w:t>Infrastructure Hosting and Services</w:t>
      </w:r>
    </w:p>
    <w:p w14:paraId="0CEFA157" w14:textId="4D9C3421" w:rsidR="00954BB5" w:rsidRPr="00ED1B93" w:rsidRDefault="00954BB5" w:rsidP="00ED1B93">
      <w:pPr>
        <w:pStyle w:val="NoSpacing"/>
        <w:numPr>
          <w:ilvl w:val="0"/>
          <w:numId w:val="7"/>
        </w:numPr>
      </w:pPr>
      <w:r>
        <w:t>Licenses Renewals and A</w:t>
      </w:r>
      <w:r w:rsidR="00ED1B93">
        <w:t xml:space="preserve">nnual </w:t>
      </w:r>
      <w:r>
        <w:t>M</w:t>
      </w:r>
      <w:r w:rsidR="00ED1B93">
        <w:t xml:space="preserve">aintenance </w:t>
      </w:r>
      <w:r>
        <w:t>C</w:t>
      </w:r>
      <w:r w:rsidR="00ED1B93">
        <w:t>ontract (AMC)</w:t>
      </w:r>
    </w:p>
    <w:p w14:paraId="600D5077" w14:textId="77777777" w:rsidR="00954BB5" w:rsidRDefault="00954BB5" w:rsidP="00ED1B93">
      <w:pPr>
        <w:pStyle w:val="NoSpacing"/>
        <w:numPr>
          <w:ilvl w:val="0"/>
          <w:numId w:val="7"/>
        </w:numPr>
      </w:pPr>
      <w:r>
        <w:t>Managed Services Support scope</w:t>
      </w:r>
    </w:p>
    <w:p w14:paraId="79D4CAA9" w14:textId="77777777" w:rsidR="00954BB5" w:rsidRDefault="00954BB5" w:rsidP="00ED1B93">
      <w:pPr>
        <w:pStyle w:val="NoSpacing"/>
        <w:numPr>
          <w:ilvl w:val="0"/>
          <w:numId w:val="7"/>
        </w:numPr>
      </w:pPr>
      <w:r>
        <w:t>Enhancement Scope</w:t>
      </w:r>
    </w:p>
    <w:p w14:paraId="2DA090E5" w14:textId="77777777" w:rsidR="0081651B" w:rsidRDefault="0081651B" w:rsidP="005A3B3E">
      <w:pPr>
        <w:spacing w:line="360" w:lineRule="auto"/>
        <w:jc w:val="both"/>
        <w:rPr>
          <w:rFonts w:ascii="Cambria" w:hAnsi="Cambria" w:cs="Arial"/>
          <w:b/>
        </w:rPr>
      </w:pPr>
    </w:p>
    <w:p w14:paraId="27ABF97F" w14:textId="0B8F4FA3" w:rsidR="0015297F" w:rsidRDefault="0015297F" w:rsidP="005A3B3E">
      <w:pPr>
        <w:spacing w:line="360" w:lineRule="auto"/>
        <w:jc w:val="both"/>
        <w:rPr>
          <w:rFonts w:ascii="Cambria" w:hAnsi="Cambria" w:cs="Arial"/>
          <w:b/>
        </w:rPr>
      </w:pPr>
      <w:r w:rsidRPr="00FD79F0">
        <w:rPr>
          <w:noProof/>
        </w:rPr>
        <w:lastRenderedPageBreak/>
        <w:drawing>
          <wp:inline distT="0" distB="0" distL="0" distR="0" wp14:anchorId="13EED32B" wp14:editId="4C27DFE1">
            <wp:extent cx="3695700" cy="146673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944" cy="1469606"/>
                    </a:xfrm>
                    <a:prstGeom prst="rect">
                      <a:avLst/>
                    </a:prstGeom>
                    <a:noFill/>
                    <a:ln>
                      <a:noFill/>
                    </a:ln>
                  </pic:spPr>
                </pic:pic>
              </a:graphicData>
            </a:graphic>
          </wp:inline>
        </w:drawing>
      </w:r>
    </w:p>
    <w:p w14:paraId="03E375F0" w14:textId="77777777" w:rsidR="0081651B" w:rsidRDefault="0081651B" w:rsidP="005A3B3E">
      <w:pPr>
        <w:spacing w:line="360" w:lineRule="auto"/>
        <w:jc w:val="both"/>
        <w:rPr>
          <w:rFonts w:ascii="Cambria" w:hAnsi="Cambria" w:cs="Arial"/>
          <w:b/>
        </w:rPr>
      </w:pPr>
    </w:p>
    <w:p w14:paraId="74B6F797" w14:textId="77777777" w:rsidR="001D27E4" w:rsidRPr="00A3585F" w:rsidRDefault="00282046" w:rsidP="005A3B3E">
      <w:pPr>
        <w:spacing w:line="360" w:lineRule="auto"/>
        <w:jc w:val="both"/>
        <w:rPr>
          <w:rFonts w:ascii="Cambria" w:hAnsi="Cambria" w:cs="Arial"/>
          <w:b/>
        </w:rPr>
      </w:pPr>
      <w:r w:rsidRPr="00A3585F">
        <w:rPr>
          <w:rFonts w:ascii="Cambria" w:hAnsi="Cambria" w:cs="Arial"/>
          <w:b/>
        </w:rPr>
        <w:t>Other Information:</w:t>
      </w:r>
      <w:r w:rsidR="00C71957" w:rsidRPr="00A3585F">
        <w:rPr>
          <w:rFonts w:ascii="Cambria" w:hAnsi="Cambria" w:cs="Arial"/>
          <w:b/>
        </w:rPr>
        <w:t xml:space="preserve"> </w:t>
      </w:r>
    </w:p>
    <w:p w14:paraId="71B8C919" w14:textId="5E624764" w:rsidR="00AC3F29" w:rsidRDefault="00AC3F29" w:rsidP="00AC3F29">
      <w:pPr>
        <w:shd w:val="clear" w:color="auto" w:fill="FFFFFF"/>
      </w:pPr>
      <w:r w:rsidRPr="00AC3F29">
        <w:t>Following are the major difference between the 2017-18 and 2018-19 contract agreement:</w:t>
      </w:r>
    </w:p>
    <w:p w14:paraId="6C74B7EE" w14:textId="6C35214B" w:rsidR="002E4CB5" w:rsidRPr="002E4CB5" w:rsidRDefault="002E4CB5" w:rsidP="002E4CB5">
      <w:pPr>
        <w:pStyle w:val="ListParagraph"/>
        <w:numPr>
          <w:ilvl w:val="0"/>
          <w:numId w:val="8"/>
        </w:numPr>
        <w:jc w:val="both"/>
        <w:rPr>
          <w:rFonts w:ascii="Cambria" w:hAnsi="Cambria" w:cs="Arial"/>
          <w:b/>
        </w:rPr>
      </w:pPr>
      <w:r w:rsidRPr="002E4CB5">
        <w:rPr>
          <w:rFonts w:ascii="Cambria" w:hAnsi="Cambria" w:cs="Arial"/>
        </w:rPr>
        <w:t>The costing for the PMKVY 2.0 &amp; Non-PMKVY Scheme Enhancements and continuous developments</w:t>
      </w:r>
      <w:r>
        <w:rPr>
          <w:rFonts w:ascii="Cambria" w:hAnsi="Cambria" w:cs="Arial"/>
        </w:rPr>
        <w:t xml:space="preserve"> resources</w:t>
      </w:r>
      <w:r w:rsidRPr="002E4CB5">
        <w:rPr>
          <w:rFonts w:ascii="Cambria" w:hAnsi="Cambria" w:cs="Arial"/>
        </w:rPr>
        <w:t xml:space="preserve"> is based on the old rate, NSDC will conduct performance review after three months of curren</w:t>
      </w:r>
      <w:r w:rsidR="00D812BB">
        <w:rPr>
          <w:rFonts w:ascii="Cambria" w:hAnsi="Cambria" w:cs="Arial"/>
        </w:rPr>
        <w:t>t</w:t>
      </w:r>
      <w:r w:rsidRPr="002E4CB5">
        <w:rPr>
          <w:rFonts w:ascii="Cambria" w:hAnsi="Cambria" w:cs="Arial"/>
        </w:rPr>
        <w:t xml:space="preserve"> services</w:t>
      </w:r>
      <w:r w:rsidRPr="002E4CB5">
        <w:t>, if found satisfactory, the incremental</w:t>
      </w:r>
      <w:r w:rsidR="00D812BB">
        <w:t xml:space="preserve"> monthly</w:t>
      </w:r>
      <w:r w:rsidRPr="002E4CB5">
        <w:t xml:space="preserve"> cost of </w:t>
      </w:r>
      <w:r w:rsidRPr="002E4CB5">
        <w:rPr>
          <w:rFonts w:eastAsia="Times New Roman"/>
          <w:b/>
          <w:bCs/>
          <w:color w:val="000000"/>
        </w:rPr>
        <w:t xml:space="preserve">₹ </w:t>
      </w:r>
      <w:r w:rsidRPr="002E4CB5">
        <w:t>19,425 for each of the resources will apply with effect from 01-Apr-2018. In such case overall costing will change accordingly.</w:t>
      </w:r>
    </w:p>
    <w:p w14:paraId="1F3A95EF" w14:textId="3242883D" w:rsidR="008753A8" w:rsidRDefault="008753A8" w:rsidP="008753A8">
      <w:pPr>
        <w:numPr>
          <w:ilvl w:val="0"/>
          <w:numId w:val="8"/>
        </w:numPr>
        <w:shd w:val="clear" w:color="auto" w:fill="FFFFFF"/>
      </w:pPr>
      <w:r w:rsidRPr="00AC3F29">
        <w:t xml:space="preserve">NSDC reserves the right to remove/replace any resource with </w:t>
      </w:r>
      <w:r w:rsidR="002E4CB5" w:rsidRPr="00AC3F29">
        <w:t>two-month</w:t>
      </w:r>
      <w:r w:rsidRPr="00AC3F29">
        <w:t xml:space="preserve"> notice period</w:t>
      </w:r>
      <w:r>
        <w:t xml:space="preserve"> considering the </w:t>
      </w:r>
      <w:proofErr w:type="spellStart"/>
      <w:r>
        <w:t>NextGen</w:t>
      </w:r>
      <w:proofErr w:type="spellEnd"/>
      <w:r>
        <w:t xml:space="preserve"> SDMS coming up this year.</w:t>
      </w:r>
    </w:p>
    <w:p w14:paraId="04848B9B" w14:textId="6BEC64B1" w:rsidR="008753A8" w:rsidRPr="002E4CB5" w:rsidRDefault="008753A8" w:rsidP="008753A8">
      <w:pPr>
        <w:numPr>
          <w:ilvl w:val="0"/>
          <w:numId w:val="8"/>
        </w:numPr>
        <w:shd w:val="clear" w:color="auto" w:fill="FFFFFF"/>
      </w:pPr>
      <w:r w:rsidRPr="002E4CB5">
        <w:t>Actual cost will be as per the actual usage of resources/ infrastructure</w:t>
      </w:r>
    </w:p>
    <w:p w14:paraId="5907B2FA" w14:textId="77777777" w:rsidR="00AC3F29" w:rsidRPr="002E4CB5" w:rsidRDefault="00AC3F29" w:rsidP="00AC3F29">
      <w:pPr>
        <w:numPr>
          <w:ilvl w:val="0"/>
          <w:numId w:val="8"/>
        </w:numPr>
        <w:shd w:val="clear" w:color="auto" w:fill="FFFFFF"/>
      </w:pPr>
      <w:r w:rsidRPr="002E4CB5">
        <w:t>Risk &amp; reward system against the Service Level Agreement (SLA), for penalizing and motivating the Campus team for SDMS enhancement/new development.</w:t>
      </w:r>
    </w:p>
    <w:p w14:paraId="1769F412" w14:textId="54817322" w:rsidR="00AC3F29" w:rsidRPr="00AC3F29" w:rsidRDefault="00AC3F29" w:rsidP="00AC3F29">
      <w:pPr>
        <w:numPr>
          <w:ilvl w:val="0"/>
          <w:numId w:val="8"/>
        </w:numPr>
        <w:shd w:val="clear" w:color="auto" w:fill="FFFFFF"/>
      </w:pPr>
      <w:r w:rsidRPr="002E4CB5">
        <w:t>Campus Management will maintain a development team on</w:t>
      </w:r>
      <w:r w:rsidRPr="00AC3F29">
        <w:t xml:space="preserve"> hybrid model (Mix of Time and Material &amp; fixed price) basis to handle all SDMS developments</w:t>
      </w:r>
      <w:r w:rsidR="004D6543">
        <w:t>.</w:t>
      </w:r>
    </w:p>
    <w:p w14:paraId="56C50272" w14:textId="224BBA33" w:rsidR="00AC3F29" w:rsidRPr="00AC3F29" w:rsidRDefault="00AC3F29" w:rsidP="00AC3F29">
      <w:pPr>
        <w:numPr>
          <w:ilvl w:val="0"/>
          <w:numId w:val="8"/>
        </w:numPr>
        <w:shd w:val="clear" w:color="auto" w:fill="FFFFFF"/>
      </w:pPr>
      <w:r w:rsidRPr="00AC3F29">
        <w:t>Post requirement gathering, Campus will provide FRS to NSDC with notional efforts estimate &amp; detailed resource deployment plan</w:t>
      </w:r>
      <w:r w:rsidR="00D812BB">
        <w:t xml:space="preserve"> indicating breakup of Time &amp; Money and Fixed Price component of the estimate</w:t>
      </w:r>
      <w:r w:rsidRPr="00AC3F29">
        <w:t xml:space="preserve"> (i.e. Gant chart &amp; No of days for Code Drop) for development &amp; testing</w:t>
      </w:r>
    </w:p>
    <w:p w14:paraId="2FCEB191" w14:textId="5F976772" w:rsidR="00E9705E" w:rsidRPr="00AC3F29" w:rsidRDefault="00E9705E" w:rsidP="00AC3F29">
      <w:pPr>
        <w:numPr>
          <w:ilvl w:val="0"/>
          <w:numId w:val="8"/>
        </w:numPr>
        <w:shd w:val="clear" w:color="auto" w:fill="FFFFFF"/>
      </w:pPr>
      <w:r>
        <w:t xml:space="preserve">The total cost of application enhancement/development mentioned in the attached work order may increase as per the business requirement. </w:t>
      </w:r>
    </w:p>
    <w:p w14:paraId="43441FC5" w14:textId="58474D5E" w:rsidR="00AC3F29" w:rsidRDefault="00AC3F29" w:rsidP="005B3A66">
      <w:pPr>
        <w:numPr>
          <w:ilvl w:val="0"/>
          <w:numId w:val="8"/>
        </w:numPr>
        <w:shd w:val="clear" w:color="auto" w:fill="FFFFFF"/>
      </w:pPr>
      <w:r w:rsidRPr="00AC3F29">
        <w:t>Campus proposed to carry out new development with Agile met</w:t>
      </w:r>
      <w:r w:rsidR="004D6543">
        <w:t>hodology</w:t>
      </w:r>
      <w:r w:rsidR="00E9705E">
        <w:t>.</w:t>
      </w:r>
    </w:p>
    <w:p w14:paraId="3FDC373E" w14:textId="3F2DD69F" w:rsidR="006D07DF" w:rsidRPr="008753A8" w:rsidRDefault="006D07DF" w:rsidP="008753A8">
      <w:pPr>
        <w:shd w:val="clear" w:color="auto" w:fill="FFFFFF"/>
        <w:ind w:left="360"/>
        <w:rPr>
          <w:highlight w:val="yellow"/>
        </w:rPr>
      </w:pPr>
    </w:p>
    <w:p w14:paraId="40AA6B7A" w14:textId="77777777" w:rsidR="00E2656A" w:rsidRPr="00A3585F" w:rsidRDefault="00E2656A" w:rsidP="00952C7F">
      <w:pPr>
        <w:spacing w:line="360" w:lineRule="auto"/>
        <w:ind w:left="180" w:firstLine="60"/>
        <w:jc w:val="both"/>
        <w:rPr>
          <w:rFonts w:ascii="Cambria" w:hAnsi="Cambria" w:cs="Arial"/>
          <w:b/>
        </w:rPr>
      </w:pPr>
    </w:p>
    <w:p w14:paraId="64E9FDC9" w14:textId="242A191F" w:rsidR="00531835" w:rsidRPr="00A3585F" w:rsidRDefault="00531835" w:rsidP="005A3B3E">
      <w:pPr>
        <w:spacing w:line="360" w:lineRule="auto"/>
        <w:jc w:val="both"/>
        <w:rPr>
          <w:rStyle w:val="Emphasis"/>
          <w:rFonts w:ascii="Cambria" w:hAnsi="Cambria" w:cs="Arial"/>
          <w:b/>
          <w:i w:val="0"/>
          <w:iCs w:val="0"/>
        </w:rPr>
      </w:pPr>
      <w:r w:rsidRPr="00A3585F">
        <w:rPr>
          <w:rStyle w:val="Emphasis"/>
          <w:rFonts w:ascii="Cambria" w:hAnsi="Cambria" w:cs="Arial"/>
          <w:b/>
          <w:i w:val="0"/>
        </w:rPr>
        <w:t xml:space="preserve">Request to the Board: </w:t>
      </w:r>
    </w:p>
    <w:p w14:paraId="2C1E2279" w14:textId="2B70042A" w:rsidR="0015297F" w:rsidRPr="0015297F" w:rsidRDefault="0015297F" w:rsidP="0015297F">
      <w:pPr>
        <w:spacing w:line="276" w:lineRule="auto"/>
        <w:jc w:val="both"/>
      </w:pPr>
      <w:r w:rsidRPr="0015297F">
        <w:t>It is proposed that a contract extension of one year is given to Campus Management so that NSDC and its TPs, TCs, SSCs, Assessment Agencies and Assessors continue using the enhanced</w:t>
      </w:r>
      <w:r w:rsidR="00D812BB">
        <w:t xml:space="preserve"> SDMS 1.0 &amp;</w:t>
      </w:r>
      <w:r w:rsidR="00CC1D42">
        <w:t>;</w:t>
      </w:r>
      <w:bookmarkStart w:id="2" w:name="_GoBack"/>
      <w:bookmarkEnd w:id="2"/>
      <w:r w:rsidRPr="0015297F">
        <w:t xml:space="preserve"> SDMS 2.0 for operations in FY 201</w:t>
      </w:r>
      <w:r>
        <w:t>8-19</w:t>
      </w:r>
      <w:r w:rsidRPr="0015297F">
        <w:t>. The Board is requested to approve their extension till 31st</w:t>
      </w:r>
      <w:r>
        <w:t xml:space="preserve"> March 2019</w:t>
      </w:r>
      <w:r w:rsidRPr="0015297F">
        <w:t xml:space="preserve"> and sanction an expenditure of INR </w:t>
      </w:r>
      <w:r>
        <w:t>12.07</w:t>
      </w:r>
      <w:r w:rsidRPr="0015297F">
        <w:t xml:space="preserve"> crore for SDMS related requirements of NSDC. </w:t>
      </w:r>
    </w:p>
    <w:p w14:paraId="1CA11DFD" w14:textId="795FD3F4" w:rsidR="00347735" w:rsidRDefault="00347735">
      <w:pPr>
        <w:spacing w:after="160" w:line="259" w:lineRule="auto"/>
        <w:rPr>
          <w:rFonts w:ascii="Cambria" w:hAnsi="Cambria" w:cs="Arial"/>
          <w:b/>
        </w:rPr>
      </w:pPr>
      <w:r>
        <w:rPr>
          <w:rFonts w:ascii="Cambria" w:hAnsi="Cambria" w:cs="Arial"/>
          <w:b/>
        </w:rPr>
        <w:br w:type="page"/>
      </w:r>
    </w:p>
    <w:p w14:paraId="6C533CB6" w14:textId="678A7C83" w:rsidR="00347735" w:rsidRDefault="00347735" w:rsidP="00347735">
      <w:pPr>
        <w:spacing w:after="160" w:line="259" w:lineRule="auto"/>
        <w:jc w:val="center"/>
        <w:rPr>
          <w:rFonts w:ascii="Cambria" w:hAnsi="Cambria" w:cs="Arial"/>
          <w:b/>
          <w:sz w:val="28"/>
          <w:u w:val="single"/>
        </w:rPr>
      </w:pPr>
      <w:r w:rsidRPr="00347735">
        <w:rPr>
          <w:rFonts w:ascii="Cambria" w:hAnsi="Cambria" w:cs="Arial"/>
          <w:b/>
          <w:sz w:val="28"/>
          <w:u w:val="single"/>
        </w:rPr>
        <w:lastRenderedPageBreak/>
        <w:t>Annexure I</w:t>
      </w:r>
    </w:p>
    <w:p w14:paraId="46D7A2C8" w14:textId="36278978" w:rsidR="00347735" w:rsidRPr="003D65C7" w:rsidRDefault="003D65C7" w:rsidP="003D65C7">
      <w:pPr>
        <w:spacing w:after="160" w:line="259" w:lineRule="auto"/>
        <w:rPr>
          <w:rFonts w:ascii="Cambria" w:hAnsi="Cambria" w:cs="Arial"/>
          <w:b/>
          <w:sz w:val="24"/>
          <w:u w:val="single"/>
        </w:rPr>
      </w:pPr>
      <w:r w:rsidRPr="003D65C7">
        <w:rPr>
          <w:rFonts w:ascii="Cambria" w:hAnsi="Cambria" w:cs="Arial"/>
          <w:b/>
          <w:sz w:val="24"/>
          <w:u w:val="single"/>
        </w:rPr>
        <w:t>Details of the Proposal</w:t>
      </w:r>
    </w:p>
    <w:p w14:paraId="05E93DD3" w14:textId="77777777" w:rsidR="00347735" w:rsidRDefault="00347735" w:rsidP="00347735">
      <w:pPr>
        <w:spacing w:line="360" w:lineRule="auto"/>
        <w:jc w:val="both"/>
        <w:rPr>
          <w:rFonts w:ascii="Cambria" w:hAnsi="Cambria" w:cs="Arial"/>
          <w:b/>
        </w:rPr>
      </w:pPr>
      <w:r>
        <w:rPr>
          <w:rFonts w:ascii="Cambria" w:hAnsi="Cambria" w:cs="Arial"/>
          <w:b/>
        </w:rPr>
        <w:t>Infrastructure Hosting &amp; Services</w:t>
      </w:r>
    </w:p>
    <w:p w14:paraId="5FF57BE0" w14:textId="77777777" w:rsidR="00347735" w:rsidRDefault="00347735" w:rsidP="00347735">
      <w:pPr>
        <w:pStyle w:val="NoSpacing"/>
        <w:jc w:val="both"/>
      </w:pPr>
      <w:r>
        <w:t>Campus Management will invest on the infrastructure provisioned for PMKVY 1.0, 2.0 and older schemes (NONPMKVY) till March 2019. Campus Management will charge NSDC for PMKVY 1.0 and older schemes (NONPMKVY) infrastructure till March 2019. For PMVKY 2016-20, the solution architecture will continue to remain the same.</w:t>
      </w:r>
    </w:p>
    <w:p w14:paraId="679E315D" w14:textId="77777777" w:rsidR="00347735" w:rsidRPr="00E9705E" w:rsidRDefault="00347735" w:rsidP="00347735">
      <w:pPr>
        <w:pStyle w:val="NoSpacing"/>
        <w:jc w:val="both"/>
      </w:pPr>
      <w:r w:rsidRPr="00E9705E">
        <w:t xml:space="preserve">IT Infrastructure for PMKVY projects are hosted by Campus Management International, in a secure and world class datacentre in Hyderabad provided by </w:t>
      </w:r>
      <w:proofErr w:type="spellStart"/>
      <w:r w:rsidRPr="00E9705E">
        <w:t>CtrlS</w:t>
      </w:r>
      <w:proofErr w:type="spellEnd"/>
      <w:r w:rsidRPr="00E9705E">
        <w:t xml:space="preserve"> Datacentres Ltd. Campus Management has been successfully delivering over 99.7% availability during the contract period. The provisioning is highly elastic and can be increased based on the demand.</w:t>
      </w:r>
    </w:p>
    <w:p w14:paraId="3AD8B9B1" w14:textId="77777777" w:rsidR="00347735" w:rsidRPr="00E9705E" w:rsidRDefault="00347735" w:rsidP="00347735">
      <w:pPr>
        <w:pStyle w:val="NoSpacing"/>
        <w:jc w:val="both"/>
      </w:pPr>
      <w:r w:rsidRPr="00E9705E">
        <w:t xml:space="preserve">The servers are co-located at </w:t>
      </w:r>
      <w:proofErr w:type="spellStart"/>
      <w:r w:rsidRPr="00E9705E">
        <w:t>CtrlS</w:t>
      </w:r>
      <w:proofErr w:type="spellEnd"/>
      <w:r w:rsidRPr="00E9705E">
        <w:t xml:space="preserve"> </w:t>
      </w:r>
      <w:proofErr w:type="spellStart"/>
      <w:r w:rsidRPr="00E9705E">
        <w:t>Datacenter</w:t>
      </w:r>
      <w:proofErr w:type="spellEnd"/>
      <w:r w:rsidRPr="00E9705E">
        <w:t xml:space="preserve"> Ltd in Hyderabad and Mumbai. Production infrastructure is hosted in </w:t>
      </w:r>
      <w:proofErr w:type="spellStart"/>
      <w:r w:rsidRPr="00E9705E">
        <w:t>CtrlS</w:t>
      </w:r>
      <w:proofErr w:type="spellEnd"/>
      <w:r w:rsidRPr="00E9705E">
        <w:t xml:space="preserve"> Hyderabad Data Centre and DR Servers are hosted in </w:t>
      </w:r>
      <w:proofErr w:type="spellStart"/>
      <w:r w:rsidRPr="00E9705E">
        <w:t>CtrlS</w:t>
      </w:r>
      <w:proofErr w:type="spellEnd"/>
      <w:r w:rsidRPr="00E9705E">
        <w:t xml:space="preserve"> Mumbai Data Centre.</w:t>
      </w:r>
    </w:p>
    <w:p w14:paraId="27588D46" w14:textId="77777777" w:rsidR="00347735" w:rsidRDefault="00347735" w:rsidP="00347735">
      <w:pPr>
        <w:pStyle w:val="NoSpacing"/>
        <w:jc w:val="both"/>
      </w:pPr>
    </w:p>
    <w:p w14:paraId="0B308555" w14:textId="77777777" w:rsidR="00347735" w:rsidRDefault="00347735" w:rsidP="00347735">
      <w:pPr>
        <w:pStyle w:val="NoSpacing"/>
        <w:jc w:val="both"/>
      </w:pPr>
      <w:r w:rsidRPr="00E9705E">
        <w:rPr>
          <w:b/>
        </w:rPr>
        <w:t>Note:</w:t>
      </w:r>
      <w:r>
        <w:t xml:space="preserve"> It is proposed to migrate the data from </w:t>
      </w:r>
      <w:proofErr w:type="spellStart"/>
      <w:r>
        <w:t>CtrlS</w:t>
      </w:r>
      <w:proofErr w:type="spellEnd"/>
      <w:r>
        <w:t xml:space="preserve"> server to cloud for optimal utilization and reducing the cost of hosting the application.</w:t>
      </w:r>
    </w:p>
    <w:p w14:paraId="5F77CB9E" w14:textId="77777777" w:rsidR="00347735" w:rsidRDefault="00347735" w:rsidP="00347735">
      <w:pPr>
        <w:pStyle w:val="NoSpacing"/>
        <w:jc w:val="both"/>
      </w:pPr>
    </w:p>
    <w:p w14:paraId="11CB6004" w14:textId="77777777" w:rsidR="00347735" w:rsidRPr="0015297F" w:rsidRDefault="00347735" w:rsidP="00347735">
      <w:pPr>
        <w:pStyle w:val="NoSpacing"/>
        <w:jc w:val="both"/>
        <w:rPr>
          <w:b/>
        </w:rPr>
      </w:pPr>
      <w:r w:rsidRPr="0015297F">
        <w:rPr>
          <w:b/>
        </w:rPr>
        <w:t>Managed Services</w:t>
      </w:r>
    </w:p>
    <w:p w14:paraId="422F3758" w14:textId="77777777" w:rsidR="00347735" w:rsidRDefault="00347735" w:rsidP="00347735">
      <w:pPr>
        <w:pStyle w:val="NoSpacing"/>
        <w:jc w:val="both"/>
      </w:pPr>
    </w:p>
    <w:p w14:paraId="286B0629" w14:textId="77777777" w:rsidR="00347735" w:rsidRDefault="00347735" w:rsidP="00347735">
      <w:pPr>
        <w:rPr>
          <w:rFonts w:asciiTheme="minorHAnsi" w:hAnsiTheme="minorHAnsi" w:cstheme="minorHAnsi"/>
        </w:rPr>
      </w:pPr>
      <w:r w:rsidRPr="001B611F">
        <w:rPr>
          <w:rFonts w:asciiTheme="minorHAnsi" w:hAnsiTheme="minorHAnsi" w:cstheme="minorHAnsi"/>
        </w:rPr>
        <w:t xml:space="preserve">In continuation to the Support Services provided </w:t>
      </w:r>
      <w:r>
        <w:rPr>
          <w:rFonts w:asciiTheme="minorHAnsi" w:hAnsiTheme="minorHAnsi" w:cstheme="minorHAnsi"/>
        </w:rPr>
        <w:t>by Campus</w:t>
      </w:r>
      <w:r w:rsidRPr="001B611F">
        <w:rPr>
          <w:rFonts w:asciiTheme="minorHAnsi" w:hAnsiTheme="minorHAnsi" w:cstheme="minorHAnsi"/>
        </w:rPr>
        <w:t xml:space="preserve"> for all schemes supported by SDMS, following is the renewal scope for 201</w:t>
      </w:r>
      <w:r>
        <w:rPr>
          <w:rFonts w:asciiTheme="minorHAnsi" w:hAnsiTheme="minorHAnsi" w:cstheme="minorHAnsi"/>
        </w:rPr>
        <w:t>8</w:t>
      </w:r>
      <w:r w:rsidRPr="001B611F">
        <w:rPr>
          <w:rFonts w:asciiTheme="minorHAnsi" w:hAnsiTheme="minorHAnsi" w:cstheme="minorHAnsi"/>
        </w:rPr>
        <w:t>-1</w:t>
      </w:r>
      <w:r>
        <w:rPr>
          <w:rFonts w:asciiTheme="minorHAnsi" w:hAnsiTheme="minorHAnsi" w:cstheme="minorHAnsi"/>
        </w:rPr>
        <w:t>9</w:t>
      </w:r>
      <w:r w:rsidRPr="001B611F">
        <w:rPr>
          <w:rFonts w:asciiTheme="minorHAnsi" w:hAnsiTheme="minorHAnsi" w:cstheme="minorHAnsi"/>
        </w:rPr>
        <w:t>.</w:t>
      </w:r>
      <w:r>
        <w:rPr>
          <w:rFonts w:asciiTheme="minorHAnsi" w:hAnsiTheme="minorHAnsi" w:cstheme="minorHAnsi"/>
        </w:rPr>
        <w:t xml:space="preserve"> </w:t>
      </w:r>
    </w:p>
    <w:p w14:paraId="2CD8088B" w14:textId="77777777" w:rsidR="00347735" w:rsidRDefault="00347735" w:rsidP="00347735">
      <w:pPr>
        <w:rPr>
          <w:rFonts w:asciiTheme="minorHAnsi" w:hAnsiTheme="minorHAnsi" w:cstheme="minorHAnsi"/>
        </w:rPr>
      </w:pPr>
      <w:r>
        <w:rPr>
          <w:rFonts w:asciiTheme="minorHAnsi" w:hAnsiTheme="minorHAnsi" w:cstheme="minorHAnsi"/>
        </w:rPr>
        <w:t xml:space="preserve">Note 1: These resources are deemed necessary and as envisioned today based on the Incident Management Ticket volumes. Based on the volume of tickets, the numbers could however change as per the actual requirements going ahead. </w:t>
      </w:r>
    </w:p>
    <w:p w14:paraId="76CC986E" w14:textId="77777777" w:rsidR="00347735" w:rsidRDefault="00347735" w:rsidP="00347735">
      <w:pPr>
        <w:rPr>
          <w:rFonts w:asciiTheme="minorHAnsi" w:hAnsiTheme="minorHAnsi" w:cstheme="minorHAnsi"/>
        </w:rPr>
      </w:pPr>
      <w:r>
        <w:rPr>
          <w:rFonts w:asciiTheme="minorHAnsi" w:hAnsiTheme="minorHAnsi" w:cstheme="minorHAnsi"/>
        </w:rPr>
        <w:t xml:space="preserve">Incident Management Ticket log will be produced on an ongoing basis and on </w:t>
      </w:r>
      <w:proofErr w:type="gramStart"/>
      <w:r>
        <w:rPr>
          <w:rFonts w:asciiTheme="minorHAnsi" w:hAnsiTheme="minorHAnsi" w:cstheme="minorHAnsi"/>
        </w:rPr>
        <w:t>mutual agreement</w:t>
      </w:r>
      <w:proofErr w:type="gramEnd"/>
      <w:r>
        <w:rPr>
          <w:rFonts w:asciiTheme="minorHAnsi" w:hAnsiTheme="minorHAnsi" w:cstheme="minorHAnsi"/>
        </w:rPr>
        <w:t xml:space="preserve">, the team size will be increased or decreased. </w:t>
      </w:r>
    </w:p>
    <w:p w14:paraId="2200AF4C" w14:textId="77777777" w:rsidR="00347735" w:rsidRDefault="00347735" w:rsidP="00347735">
      <w:pPr>
        <w:rPr>
          <w:rFonts w:asciiTheme="minorHAnsi" w:hAnsiTheme="minorHAnsi" w:cstheme="minorHAnsi"/>
        </w:rPr>
      </w:pPr>
      <w:r>
        <w:rPr>
          <w:rFonts w:asciiTheme="minorHAnsi" w:hAnsiTheme="minorHAnsi" w:cstheme="minorHAnsi"/>
        </w:rPr>
        <w:t xml:space="preserve">The payments would be done as per the actual number of resources working </w:t>
      </w:r>
      <w:proofErr w:type="gramStart"/>
      <w:r>
        <w:rPr>
          <w:rFonts w:asciiTheme="minorHAnsi" w:hAnsiTheme="minorHAnsi" w:cstheme="minorHAnsi"/>
        </w:rPr>
        <w:t>on a monthly basis</w:t>
      </w:r>
      <w:proofErr w:type="gramEnd"/>
      <w:r>
        <w:rPr>
          <w:rFonts w:asciiTheme="minorHAnsi" w:hAnsiTheme="minorHAnsi" w:cstheme="minorHAnsi"/>
        </w:rPr>
        <w:t>. Effort beyond office hours will be chargeable extra.</w:t>
      </w:r>
    </w:p>
    <w:p w14:paraId="0F51A97D" w14:textId="77777777" w:rsidR="00347735" w:rsidRDefault="00347735" w:rsidP="00347735">
      <w:pPr>
        <w:rPr>
          <w:rFonts w:asciiTheme="minorHAnsi" w:hAnsiTheme="minorHAnsi" w:cstheme="minorHAnsi"/>
        </w:rPr>
      </w:pPr>
      <w:r>
        <w:rPr>
          <w:rFonts w:asciiTheme="minorHAnsi" w:hAnsiTheme="minorHAnsi" w:cstheme="minorHAnsi"/>
        </w:rPr>
        <w:t xml:space="preserve">Note 2:  The performance of the support team would be closely monitored on SLA basis. A Risk and Reward mechanism will be identified to ensure performance of the Support Desk is functioning at its stated efficiency. </w:t>
      </w:r>
    </w:p>
    <w:p w14:paraId="4ADFE0B3" w14:textId="77777777" w:rsidR="00347735" w:rsidRDefault="00347735" w:rsidP="00347735">
      <w:pPr>
        <w:pStyle w:val="ListParagraph"/>
        <w:numPr>
          <w:ilvl w:val="0"/>
          <w:numId w:val="9"/>
        </w:numPr>
        <w:spacing w:before="100" w:beforeAutospacing="1" w:after="100" w:afterAutospacing="1"/>
        <w:rPr>
          <w:rFonts w:asciiTheme="minorHAnsi" w:hAnsiTheme="minorHAnsi" w:cstheme="minorHAnsi"/>
        </w:rPr>
      </w:pPr>
      <w:r>
        <w:rPr>
          <w:rFonts w:asciiTheme="minorHAnsi" w:hAnsiTheme="minorHAnsi" w:cstheme="minorHAnsi"/>
        </w:rPr>
        <w:t>Tickets pertaining to Technical Issues will only be considered for this purpose.</w:t>
      </w:r>
    </w:p>
    <w:p w14:paraId="09BC0707" w14:textId="77777777" w:rsidR="00347735" w:rsidRDefault="00347735" w:rsidP="00347735">
      <w:pPr>
        <w:pStyle w:val="ListParagraph"/>
        <w:numPr>
          <w:ilvl w:val="0"/>
          <w:numId w:val="9"/>
        </w:numPr>
        <w:spacing w:before="100" w:beforeAutospacing="1" w:after="100" w:afterAutospacing="1"/>
        <w:rPr>
          <w:rFonts w:asciiTheme="minorHAnsi" w:hAnsiTheme="minorHAnsi" w:cstheme="minorHAnsi"/>
        </w:rPr>
      </w:pPr>
      <w:r>
        <w:rPr>
          <w:rFonts w:asciiTheme="minorHAnsi" w:hAnsiTheme="minorHAnsi" w:cstheme="minorHAnsi"/>
        </w:rPr>
        <w:t xml:space="preserve">Several manual update tasks identified by NSDC from time-to-time basis will not be applicable. Such effort will be charged extra on </w:t>
      </w:r>
      <w:proofErr w:type="gramStart"/>
      <w:r>
        <w:rPr>
          <w:rFonts w:asciiTheme="minorHAnsi" w:hAnsiTheme="minorHAnsi" w:cstheme="minorHAnsi"/>
        </w:rPr>
        <w:t>mutual agreement</w:t>
      </w:r>
      <w:proofErr w:type="gramEnd"/>
      <w:r>
        <w:rPr>
          <w:rFonts w:asciiTheme="minorHAnsi" w:hAnsiTheme="minorHAnsi" w:cstheme="minorHAnsi"/>
        </w:rPr>
        <w:t>.</w:t>
      </w:r>
    </w:p>
    <w:p w14:paraId="0D663C69" w14:textId="77777777" w:rsidR="00347735" w:rsidRDefault="00347735" w:rsidP="00347735">
      <w:pPr>
        <w:pStyle w:val="ListParagraph"/>
        <w:numPr>
          <w:ilvl w:val="0"/>
          <w:numId w:val="9"/>
        </w:numPr>
        <w:spacing w:before="100" w:beforeAutospacing="1" w:after="100" w:afterAutospacing="1"/>
        <w:rPr>
          <w:rFonts w:asciiTheme="minorHAnsi" w:hAnsiTheme="minorHAnsi" w:cstheme="minorHAnsi"/>
        </w:rPr>
      </w:pPr>
      <w:r>
        <w:rPr>
          <w:rFonts w:asciiTheme="minorHAnsi" w:hAnsiTheme="minorHAnsi" w:cstheme="minorHAnsi"/>
        </w:rPr>
        <w:t>Tickets pertaining to clarifications from units such Business and PMU will not be considered for this purpose.</w:t>
      </w:r>
    </w:p>
    <w:p w14:paraId="262849B5" w14:textId="77777777" w:rsidR="00347735" w:rsidRDefault="00347735" w:rsidP="00347735">
      <w:pPr>
        <w:pStyle w:val="ListParagraph"/>
        <w:numPr>
          <w:ilvl w:val="0"/>
          <w:numId w:val="9"/>
        </w:numPr>
        <w:spacing w:before="100" w:beforeAutospacing="1" w:after="100" w:afterAutospacing="1"/>
        <w:rPr>
          <w:rFonts w:asciiTheme="minorHAnsi" w:hAnsiTheme="minorHAnsi" w:cstheme="minorHAnsi"/>
        </w:rPr>
      </w:pPr>
      <w:r>
        <w:rPr>
          <w:rFonts w:asciiTheme="minorHAnsi" w:hAnsiTheme="minorHAnsi" w:cstheme="minorHAnsi"/>
        </w:rPr>
        <w:t xml:space="preserve">Time spent on trainings, User walk-ins etc will be considered as extra effort. It will be </w:t>
      </w:r>
      <w:proofErr w:type="gramStart"/>
      <w:r>
        <w:rPr>
          <w:rFonts w:asciiTheme="minorHAnsi" w:hAnsiTheme="minorHAnsi" w:cstheme="minorHAnsi"/>
        </w:rPr>
        <w:t>tracked</w:t>
      </w:r>
      <w:proofErr w:type="gramEnd"/>
      <w:r>
        <w:rPr>
          <w:rFonts w:asciiTheme="minorHAnsi" w:hAnsiTheme="minorHAnsi" w:cstheme="minorHAnsi"/>
        </w:rPr>
        <w:t xml:space="preserve"> and prior approval will be sought before invoicing the same.</w:t>
      </w:r>
    </w:p>
    <w:p w14:paraId="72A07C1E" w14:textId="598CA06E" w:rsidR="00347735" w:rsidRDefault="00347735" w:rsidP="00347735">
      <w:pPr>
        <w:pStyle w:val="ListParagraph"/>
        <w:numPr>
          <w:ilvl w:val="0"/>
          <w:numId w:val="9"/>
        </w:numPr>
        <w:spacing w:before="100" w:beforeAutospacing="1" w:after="100" w:afterAutospacing="1"/>
        <w:rPr>
          <w:rFonts w:asciiTheme="minorHAnsi" w:hAnsiTheme="minorHAnsi" w:cstheme="minorHAnsi"/>
        </w:rPr>
      </w:pPr>
      <w:r>
        <w:rPr>
          <w:rFonts w:asciiTheme="minorHAnsi" w:hAnsiTheme="minorHAnsi" w:cstheme="minorHAnsi"/>
        </w:rPr>
        <w:t>Service desk management is not part of the scope</w:t>
      </w:r>
    </w:p>
    <w:p w14:paraId="02F38AA2" w14:textId="71DDF273" w:rsidR="00347735" w:rsidRDefault="00347735" w:rsidP="00347735">
      <w:pPr>
        <w:spacing w:before="100" w:beforeAutospacing="1" w:after="100" w:afterAutospacing="1"/>
        <w:rPr>
          <w:rFonts w:asciiTheme="minorHAnsi" w:hAnsiTheme="minorHAnsi" w:cstheme="minorHAnsi"/>
        </w:rPr>
      </w:pPr>
    </w:p>
    <w:p w14:paraId="6AAB2920" w14:textId="43559A80" w:rsidR="00347735" w:rsidRDefault="00347735" w:rsidP="00347735">
      <w:pPr>
        <w:spacing w:before="100" w:beforeAutospacing="1" w:after="100" w:afterAutospacing="1"/>
        <w:rPr>
          <w:rFonts w:asciiTheme="minorHAnsi" w:hAnsiTheme="minorHAnsi" w:cstheme="minorHAnsi"/>
        </w:rPr>
      </w:pPr>
    </w:p>
    <w:p w14:paraId="4614ED3A" w14:textId="77777777" w:rsidR="00347735" w:rsidRPr="00347735" w:rsidRDefault="00347735" w:rsidP="00347735">
      <w:pPr>
        <w:spacing w:before="100" w:beforeAutospacing="1" w:after="100" w:afterAutospacing="1"/>
        <w:rPr>
          <w:rFonts w:asciiTheme="minorHAnsi" w:hAnsiTheme="minorHAnsi" w:cstheme="minorHAnsi"/>
        </w:rPr>
      </w:pPr>
    </w:p>
    <w:p w14:paraId="11C68329" w14:textId="77777777" w:rsidR="00347735" w:rsidRPr="0015297F" w:rsidRDefault="00347735" w:rsidP="00347735">
      <w:pPr>
        <w:pStyle w:val="NoSpacing"/>
        <w:jc w:val="both"/>
        <w:rPr>
          <w:b/>
        </w:rPr>
      </w:pPr>
      <w:r w:rsidRPr="0015297F">
        <w:rPr>
          <w:b/>
        </w:rPr>
        <w:lastRenderedPageBreak/>
        <w:t>Application Enhancement</w:t>
      </w:r>
    </w:p>
    <w:p w14:paraId="07A283E8" w14:textId="77777777" w:rsidR="00347735" w:rsidRDefault="00347735" w:rsidP="00347735">
      <w:pPr>
        <w:pStyle w:val="NoSpacing"/>
        <w:jc w:val="both"/>
      </w:pPr>
    </w:p>
    <w:p w14:paraId="00AAFDC1" w14:textId="77777777" w:rsidR="00347735" w:rsidRPr="0087097B" w:rsidRDefault="00347735" w:rsidP="00347735">
      <w:pPr>
        <w:pStyle w:val="ListParagraph"/>
        <w:widowControl w:val="0"/>
        <w:numPr>
          <w:ilvl w:val="0"/>
          <w:numId w:val="10"/>
        </w:numPr>
        <w:autoSpaceDE w:val="0"/>
        <w:autoSpaceDN w:val="0"/>
        <w:jc w:val="both"/>
        <w:rPr>
          <w:rFonts w:asciiTheme="minorHAnsi" w:hAnsiTheme="minorHAnsi" w:cs="Arial"/>
          <w:color w:val="000000" w:themeColor="text1"/>
        </w:rPr>
      </w:pPr>
      <w:r w:rsidRPr="0087097B">
        <w:rPr>
          <w:rFonts w:asciiTheme="minorHAnsi" w:hAnsiTheme="minorHAnsi" w:cs="Arial"/>
          <w:color w:val="000000" w:themeColor="text1"/>
        </w:rPr>
        <w:t>Continuous enhancements are</w:t>
      </w:r>
      <w:r>
        <w:rPr>
          <w:rFonts w:asciiTheme="minorHAnsi" w:hAnsiTheme="minorHAnsi" w:cs="Arial"/>
          <w:color w:val="000000" w:themeColor="text1"/>
        </w:rPr>
        <w:t xml:space="preserve"> </w:t>
      </w:r>
      <w:r w:rsidRPr="0087097B">
        <w:rPr>
          <w:rFonts w:asciiTheme="minorHAnsi" w:hAnsiTheme="minorHAnsi" w:cs="Arial"/>
          <w:color w:val="000000" w:themeColor="text1"/>
        </w:rPr>
        <w:t>expected to ensure SDMS meets the policy changes. Campus Management will maintain a development team on hybrid model (Mix of   Time and Material &amp; fixed price) basis to handle all such developments.</w:t>
      </w:r>
    </w:p>
    <w:p w14:paraId="3AD57782" w14:textId="77777777" w:rsidR="00347735" w:rsidRPr="0087097B" w:rsidRDefault="00347735" w:rsidP="00347735">
      <w:pPr>
        <w:pStyle w:val="ListParagraph"/>
        <w:widowControl w:val="0"/>
        <w:numPr>
          <w:ilvl w:val="0"/>
          <w:numId w:val="10"/>
        </w:numPr>
        <w:autoSpaceDE w:val="0"/>
        <w:autoSpaceDN w:val="0"/>
        <w:jc w:val="both"/>
        <w:rPr>
          <w:rFonts w:asciiTheme="minorHAnsi" w:hAnsiTheme="minorHAnsi" w:cs="Arial"/>
          <w:color w:val="000000" w:themeColor="text1"/>
        </w:rPr>
      </w:pPr>
      <w:r w:rsidRPr="0087097B">
        <w:rPr>
          <w:rFonts w:asciiTheme="minorHAnsi" w:hAnsiTheme="minorHAnsi" w:cs="Arial"/>
          <w:color w:val="000000" w:themeColor="text1"/>
        </w:rPr>
        <w:t>The development work will be done based on agile methodology and as per mutually agreed schedule of deliverables.</w:t>
      </w:r>
    </w:p>
    <w:p w14:paraId="2A567804" w14:textId="77777777" w:rsidR="00347735" w:rsidRPr="0087097B" w:rsidRDefault="00347735" w:rsidP="00347735">
      <w:pPr>
        <w:pStyle w:val="ListParagraph"/>
        <w:widowControl w:val="0"/>
        <w:numPr>
          <w:ilvl w:val="0"/>
          <w:numId w:val="10"/>
        </w:numPr>
        <w:autoSpaceDE w:val="0"/>
        <w:autoSpaceDN w:val="0"/>
        <w:jc w:val="both"/>
        <w:rPr>
          <w:rFonts w:asciiTheme="minorHAnsi" w:hAnsiTheme="minorHAnsi" w:cs="Arial"/>
          <w:color w:val="000000" w:themeColor="text1"/>
        </w:rPr>
      </w:pPr>
      <w:r w:rsidRPr="0087097B">
        <w:rPr>
          <w:rFonts w:asciiTheme="minorHAnsi" w:hAnsiTheme="minorHAnsi" w:cs="Arial"/>
          <w:color w:val="000000" w:themeColor="text1"/>
        </w:rPr>
        <w:t>Risk and Reward mechanism will be enforced for development projects.</w:t>
      </w:r>
    </w:p>
    <w:p w14:paraId="524702D3" w14:textId="77777777" w:rsidR="00347735" w:rsidRPr="0087097B" w:rsidRDefault="00347735" w:rsidP="00347735">
      <w:pPr>
        <w:pStyle w:val="ListParagraph"/>
        <w:widowControl w:val="0"/>
        <w:numPr>
          <w:ilvl w:val="0"/>
          <w:numId w:val="10"/>
        </w:numPr>
        <w:autoSpaceDE w:val="0"/>
        <w:autoSpaceDN w:val="0"/>
        <w:jc w:val="both"/>
        <w:rPr>
          <w:rFonts w:asciiTheme="minorHAnsi" w:hAnsiTheme="minorHAnsi" w:cs="Arial"/>
          <w:color w:val="000000" w:themeColor="text1"/>
        </w:rPr>
      </w:pPr>
      <w:r w:rsidRPr="0087097B">
        <w:rPr>
          <w:rFonts w:asciiTheme="minorHAnsi" w:hAnsiTheme="minorHAnsi" w:cs="Arial"/>
          <w:color w:val="000000" w:themeColor="text1"/>
        </w:rPr>
        <w:t>Meeting delivery commitments, quality of deliverables and completion of UAT with in specified timeframe will be consider for risk and reward regime.</w:t>
      </w:r>
    </w:p>
    <w:p w14:paraId="09443C89" w14:textId="77777777" w:rsidR="00347735" w:rsidRPr="0087097B" w:rsidRDefault="00347735" w:rsidP="00347735">
      <w:pPr>
        <w:pStyle w:val="ListParagraph"/>
        <w:widowControl w:val="0"/>
        <w:numPr>
          <w:ilvl w:val="0"/>
          <w:numId w:val="10"/>
        </w:numPr>
        <w:autoSpaceDE w:val="0"/>
        <w:autoSpaceDN w:val="0"/>
        <w:jc w:val="both"/>
        <w:rPr>
          <w:rFonts w:asciiTheme="minorHAnsi" w:hAnsiTheme="minorHAnsi" w:cs="Arial"/>
          <w:color w:val="000000" w:themeColor="text1"/>
        </w:rPr>
      </w:pPr>
      <w:r w:rsidRPr="0087097B">
        <w:rPr>
          <w:rFonts w:asciiTheme="minorHAnsi" w:hAnsiTheme="minorHAnsi" w:cs="Arial"/>
          <w:color w:val="000000" w:themeColor="text1"/>
        </w:rPr>
        <w:t>Residual effort against development activities against Work Order 2017-18 will be carried forwarded to 2018-19 on mutually agreed basis</w:t>
      </w:r>
      <w:r>
        <w:rPr>
          <w:rFonts w:asciiTheme="minorHAnsi" w:hAnsiTheme="minorHAnsi" w:cs="Arial"/>
          <w:color w:val="000000" w:themeColor="text1"/>
        </w:rPr>
        <w:t>.</w:t>
      </w:r>
      <w:r w:rsidRPr="0087097B">
        <w:rPr>
          <w:rFonts w:asciiTheme="minorHAnsi" w:hAnsiTheme="minorHAnsi" w:cs="Arial"/>
          <w:color w:val="000000" w:themeColor="text1"/>
        </w:rPr>
        <w:t xml:space="preserve"> Risk &amp; reward mechanism will also be applicable on the modules to be delivered during FY 2018-19. </w:t>
      </w:r>
    </w:p>
    <w:p w14:paraId="0BC0A33C" w14:textId="47737D9E" w:rsidR="00347735" w:rsidRPr="00347735" w:rsidRDefault="00347735" w:rsidP="00347735">
      <w:pPr>
        <w:pStyle w:val="ListParagraph"/>
        <w:widowControl w:val="0"/>
        <w:numPr>
          <w:ilvl w:val="0"/>
          <w:numId w:val="10"/>
        </w:numPr>
        <w:autoSpaceDE w:val="0"/>
        <w:autoSpaceDN w:val="0"/>
        <w:jc w:val="both"/>
        <w:rPr>
          <w:rFonts w:asciiTheme="minorHAnsi" w:hAnsiTheme="minorHAnsi" w:cs="Arial"/>
          <w:color w:val="000000" w:themeColor="text1"/>
        </w:rPr>
      </w:pPr>
      <w:r w:rsidRPr="0087097B">
        <w:rPr>
          <w:rFonts w:asciiTheme="minorHAnsi" w:hAnsiTheme="minorHAnsi" w:cs="Arial"/>
          <w:color w:val="000000" w:themeColor="text1"/>
        </w:rPr>
        <w:t>Post requirement gathering, Campus will provide FRS to NSDC with notional efforts estimate &amp; detailed resource deployment plan (i.e. Gant chart &amp; No of days for Code Drop considering FRS sign off as D0) for development &amp; testing.</w:t>
      </w:r>
    </w:p>
    <w:p w14:paraId="3BBE411E" w14:textId="77777777" w:rsidR="00347735" w:rsidRPr="004D6543" w:rsidRDefault="00347735" w:rsidP="00347735">
      <w:pPr>
        <w:pStyle w:val="NoSpacing"/>
        <w:jc w:val="both"/>
      </w:pPr>
    </w:p>
    <w:p w14:paraId="0CD4EB40" w14:textId="731ED6CE" w:rsidR="00347735" w:rsidRPr="006D07DF" w:rsidRDefault="00347735" w:rsidP="006D07DF">
      <w:pPr>
        <w:spacing w:line="360" w:lineRule="auto"/>
        <w:jc w:val="center"/>
        <w:rPr>
          <w:rFonts w:eastAsia="Times New Roman"/>
          <w:b/>
          <w:bCs/>
          <w:color w:val="000000"/>
          <w:sz w:val="28"/>
          <w:szCs w:val="26"/>
          <w:u w:val="single"/>
        </w:rPr>
      </w:pPr>
      <w:r w:rsidRPr="006D07DF">
        <w:rPr>
          <w:rFonts w:eastAsia="Times New Roman"/>
          <w:b/>
          <w:bCs/>
          <w:color w:val="000000"/>
          <w:sz w:val="28"/>
          <w:szCs w:val="26"/>
          <w:u w:val="single"/>
        </w:rPr>
        <w:t>Financial details / Costing:</w:t>
      </w:r>
    </w:p>
    <w:p w14:paraId="0F847E1B" w14:textId="2E362992" w:rsidR="006D07DF" w:rsidRPr="006D07DF" w:rsidRDefault="006D07DF" w:rsidP="00347735">
      <w:pPr>
        <w:spacing w:line="360" w:lineRule="auto"/>
        <w:jc w:val="both"/>
        <w:rPr>
          <w:rFonts w:ascii="Cambria" w:hAnsi="Cambria" w:cs="Arial"/>
          <w:b/>
          <w:u w:val="single"/>
        </w:rPr>
      </w:pPr>
      <w:r w:rsidRPr="006D07DF">
        <w:rPr>
          <w:rFonts w:ascii="Cambria" w:hAnsi="Cambria" w:cs="Arial"/>
          <w:b/>
          <w:u w:val="single"/>
        </w:rPr>
        <w:t>Indicative Infrastructure Cost</w:t>
      </w:r>
    </w:p>
    <w:tbl>
      <w:tblPr>
        <w:tblW w:w="9771" w:type="dxa"/>
        <w:tblLook w:val="04A0" w:firstRow="1" w:lastRow="0" w:firstColumn="1" w:lastColumn="0" w:noHBand="0" w:noVBand="1"/>
      </w:tblPr>
      <w:tblGrid>
        <w:gridCol w:w="6653"/>
        <w:gridCol w:w="1275"/>
        <w:gridCol w:w="1843"/>
      </w:tblGrid>
      <w:tr w:rsidR="00347735" w:rsidRPr="00FA248E" w14:paraId="773A3156" w14:textId="77777777" w:rsidTr="006D07DF">
        <w:trPr>
          <w:trHeight w:val="390"/>
        </w:trPr>
        <w:tc>
          <w:tcPr>
            <w:tcW w:w="6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51B770" w14:textId="7BCE1B0C" w:rsidR="00347735" w:rsidRPr="00FA248E" w:rsidRDefault="006D07DF" w:rsidP="007011AE">
            <w:pPr>
              <w:rPr>
                <w:rFonts w:eastAsia="Times New Roman"/>
                <w:b/>
                <w:bCs/>
                <w:color w:val="000000"/>
                <w:sz w:val="28"/>
                <w:szCs w:val="28"/>
              </w:rPr>
            </w:pPr>
            <w:r>
              <w:rPr>
                <w:rFonts w:eastAsia="Times New Roman"/>
                <w:b/>
                <w:bCs/>
                <w:color w:val="000000"/>
                <w:sz w:val="24"/>
                <w:szCs w:val="28"/>
              </w:rPr>
              <w:t>Particulars</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CF71E93" w14:textId="77777777" w:rsidR="00347735" w:rsidRPr="00FA248E" w:rsidRDefault="00347735" w:rsidP="007011AE">
            <w:pPr>
              <w:rPr>
                <w:rFonts w:eastAsia="Times New Roman"/>
                <w:b/>
                <w:bCs/>
                <w:color w:val="000000"/>
                <w:sz w:val="28"/>
                <w:szCs w:val="28"/>
              </w:rPr>
            </w:pPr>
            <w:r w:rsidRPr="00FA248E">
              <w:rPr>
                <w:rFonts w:eastAsia="Times New Roman"/>
                <w:b/>
                <w:bCs/>
                <w:color w:val="000000"/>
                <w:sz w:val="28"/>
                <w:szCs w:val="28"/>
              </w:rPr>
              <w:t>Type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F5CD3E8" w14:textId="77777777" w:rsidR="00347735" w:rsidRPr="00FA248E" w:rsidRDefault="00347735" w:rsidP="007011AE">
            <w:pPr>
              <w:jc w:val="center"/>
              <w:rPr>
                <w:rFonts w:eastAsia="Times New Roman"/>
                <w:b/>
                <w:bCs/>
                <w:color w:val="000000"/>
                <w:sz w:val="28"/>
                <w:szCs w:val="28"/>
              </w:rPr>
            </w:pPr>
            <w:r w:rsidRPr="00FA248E">
              <w:rPr>
                <w:rFonts w:eastAsia="Times New Roman"/>
                <w:b/>
                <w:bCs/>
                <w:color w:val="000000"/>
                <w:sz w:val="28"/>
                <w:szCs w:val="28"/>
              </w:rPr>
              <w:t>Total</w:t>
            </w:r>
          </w:p>
        </w:tc>
      </w:tr>
      <w:tr w:rsidR="00347735" w:rsidRPr="00FA248E" w14:paraId="40679957" w14:textId="77777777" w:rsidTr="006D07DF">
        <w:trPr>
          <w:trHeight w:val="271"/>
        </w:trPr>
        <w:tc>
          <w:tcPr>
            <w:tcW w:w="665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04C178D" w14:textId="77777777" w:rsidR="00347735" w:rsidRPr="00FA248E" w:rsidRDefault="00347735" w:rsidP="007011AE">
            <w:r w:rsidRPr="00FA248E">
              <w:t>SDMS 2.0 - PMKVY 2016-</w:t>
            </w:r>
            <w:proofErr w:type="gramStart"/>
            <w:r w:rsidRPr="00FA248E">
              <w:t>2020  and</w:t>
            </w:r>
            <w:proofErr w:type="gramEnd"/>
            <w:r w:rsidRPr="00FA248E">
              <w:t xml:space="preserve"> Non-PMKVY INFRASTRUCTURE</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2305204" w14:textId="77777777" w:rsidR="00347735" w:rsidRPr="00FA248E" w:rsidRDefault="00347735" w:rsidP="007011AE">
            <w:r w:rsidRPr="00FA248E">
              <w:t>Hosting</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2C73C78"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66,00,000 </w:t>
            </w:r>
          </w:p>
        </w:tc>
      </w:tr>
      <w:tr w:rsidR="00347735" w:rsidRPr="00FA248E" w14:paraId="6867E777" w14:textId="77777777" w:rsidTr="007011AE">
        <w:trPr>
          <w:trHeight w:val="686"/>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61727EF6" w14:textId="77777777" w:rsidR="00347735" w:rsidRPr="00FA248E" w:rsidRDefault="00347735" w:rsidP="007011AE">
            <w:r w:rsidRPr="00FA248E">
              <w:t>SDMS 2.0 - PMKVY 2016-</w:t>
            </w:r>
            <w:proofErr w:type="gramStart"/>
            <w:r w:rsidRPr="00FA248E">
              <w:t>2020  -</w:t>
            </w:r>
            <w:proofErr w:type="gramEnd"/>
            <w:r w:rsidRPr="00FA248E">
              <w:t xml:space="preserve"> STT, RPL, Special Projects, TOT &amp; TOA - Certificate and Marksheet Storage (SAN storage usage)</w:t>
            </w:r>
          </w:p>
        </w:tc>
        <w:tc>
          <w:tcPr>
            <w:tcW w:w="1275" w:type="dxa"/>
            <w:tcBorders>
              <w:top w:val="nil"/>
              <w:left w:val="nil"/>
              <w:bottom w:val="single" w:sz="4" w:space="0" w:color="auto"/>
              <w:right w:val="single" w:sz="4" w:space="0" w:color="auto"/>
            </w:tcBorders>
            <w:shd w:val="clear" w:color="auto" w:fill="auto"/>
            <w:vAlign w:val="center"/>
            <w:hideMark/>
          </w:tcPr>
          <w:p w14:paraId="007D93D7"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6C9D44DE"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13,98,000 </w:t>
            </w:r>
          </w:p>
        </w:tc>
      </w:tr>
      <w:tr w:rsidR="00347735" w:rsidRPr="00FA248E" w14:paraId="2807907F" w14:textId="77777777" w:rsidTr="007011AE">
        <w:trPr>
          <w:trHeight w:val="427"/>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7527BE7B" w14:textId="77777777" w:rsidR="00347735" w:rsidRPr="00FA248E" w:rsidRDefault="00347735" w:rsidP="007011AE">
            <w:r w:rsidRPr="00FA248E">
              <w:t>SDMS 1.0 - PMKVY 1.0, STAR, NON-STAR INFRASTRUCTURE</w:t>
            </w:r>
          </w:p>
        </w:tc>
        <w:tc>
          <w:tcPr>
            <w:tcW w:w="1275" w:type="dxa"/>
            <w:tcBorders>
              <w:top w:val="nil"/>
              <w:left w:val="nil"/>
              <w:bottom w:val="single" w:sz="4" w:space="0" w:color="auto"/>
              <w:right w:val="single" w:sz="4" w:space="0" w:color="auto"/>
            </w:tcBorders>
            <w:shd w:val="clear" w:color="auto" w:fill="auto"/>
            <w:vAlign w:val="center"/>
            <w:hideMark/>
          </w:tcPr>
          <w:p w14:paraId="10C3775D"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35C6D5DF"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21,00,000 </w:t>
            </w:r>
          </w:p>
        </w:tc>
      </w:tr>
      <w:tr w:rsidR="00347735" w:rsidRPr="00FA248E" w14:paraId="197DA783" w14:textId="77777777" w:rsidTr="007011AE">
        <w:trPr>
          <w:trHeight w:val="404"/>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453F32BA" w14:textId="77777777" w:rsidR="00347735" w:rsidRPr="00FA248E" w:rsidRDefault="00347735" w:rsidP="007011AE">
            <w:r w:rsidRPr="00FA248E">
              <w:t>SPLA LICENSES FOR DATABASE SERVER - MS SQL 2014 or LATEST (RENEWAL)</w:t>
            </w:r>
          </w:p>
        </w:tc>
        <w:tc>
          <w:tcPr>
            <w:tcW w:w="1275" w:type="dxa"/>
            <w:tcBorders>
              <w:top w:val="nil"/>
              <w:left w:val="nil"/>
              <w:bottom w:val="single" w:sz="4" w:space="0" w:color="auto"/>
              <w:right w:val="single" w:sz="4" w:space="0" w:color="auto"/>
            </w:tcBorders>
            <w:shd w:val="clear" w:color="auto" w:fill="auto"/>
            <w:vAlign w:val="center"/>
            <w:hideMark/>
          </w:tcPr>
          <w:p w14:paraId="2489D433"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569E7F12"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31,20,000 </w:t>
            </w:r>
          </w:p>
        </w:tc>
      </w:tr>
      <w:tr w:rsidR="00347735" w:rsidRPr="00FA248E" w14:paraId="7E282E24" w14:textId="77777777" w:rsidTr="007011AE">
        <w:trPr>
          <w:trHeight w:val="426"/>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04901B7E" w14:textId="77777777" w:rsidR="00347735" w:rsidRPr="00FA248E" w:rsidRDefault="00347735" w:rsidP="007011AE">
            <w:r w:rsidRPr="00FA248E">
              <w:t>INFRASTRUCTURE MANAGED SERVICES (24X7, 3 FTE EQUIVALENT SHARED SERVICE)</w:t>
            </w:r>
          </w:p>
        </w:tc>
        <w:tc>
          <w:tcPr>
            <w:tcW w:w="1275" w:type="dxa"/>
            <w:tcBorders>
              <w:top w:val="nil"/>
              <w:left w:val="nil"/>
              <w:bottom w:val="single" w:sz="4" w:space="0" w:color="auto"/>
              <w:right w:val="single" w:sz="4" w:space="0" w:color="auto"/>
            </w:tcBorders>
            <w:shd w:val="clear" w:color="auto" w:fill="auto"/>
            <w:vAlign w:val="center"/>
            <w:hideMark/>
          </w:tcPr>
          <w:p w14:paraId="277B6E84"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454B8B34"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40,00,000 </w:t>
            </w:r>
          </w:p>
        </w:tc>
      </w:tr>
      <w:tr w:rsidR="00347735" w:rsidRPr="00FA248E" w14:paraId="29F5118C" w14:textId="77777777" w:rsidTr="007011AE">
        <w:trPr>
          <w:trHeight w:val="3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667F1CA1" w14:textId="77777777" w:rsidR="00347735" w:rsidRPr="00FA248E" w:rsidRDefault="00347735" w:rsidP="007011AE">
            <w:r w:rsidRPr="00FA248E">
              <w:t>STORAGE AREA NETWORK  500 GB (RENEWAL)</w:t>
            </w:r>
          </w:p>
        </w:tc>
        <w:tc>
          <w:tcPr>
            <w:tcW w:w="1275" w:type="dxa"/>
            <w:tcBorders>
              <w:top w:val="nil"/>
              <w:left w:val="nil"/>
              <w:bottom w:val="single" w:sz="4" w:space="0" w:color="auto"/>
              <w:right w:val="single" w:sz="4" w:space="0" w:color="auto"/>
            </w:tcBorders>
            <w:shd w:val="clear" w:color="auto" w:fill="auto"/>
            <w:vAlign w:val="center"/>
            <w:hideMark/>
          </w:tcPr>
          <w:p w14:paraId="357A2893"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2A73724F"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12,50,000 </w:t>
            </w:r>
          </w:p>
        </w:tc>
      </w:tr>
      <w:tr w:rsidR="00347735" w:rsidRPr="00FA248E" w14:paraId="69F78B15" w14:textId="77777777" w:rsidTr="007011AE">
        <w:trPr>
          <w:trHeight w:val="283"/>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39AF0153" w14:textId="02D6DC0B" w:rsidR="00347735" w:rsidRPr="00FA248E" w:rsidRDefault="00347735" w:rsidP="007011AE">
            <w:r w:rsidRPr="00FA248E">
              <w:t xml:space="preserve">STORAGE AREA </w:t>
            </w:r>
            <w:r w:rsidR="00EC79CA" w:rsidRPr="00FA248E">
              <w:t>NETWORK 1.5</w:t>
            </w:r>
            <w:r w:rsidRPr="00FA248E">
              <w:t xml:space="preserve"> TB (ENHANCEMENT)</w:t>
            </w:r>
          </w:p>
        </w:tc>
        <w:tc>
          <w:tcPr>
            <w:tcW w:w="1275" w:type="dxa"/>
            <w:tcBorders>
              <w:top w:val="nil"/>
              <w:left w:val="nil"/>
              <w:bottom w:val="single" w:sz="4" w:space="0" w:color="auto"/>
              <w:right w:val="single" w:sz="4" w:space="0" w:color="auto"/>
            </w:tcBorders>
            <w:shd w:val="clear" w:color="auto" w:fill="auto"/>
            <w:vAlign w:val="center"/>
            <w:hideMark/>
          </w:tcPr>
          <w:p w14:paraId="09D2A259"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70AAF7F6"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8,50,000 </w:t>
            </w:r>
          </w:p>
        </w:tc>
      </w:tr>
      <w:tr w:rsidR="00347735" w:rsidRPr="00FA248E" w14:paraId="274F7DC1" w14:textId="77777777" w:rsidTr="007011AE">
        <w:trPr>
          <w:trHeight w:val="414"/>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589F8210" w14:textId="77777777" w:rsidR="00347735" w:rsidRPr="00FA248E" w:rsidRDefault="00347735" w:rsidP="007011AE">
            <w:r w:rsidRPr="00FA248E">
              <w:t>DATAWAREHOUSE (RENEWAL) - ALL SCHEMES 2012 ONWARDS</w:t>
            </w:r>
          </w:p>
        </w:tc>
        <w:tc>
          <w:tcPr>
            <w:tcW w:w="1275" w:type="dxa"/>
            <w:tcBorders>
              <w:top w:val="nil"/>
              <w:left w:val="nil"/>
              <w:bottom w:val="single" w:sz="4" w:space="0" w:color="auto"/>
              <w:right w:val="single" w:sz="4" w:space="0" w:color="auto"/>
            </w:tcBorders>
            <w:shd w:val="clear" w:color="auto" w:fill="auto"/>
            <w:vAlign w:val="center"/>
            <w:hideMark/>
          </w:tcPr>
          <w:p w14:paraId="7A4D8D0E"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0C294BD9"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30,00,000 </w:t>
            </w:r>
          </w:p>
        </w:tc>
      </w:tr>
      <w:tr w:rsidR="00347735" w:rsidRPr="00FA248E" w14:paraId="649DD913" w14:textId="77777777" w:rsidTr="007011AE">
        <w:trPr>
          <w:trHeight w:val="3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2F981840" w14:textId="77777777" w:rsidR="00347735" w:rsidRPr="00FA248E" w:rsidRDefault="00347735" w:rsidP="007011AE">
            <w:proofErr w:type="spellStart"/>
            <w:r w:rsidRPr="00FA248E">
              <w:t>Indiaskillsonline</w:t>
            </w:r>
            <w:proofErr w:type="spellEnd"/>
            <w:r w:rsidRPr="00FA248E">
              <w:t xml:space="preserve"> Infrastructure (Renewal)</w:t>
            </w:r>
          </w:p>
        </w:tc>
        <w:tc>
          <w:tcPr>
            <w:tcW w:w="1275" w:type="dxa"/>
            <w:tcBorders>
              <w:top w:val="nil"/>
              <w:left w:val="nil"/>
              <w:bottom w:val="single" w:sz="4" w:space="0" w:color="auto"/>
              <w:right w:val="single" w:sz="4" w:space="0" w:color="auto"/>
            </w:tcBorders>
            <w:shd w:val="clear" w:color="auto" w:fill="auto"/>
            <w:vAlign w:val="center"/>
            <w:hideMark/>
          </w:tcPr>
          <w:p w14:paraId="78E71F7F"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55B03994"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15,00,000 </w:t>
            </w:r>
          </w:p>
        </w:tc>
      </w:tr>
      <w:tr w:rsidR="00347735" w:rsidRPr="00FA248E" w14:paraId="7B9D5675" w14:textId="77777777" w:rsidTr="007011AE">
        <w:trPr>
          <w:trHeight w:val="255"/>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169DA6D7" w14:textId="77777777" w:rsidR="00347735" w:rsidRPr="00FA248E" w:rsidRDefault="00347735" w:rsidP="007011AE">
            <w:proofErr w:type="spellStart"/>
            <w:r w:rsidRPr="00FA248E">
              <w:t>Indiaskillsonline</w:t>
            </w:r>
            <w:proofErr w:type="spellEnd"/>
            <w:r w:rsidRPr="00FA248E">
              <w:t xml:space="preserve"> Additional Infrastructure of 2 TB (Renewal)</w:t>
            </w:r>
          </w:p>
        </w:tc>
        <w:tc>
          <w:tcPr>
            <w:tcW w:w="1275" w:type="dxa"/>
            <w:tcBorders>
              <w:top w:val="nil"/>
              <w:left w:val="nil"/>
              <w:bottom w:val="single" w:sz="4" w:space="0" w:color="auto"/>
              <w:right w:val="single" w:sz="4" w:space="0" w:color="auto"/>
            </w:tcBorders>
            <w:shd w:val="clear" w:color="auto" w:fill="auto"/>
            <w:vAlign w:val="center"/>
            <w:hideMark/>
          </w:tcPr>
          <w:p w14:paraId="39164007"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25A30FAE"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2,33,000 </w:t>
            </w:r>
          </w:p>
        </w:tc>
      </w:tr>
      <w:tr w:rsidR="00347735" w:rsidRPr="00FA248E" w14:paraId="29B618DD" w14:textId="77777777" w:rsidTr="007011AE">
        <w:trPr>
          <w:trHeight w:val="401"/>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5E0AB4F2" w14:textId="77777777" w:rsidR="00347735" w:rsidRPr="00FA248E" w:rsidRDefault="00347735" w:rsidP="007011AE">
            <w:proofErr w:type="spellStart"/>
            <w:r w:rsidRPr="00FA248E">
              <w:t>Indiaskillsonline</w:t>
            </w:r>
            <w:proofErr w:type="spellEnd"/>
            <w:r w:rsidRPr="00FA248E">
              <w:t xml:space="preserve"> Additional Infrastructure of 4 TB (Enhancement) (2.3 TB already consumed against 3 TB space provisioned)</w:t>
            </w:r>
          </w:p>
        </w:tc>
        <w:tc>
          <w:tcPr>
            <w:tcW w:w="1275" w:type="dxa"/>
            <w:tcBorders>
              <w:top w:val="nil"/>
              <w:left w:val="nil"/>
              <w:bottom w:val="single" w:sz="4" w:space="0" w:color="auto"/>
              <w:right w:val="single" w:sz="4" w:space="0" w:color="auto"/>
            </w:tcBorders>
            <w:shd w:val="clear" w:color="auto" w:fill="auto"/>
            <w:vAlign w:val="center"/>
            <w:hideMark/>
          </w:tcPr>
          <w:p w14:paraId="5BCC9E39"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53DEE9A4"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4,66,000 </w:t>
            </w:r>
          </w:p>
        </w:tc>
      </w:tr>
      <w:tr w:rsidR="00347735" w:rsidRPr="00FA248E" w14:paraId="344ABECA" w14:textId="77777777" w:rsidTr="007011AE">
        <w:trPr>
          <w:trHeight w:val="267"/>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49E4996C" w14:textId="77777777" w:rsidR="00347735" w:rsidRPr="00FA248E" w:rsidRDefault="00347735" w:rsidP="007011AE">
            <w:r w:rsidRPr="00FA248E">
              <w:t>CSSM: STORAGE AREA NETWORK  100 GB (RENEWAL for CSSM)</w:t>
            </w:r>
          </w:p>
        </w:tc>
        <w:tc>
          <w:tcPr>
            <w:tcW w:w="1275" w:type="dxa"/>
            <w:tcBorders>
              <w:top w:val="nil"/>
              <w:left w:val="nil"/>
              <w:bottom w:val="single" w:sz="4" w:space="0" w:color="auto"/>
              <w:right w:val="single" w:sz="4" w:space="0" w:color="auto"/>
            </w:tcBorders>
            <w:shd w:val="clear" w:color="auto" w:fill="auto"/>
            <w:vAlign w:val="center"/>
            <w:hideMark/>
          </w:tcPr>
          <w:p w14:paraId="61DE947B"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32F32121"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6,00,000 </w:t>
            </w:r>
          </w:p>
        </w:tc>
      </w:tr>
      <w:tr w:rsidR="00347735" w:rsidRPr="00FA248E" w14:paraId="547ED454" w14:textId="77777777" w:rsidTr="007011AE">
        <w:trPr>
          <w:trHeight w:val="3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32861005" w14:textId="77777777" w:rsidR="00347735" w:rsidRPr="00FA248E" w:rsidRDefault="00347735" w:rsidP="007011AE">
            <w:r w:rsidRPr="00FA248E">
              <w:t>CSSM: Datawarehouse</w:t>
            </w:r>
          </w:p>
        </w:tc>
        <w:tc>
          <w:tcPr>
            <w:tcW w:w="1275" w:type="dxa"/>
            <w:tcBorders>
              <w:top w:val="nil"/>
              <w:left w:val="nil"/>
              <w:bottom w:val="single" w:sz="4" w:space="0" w:color="auto"/>
              <w:right w:val="single" w:sz="4" w:space="0" w:color="auto"/>
            </w:tcBorders>
            <w:shd w:val="clear" w:color="auto" w:fill="auto"/>
            <w:vAlign w:val="center"/>
            <w:hideMark/>
          </w:tcPr>
          <w:p w14:paraId="5C2151FA" w14:textId="77777777" w:rsidR="00347735" w:rsidRPr="00FA248E" w:rsidRDefault="00347735" w:rsidP="007011AE">
            <w:r w:rsidRPr="00FA248E">
              <w:t>Hosting</w:t>
            </w:r>
          </w:p>
        </w:tc>
        <w:tc>
          <w:tcPr>
            <w:tcW w:w="1843" w:type="dxa"/>
            <w:tcBorders>
              <w:top w:val="nil"/>
              <w:left w:val="nil"/>
              <w:bottom w:val="single" w:sz="4" w:space="0" w:color="auto"/>
              <w:right w:val="single" w:sz="4" w:space="0" w:color="auto"/>
            </w:tcBorders>
            <w:shd w:val="clear" w:color="auto" w:fill="auto"/>
            <w:vAlign w:val="center"/>
            <w:hideMark/>
          </w:tcPr>
          <w:p w14:paraId="0552CC93"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4,00,000 </w:t>
            </w:r>
          </w:p>
        </w:tc>
      </w:tr>
      <w:tr w:rsidR="00347735" w:rsidRPr="00FA248E" w14:paraId="2799A8D8" w14:textId="77777777" w:rsidTr="007011AE">
        <w:trPr>
          <w:trHeight w:val="300"/>
        </w:trPr>
        <w:tc>
          <w:tcPr>
            <w:tcW w:w="6653" w:type="dxa"/>
            <w:tcBorders>
              <w:top w:val="nil"/>
              <w:left w:val="single" w:sz="8" w:space="0" w:color="auto"/>
              <w:bottom w:val="single" w:sz="4" w:space="0" w:color="auto"/>
              <w:right w:val="single" w:sz="4" w:space="0" w:color="auto"/>
            </w:tcBorders>
            <w:shd w:val="clear" w:color="000000" w:fill="FFC000"/>
            <w:vAlign w:val="center"/>
            <w:hideMark/>
          </w:tcPr>
          <w:p w14:paraId="20A48BCF" w14:textId="77777777" w:rsidR="00347735" w:rsidRPr="00FA248E" w:rsidRDefault="00347735" w:rsidP="007011AE">
            <w:pPr>
              <w:rPr>
                <w:rFonts w:eastAsia="Times New Roman"/>
                <w:b/>
                <w:bCs/>
                <w:color w:val="000000"/>
              </w:rPr>
            </w:pPr>
            <w:r w:rsidRPr="00FA248E">
              <w:rPr>
                <w:rFonts w:eastAsia="Times New Roman"/>
                <w:b/>
                <w:bCs/>
                <w:color w:val="000000"/>
              </w:rPr>
              <w:t>Hosting Infrastructure Total</w:t>
            </w:r>
          </w:p>
        </w:tc>
        <w:tc>
          <w:tcPr>
            <w:tcW w:w="1275" w:type="dxa"/>
            <w:tcBorders>
              <w:top w:val="nil"/>
              <w:left w:val="nil"/>
              <w:bottom w:val="single" w:sz="4" w:space="0" w:color="auto"/>
              <w:right w:val="single" w:sz="4" w:space="0" w:color="auto"/>
            </w:tcBorders>
            <w:shd w:val="clear" w:color="000000" w:fill="FFC000"/>
            <w:vAlign w:val="center"/>
            <w:hideMark/>
          </w:tcPr>
          <w:p w14:paraId="63945040" w14:textId="77777777" w:rsidR="00347735" w:rsidRPr="00FA248E" w:rsidRDefault="00347735" w:rsidP="007011AE">
            <w:pPr>
              <w:rPr>
                <w:rFonts w:eastAsia="Times New Roman"/>
                <w:color w:val="000000"/>
              </w:rPr>
            </w:pPr>
            <w:r w:rsidRPr="00FA248E">
              <w:rPr>
                <w:rFonts w:eastAsia="Times New Roman"/>
                <w:color w:val="000000"/>
              </w:rPr>
              <w:t> </w:t>
            </w:r>
          </w:p>
        </w:tc>
        <w:tc>
          <w:tcPr>
            <w:tcW w:w="1843" w:type="dxa"/>
            <w:tcBorders>
              <w:top w:val="nil"/>
              <w:left w:val="nil"/>
              <w:bottom w:val="single" w:sz="4" w:space="0" w:color="auto"/>
              <w:right w:val="single" w:sz="4" w:space="0" w:color="auto"/>
            </w:tcBorders>
            <w:shd w:val="clear" w:color="000000" w:fill="FFC000"/>
            <w:vAlign w:val="center"/>
            <w:hideMark/>
          </w:tcPr>
          <w:p w14:paraId="4BD78F1A" w14:textId="77777777" w:rsidR="00347735" w:rsidRPr="00FA248E" w:rsidRDefault="00347735" w:rsidP="007011AE">
            <w:pPr>
              <w:jc w:val="center"/>
              <w:rPr>
                <w:rFonts w:eastAsia="Times New Roman"/>
                <w:b/>
                <w:bCs/>
                <w:color w:val="000000"/>
              </w:rPr>
            </w:pPr>
            <w:r w:rsidRPr="00FA248E">
              <w:rPr>
                <w:rFonts w:eastAsia="Times New Roman"/>
                <w:b/>
                <w:bCs/>
                <w:color w:val="000000"/>
              </w:rPr>
              <w:t xml:space="preserve"> ₹     2,55,17,000 </w:t>
            </w:r>
          </w:p>
        </w:tc>
      </w:tr>
    </w:tbl>
    <w:p w14:paraId="4CEF3C7C" w14:textId="2BDDA3E9" w:rsidR="00347735" w:rsidRDefault="00347735" w:rsidP="00347735">
      <w:pPr>
        <w:pStyle w:val="ListParagraph"/>
        <w:spacing w:line="360" w:lineRule="auto"/>
        <w:ind w:left="900"/>
        <w:jc w:val="both"/>
        <w:rPr>
          <w:rFonts w:ascii="Cambria" w:hAnsi="Cambria" w:cs="Arial"/>
          <w:b/>
        </w:rPr>
      </w:pPr>
    </w:p>
    <w:p w14:paraId="70E5F350" w14:textId="40B443D1" w:rsidR="00347735" w:rsidRDefault="00347735" w:rsidP="00347735">
      <w:pPr>
        <w:pStyle w:val="ListParagraph"/>
        <w:spacing w:line="360" w:lineRule="auto"/>
        <w:ind w:left="900"/>
        <w:jc w:val="both"/>
        <w:rPr>
          <w:rFonts w:ascii="Cambria" w:hAnsi="Cambria" w:cs="Arial"/>
          <w:b/>
        </w:rPr>
      </w:pPr>
    </w:p>
    <w:p w14:paraId="5E9A7739" w14:textId="75999616" w:rsidR="00347735" w:rsidRDefault="00347735" w:rsidP="00347735">
      <w:pPr>
        <w:pStyle w:val="ListParagraph"/>
        <w:spacing w:line="360" w:lineRule="auto"/>
        <w:ind w:left="900"/>
        <w:jc w:val="both"/>
        <w:rPr>
          <w:rFonts w:ascii="Cambria" w:hAnsi="Cambria" w:cs="Arial"/>
          <w:b/>
        </w:rPr>
      </w:pPr>
    </w:p>
    <w:p w14:paraId="201FB511" w14:textId="77777777" w:rsidR="006D07DF" w:rsidRDefault="006D07DF" w:rsidP="00347735">
      <w:pPr>
        <w:pStyle w:val="ListParagraph"/>
        <w:spacing w:line="360" w:lineRule="auto"/>
        <w:ind w:left="900"/>
        <w:jc w:val="both"/>
        <w:rPr>
          <w:rFonts w:ascii="Cambria" w:hAnsi="Cambria" w:cs="Arial"/>
          <w:b/>
        </w:rPr>
      </w:pPr>
    </w:p>
    <w:p w14:paraId="3D90399A" w14:textId="422490ED" w:rsidR="00347735" w:rsidRPr="006D07DF" w:rsidRDefault="006D07DF" w:rsidP="006D07DF">
      <w:pPr>
        <w:spacing w:line="360" w:lineRule="auto"/>
        <w:jc w:val="both"/>
        <w:rPr>
          <w:rFonts w:ascii="Cambria" w:hAnsi="Cambria" w:cs="Arial"/>
          <w:b/>
          <w:u w:val="single"/>
        </w:rPr>
      </w:pPr>
      <w:r w:rsidRPr="006D07DF">
        <w:rPr>
          <w:rFonts w:ascii="Cambria" w:hAnsi="Cambria" w:cs="Arial"/>
          <w:b/>
          <w:u w:val="single"/>
        </w:rPr>
        <w:lastRenderedPageBreak/>
        <w:t>Indicative Licenses Renewal Cost</w:t>
      </w:r>
    </w:p>
    <w:tbl>
      <w:tblPr>
        <w:tblW w:w="9771" w:type="dxa"/>
        <w:tblLook w:val="04A0" w:firstRow="1" w:lastRow="0" w:firstColumn="1" w:lastColumn="0" w:noHBand="0" w:noVBand="1"/>
      </w:tblPr>
      <w:tblGrid>
        <w:gridCol w:w="6653"/>
        <w:gridCol w:w="1275"/>
        <w:gridCol w:w="1843"/>
      </w:tblGrid>
      <w:tr w:rsidR="00347735" w:rsidRPr="00FA248E" w14:paraId="79DCB072" w14:textId="77777777" w:rsidTr="007011AE">
        <w:trPr>
          <w:trHeight w:val="345"/>
        </w:trPr>
        <w:tc>
          <w:tcPr>
            <w:tcW w:w="665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0F04EF8" w14:textId="530EDA00" w:rsidR="00347735" w:rsidRPr="00FA248E" w:rsidRDefault="006D07DF" w:rsidP="006D07DF">
            <w:pPr>
              <w:jc w:val="center"/>
              <w:rPr>
                <w:rFonts w:eastAsia="Times New Roman"/>
                <w:b/>
                <w:bCs/>
                <w:color w:val="000000"/>
                <w:sz w:val="26"/>
                <w:szCs w:val="26"/>
              </w:rPr>
            </w:pPr>
            <w:r>
              <w:rPr>
                <w:rFonts w:eastAsia="Times New Roman"/>
                <w:b/>
                <w:bCs/>
                <w:color w:val="000000"/>
                <w:sz w:val="24"/>
                <w:szCs w:val="28"/>
              </w:rPr>
              <w:t>Particulars</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E12457A" w14:textId="77777777" w:rsidR="00347735" w:rsidRPr="00FA248E" w:rsidRDefault="00347735" w:rsidP="007011AE">
            <w:pPr>
              <w:rPr>
                <w:rFonts w:eastAsia="Times New Roman"/>
                <w:color w:val="000000"/>
              </w:rPr>
            </w:pPr>
            <w:r w:rsidRPr="00FA248E">
              <w:rPr>
                <w:rFonts w:eastAsia="Times New Roman"/>
                <w:b/>
                <w:bCs/>
                <w:color w:val="000000"/>
                <w:sz w:val="28"/>
                <w:szCs w:val="28"/>
              </w:rPr>
              <w:t>Type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E003ACD" w14:textId="77777777" w:rsidR="00347735" w:rsidRPr="00FA248E" w:rsidRDefault="00347735" w:rsidP="007011AE">
            <w:pPr>
              <w:jc w:val="center"/>
              <w:rPr>
                <w:rFonts w:eastAsia="Times New Roman"/>
                <w:b/>
                <w:bCs/>
                <w:color w:val="000000"/>
              </w:rPr>
            </w:pPr>
            <w:r w:rsidRPr="00FA248E">
              <w:rPr>
                <w:rFonts w:eastAsia="Times New Roman"/>
                <w:b/>
                <w:bCs/>
                <w:color w:val="000000"/>
                <w:sz w:val="28"/>
                <w:szCs w:val="28"/>
              </w:rPr>
              <w:t>Total</w:t>
            </w:r>
          </w:p>
        </w:tc>
      </w:tr>
      <w:tr w:rsidR="00347735" w:rsidRPr="00FA248E" w14:paraId="475AEDCA" w14:textId="77777777" w:rsidTr="007011AE">
        <w:trPr>
          <w:trHeight w:val="3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226A0DC9" w14:textId="77777777" w:rsidR="00347735" w:rsidRPr="00FA248E" w:rsidRDefault="00347735" w:rsidP="00EC79CA">
            <w:pPr>
              <w:rPr>
                <w:rFonts w:eastAsia="Times New Roman"/>
                <w:color w:val="000000"/>
              </w:rPr>
            </w:pPr>
            <w:r w:rsidRPr="00FA248E">
              <w:rPr>
                <w:rFonts w:eastAsia="Times New Roman"/>
                <w:color w:val="000000"/>
              </w:rPr>
              <w:t>SMS for Smart Centre</w:t>
            </w:r>
          </w:p>
        </w:tc>
        <w:tc>
          <w:tcPr>
            <w:tcW w:w="1275" w:type="dxa"/>
            <w:tcBorders>
              <w:top w:val="nil"/>
              <w:left w:val="nil"/>
              <w:bottom w:val="single" w:sz="4" w:space="0" w:color="auto"/>
              <w:right w:val="single" w:sz="4" w:space="0" w:color="auto"/>
            </w:tcBorders>
            <w:shd w:val="clear" w:color="auto" w:fill="auto"/>
            <w:vAlign w:val="center"/>
            <w:hideMark/>
          </w:tcPr>
          <w:p w14:paraId="599FA1F9"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5C15B202"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12,50,000 </w:t>
            </w:r>
          </w:p>
        </w:tc>
      </w:tr>
      <w:tr w:rsidR="00347735" w:rsidRPr="00FA248E" w14:paraId="770B05FB" w14:textId="77777777" w:rsidTr="007011AE">
        <w:trPr>
          <w:trHeight w:val="3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066129EA" w14:textId="77777777" w:rsidR="00347735" w:rsidRPr="00FA248E" w:rsidRDefault="00347735" w:rsidP="00EC79CA">
            <w:pPr>
              <w:rPr>
                <w:rFonts w:eastAsia="Times New Roman"/>
                <w:i/>
                <w:iCs/>
                <w:color w:val="000000"/>
              </w:rPr>
            </w:pPr>
            <w:r w:rsidRPr="00FA248E">
              <w:rPr>
                <w:rFonts w:eastAsia="Times New Roman"/>
                <w:i/>
                <w:iCs/>
                <w:color w:val="000000"/>
              </w:rPr>
              <w:t>SMARTCENTER LICENSES COUNT</w:t>
            </w:r>
          </w:p>
        </w:tc>
        <w:tc>
          <w:tcPr>
            <w:tcW w:w="1275" w:type="dxa"/>
            <w:tcBorders>
              <w:top w:val="nil"/>
              <w:left w:val="nil"/>
              <w:bottom w:val="single" w:sz="4" w:space="0" w:color="auto"/>
              <w:right w:val="single" w:sz="4" w:space="0" w:color="auto"/>
            </w:tcBorders>
            <w:shd w:val="clear" w:color="auto" w:fill="auto"/>
            <w:vAlign w:val="center"/>
            <w:hideMark/>
          </w:tcPr>
          <w:p w14:paraId="5891AD14" w14:textId="77777777" w:rsidR="00347735" w:rsidRPr="00FA248E" w:rsidRDefault="00347735" w:rsidP="00EC79CA">
            <w:pPr>
              <w:rPr>
                <w:rFonts w:eastAsia="Times New Roman"/>
                <w:i/>
                <w:iCs/>
                <w:color w:val="000000"/>
              </w:rPr>
            </w:pPr>
            <w:r w:rsidRPr="00FA248E">
              <w:rPr>
                <w:rFonts w:eastAsia="Times New Roman"/>
                <w:i/>
                <w:iCs/>
                <w:color w:val="000000"/>
              </w:rPr>
              <w:t> </w:t>
            </w:r>
          </w:p>
        </w:tc>
        <w:tc>
          <w:tcPr>
            <w:tcW w:w="1843" w:type="dxa"/>
            <w:tcBorders>
              <w:top w:val="nil"/>
              <w:left w:val="nil"/>
              <w:bottom w:val="single" w:sz="4" w:space="0" w:color="auto"/>
              <w:right w:val="single" w:sz="4" w:space="0" w:color="auto"/>
            </w:tcBorders>
            <w:shd w:val="clear" w:color="auto" w:fill="auto"/>
            <w:vAlign w:val="center"/>
            <w:hideMark/>
          </w:tcPr>
          <w:p w14:paraId="67A9C582" w14:textId="77777777" w:rsidR="00347735" w:rsidRPr="00FA248E" w:rsidRDefault="00347735" w:rsidP="00EC79CA">
            <w:pPr>
              <w:jc w:val="center"/>
              <w:rPr>
                <w:rFonts w:eastAsia="Times New Roman"/>
                <w:b/>
                <w:bCs/>
                <w:i/>
                <w:iCs/>
                <w:color w:val="000000"/>
              </w:rPr>
            </w:pPr>
            <w:r w:rsidRPr="00FA248E">
              <w:rPr>
                <w:rFonts w:eastAsia="Times New Roman"/>
                <w:b/>
                <w:bCs/>
                <w:i/>
                <w:iCs/>
                <w:color w:val="000000"/>
              </w:rPr>
              <w:t> </w:t>
            </w:r>
          </w:p>
        </w:tc>
      </w:tr>
      <w:tr w:rsidR="00347735" w:rsidRPr="00FA248E" w14:paraId="1D143CA4" w14:textId="77777777" w:rsidTr="007011AE">
        <w:trPr>
          <w:trHeight w:val="6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7CF174C0" w14:textId="77777777" w:rsidR="00347735" w:rsidRPr="00FA248E" w:rsidRDefault="00347735" w:rsidP="00EC79CA">
            <w:pPr>
              <w:rPr>
                <w:rFonts w:eastAsia="Times New Roman"/>
                <w:color w:val="000000"/>
              </w:rPr>
            </w:pPr>
            <w:r w:rsidRPr="00FA248E">
              <w:rPr>
                <w:rFonts w:eastAsia="Times New Roman"/>
                <w:color w:val="000000"/>
              </w:rPr>
              <w:t xml:space="preserve">SMARTCENTER LICENSES RENEWAL (6713 Licenses </w:t>
            </w:r>
            <w:proofErr w:type="gramStart"/>
            <w:r w:rsidRPr="00FA248E">
              <w:rPr>
                <w:rFonts w:eastAsia="Times New Roman"/>
                <w:color w:val="000000"/>
              </w:rPr>
              <w:t>At</w:t>
            </w:r>
            <w:proofErr w:type="gramEnd"/>
            <w:r w:rsidRPr="00FA248E">
              <w:rPr>
                <w:rFonts w:eastAsia="Times New Roman"/>
                <w:color w:val="000000"/>
              </w:rPr>
              <w:t xml:space="preserve"> Rs.250 per License)</w:t>
            </w:r>
          </w:p>
        </w:tc>
        <w:tc>
          <w:tcPr>
            <w:tcW w:w="1275" w:type="dxa"/>
            <w:tcBorders>
              <w:top w:val="nil"/>
              <w:left w:val="nil"/>
              <w:bottom w:val="single" w:sz="4" w:space="0" w:color="auto"/>
              <w:right w:val="single" w:sz="4" w:space="0" w:color="auto"/>
            </w:tcBorders>
            <w:shd w:val="clear" w:color="auto" w:fill="auto"/>
            <w:vAlign w:val="center"/>
            <w:hideMark/>
          </w:tcPr>
          <w:p w14:paraId="5618F2A5"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16217863"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16,78,250 </w:t>
            </w:r>
          </w:p>
        </w:tc>
      </w:tr>
      <w:tr w:rsidR="00347735" w:rsidRPr="00FA248E" w14:paraId="5BE975E5" w14:textId="77777777" w:rsidTr="007011AE">
        <w:trPr>
          <w:trHeight w:val="3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2C672EC7" w14:textId="77777777" w:rsidR="00347735" w:rsidRPr="00FA248E" w:rsidRDefault="00347735" w:rsidP="00EC79CA">
            <w:pPr>
              <w:rPr>
                <w:rFonts w:eastAsia="Times New Roman"/>
                <w:color w:val="000000"/>
              </w:rPr>
            </w:pPr>
            <w:r w:rsidRPr="00FA248E">
              <w:rPr>
                <w:rFonts w:eastAsia="Times New Roman"/>
                <w:color w:val="000000"/>
              </w:rPr>
              <w:t>CAMPUSNEXUS CRM LICENSE AMC (250 NOS)</w:t>
            </w:r>
          </w:p>
        </w:tc>
        <w:tc>
          <w:tcPr>
            <w:tcW w:w="1275" w:type="dxa"/>
            <w:tcBorders>
              <w:top w:val="nil"/>
              <w:left w:val="nil"/>
              <w:bottom w:val="single" w:sz="4" w:space="0" w:color="auto"/>
              <w:right w:val="single" w:sz="4" w:space="0" w:color="auto"/>
            </w:tcBorders>
            <w:shd w:val="clear" w:color="auto" w:fill="auto"/>
            <w:vAlign w:val="center"/>
            <w:hideMark/>
          </w:tcPr>
          <w:p w14:paraId="0D7A61E9"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2B0AE46A"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16,50,000 </w:t>
            </w:r>
          </w:p>
        </w:tc>
      </w:tr>
      <w:tr w:rsidR="00347735" w:rsidRPr="00FA248E" w14:paraId="0EEDFD1B" w14:textId="77777777" w:rsidTr="007011AE">
        <w:trPr>
          <w:trHeight w:val="3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265CC5A8" w14:textId="77777777" w:rsidR="00347735" w:rsidRPr="00FA248E" w:rsidRDefault="00347735" w:rsidP="00EC79CA">
            <w:pPr>
              <w:rPr>
                <w:rFonts w:eastAsia="Times New Roman"/>
                <w:color w:val="000000"/>
              </w:rPr>
            </w:pPr>
            <w:r w:rsidRPr="00FA248E">
              <w:rPr>
                <w:rFonts w:eastAsia="Times New Roman"/>
                <w:color w:val="000000"/>
              </w:rPr>
              <w:t>POWER BI LICENSES (500 Licenses)</w:t>
            </w:r>
          </w:p>
        </w:tc>
        <w:tc>
          <w:tcPr>
            <w:tcW w:w="1275" w:type="dxa"/>
            <w:tcBorders>
              <w:top w:val="nil"/>
              <w:left w:val="nil"/>
              <w:bottom w:val="single" w:sz="4" w:space="0" w:color="auto"/>
              <w:right w:val="single" w:sz="4" w:space="0" w:color="auto"/>
            </w:tcBorders>
            <w:shd w:val="clear" w:color="auto" w:fill="auto"/>
            <w:vAlign w:val="center"/>
            <w:hideMark/>
          </w:tcPr>
          <w:p w14:paraId="50179459"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33A2FDC3"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9,06,250 </w:t>
            </w:r>
          </w:p>
        </w:tc>
      </w:tr>
      <w:tr w:rsidR="00347735" w:rsidRPr="00FA248E" w14:paraId="2B91C5C4" w14:textId="77777777" w:rsidTr="007011AE">
        <w:trPr>
          <w:trHeight w:val="3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5B13B16D" w14:textId="77777777" w:rsidR="00347735" w:rsidRPr="00FA248E" w:rsidRDefault="00347735" w:rsidP="00EC79CA">
            <w:pPr>
              <w:rPr>
                <w:rFonts w:eastAsia="Times New Roman"/>
                <w:color w:val="000000"/>
              </w:rPr>
            </w:pPr>
            <w:r w:rsidRPr="00FA248E">
              <w:rPr>
                <w:rFonts w:eastAsia="Times New Roman"/>
                <w:color w:val="000000"/>
              </w:rPr>
              <w:t>SMARTCENTER LICENSES (6000 Licenses)</w:t>
            </w:r>
          </w:p>
        </w:tc>
        <w:tc>
          <w:tcPr>
            <w:tcW w:w="1275" w:type="dxa"/>
            <w:tcBorders>
              <w:top w:val="nil"/>
              <w:left w:val="nil"/>
              <w:bottom w:val="single" w:sz="4" w:space="0" w:color="auto"/>
              <w:right w:val="single" w:sz="4" w:space="0" w:color="auto"/>
            </w:tcBorders>
            <w:shd w:val="clear" w:color="auto" w:fill="auto"/>
            <w:vAlign w:val="center"/>
            <w:hideMark/>
          </w:tcPr>
          <w:p w14:paraId="1D8A7A6B"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648709D9"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36,00,000 </w:t>
            </w:r>
          </w:p>
        </w:tc>
      </w:tr>
      <w:tr w:rsidR="00347735" w:rsidRPr="00FA248E" w14:paraId="7E73EB02" w14:textId="77777777" w:rsidTr="007011AE">
        <w:trPr>
          <w:trHeight w:val="6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125CB451" w14:textId="486709D4" w:rsidR="00347735" w:rsidRPr="00FA248E" w:rsidRDefault="00347735" w:rsidP="00EC79CA">
            <w:pPr>
              <w:rPr>
                <w:rFonts w:eastAsia="Times New Roman"/>
                <w:color w:val="000000"/>
              </w:rPr>
            </w:pPr>
            <w:r w:rsidRPr="00FA248E">
              <w:rPr>
                <w:rFonts w:eastAsia="Times New Roman"/>
                <w:color w:val="000000"/>
              </w:rPr>
              <w:t xml:space="preserve">MICROSOFT AX BREP (RENEWAL) (1 Server, 2 </w:t>
            </w:r>
            <w:r w:rsidR="008753A8" w:rsidRPr="00FA248E">
              <w:rPr>
                <w:rFonts w:eastAsia="Times New Roman"/>
                <w:color w:val="000000"/>
              </w:rPr>
              <w:t>Enterprise</w:t>
            </w:r>
            <w:r w:rsidRPr="00FA248E">
              <w:rPr>
                <w:rFonts w:eastAsia="Times New Roman"/>
                <w:color w:val="000000"/>
              </w:rPr>
              <w:t>, 8 Task Users)</w:t>
            </w:r>
          </w:p>
        </w:tc>
        <w:tc>
          <w:tcPr>
            <w:tcW w:w="1275" w:type="dxa"/>
            <w:tcBorders>
              <w:top w:val="nil"/>
              <w:left w:val="nil"/>
              <w:bottom w:val="single" w:sz="4" w:space="0" w:color="auto"/>
              <w:right w:val="single" w:sz="4" w:space="0" w:color="auto"/>
            </w:tcBorders>
            <w:shd w:val="clear" w:color="auto" w:fill="auto"/>
            <w:vAlign w:val="center"/>
            <w:hideMark/>
          </w:tcPr>
          <w:p w14:paraId="097E3F2D"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4B4A5A38"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2,35,620 </w:t>
            </w:r>
          </w:p>
        </w:tc>
      </w:tr>
      <w:tr w:rsidR="00347735" w:rsidRPr="00FA248E" w14:paraId="2CEAAB80" w14:textId="77777777" w:rsidTr="007011AE">
        <w:trPr>
          <w:trHeight w:val="3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400BB5AB" w14:textId="77777777" w:rsidR="00347735" w:rsidRPr="00FA248E" w:rsidRDefault="00347735" w:rsidP="00EC79CA">
            <w:pPr>
              <w:rPr>
                <w:rFonts w:eastAsia="Times New Roman"/>
                <w:color w:val="000000"/>
              </w:rPr>
            </w:pPr>
            <w:r w:rsidRPr="00FA248E">
              <w:rPr>
                <w:rFonts w:eastAsia="Times New Roman"/>
                <w:color w:val="000000"/>
              </w:rPr>
              <w:t>POWER BI LICENSES (100 NOS RENEWAL)</w:t>
            </w:r>
          </w:p>
        </w:tc>
        <w:tc>
          <w:tcPr>
            <w:tcW w:w="1275" w:type="dxa"/>
            <w:tcBorders>
              <w:top w:val="nil"/>
              <w:left w:val="nil"/>
              <w:bottom w:val="single" w:sz="4" w:space="0" w:color="auto"/>
              <w:right w:val="single" w:sz="4" w:space="0" w:color="auto"/>
            </w:tcBorders>
            <w:shd w:val="clear" w:color="auto" w:fill="auto"/>
            <w:vAlign w:val="center"/>
            <w:hideMark/>
          </w:tcPr>
          <w:p w14:paraId="1C454A66"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2943E666"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1,81,250 </w:t>
            </w:r>
          </w:p>
        </w:tc>
      </w:tr>
      <w:tr w:rsidR="00347735" w:rsidRPr="00FA248E" w14:paraId="62FE4A16" w14:textId="77777777" w:rsidTr="007011AE">
        <w:trPr>
          <w:trHeight w:val="6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41C21C2D" w14:textId="77777777" w:rsidR="00347735" w:rsidRPr="00FA248E" w:rsidRDefault="00347735" w:rsidP="00EC79CA">
            <w:pPr>
              <w:rPr>
                <w:rFonts w:eastAsia="Times New Roman"/>
                <w:color w:val="000000"/>
              </w:rPr>
            </w:pPr>
            <w:r w:rsidRPr="00FA248E">
              <w:rPr>
                <w:rFonts w:eastAsia="Times New Roman"/>
                <w:color w:val="000000"/>
              </w:rPr>
              <w:t>JIRA LICENSES FOR MANAGED SERVICES (40 Licenses)</w:t>
            </w:r>
          </w:p>
        </w:tc>
        <w:tc>
          <w:tcPr>
            <w:tcW w:w="1275" w:type="dxa"/>
            <w:tcBorders>
              <w:top w:val="nil"/>
              <w:left w:val="nil"/>
              <w:bottom w:val="single" w:sz="4" w:space="0" w:color="auto"/>
              <w:right w:val="single" w:sz="4" w:space="0" w:color="auto"/>
            </w:tcBorders>
            <w:shd w:val="clear" w:color="auto" w:fill="auto"/>
            <w:vAlign w:val="center"/>
            <w:hideMark/>
          </w:tcPr>
          <w:p w14:paraId="4EBFB98C"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2C3E097A"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8,00,000 </w:t>
            </w:r>
          </w:p>
        </w:tc>
      </w:tr>
      <w:tr w:rsidR="00347735" w:rsidRPr="00FA248E" w14:paraId="13619B01" w14:textId="77777777" w:rsidTr="007011AE">
        <w:trPr>
          <w:trHeight w:val="6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506D13BE" w14:textId="77777777" w:rsidR="00347735" w:rsidRPr="00FA248E" w:rsidRDefault="00347735" w:rsidP="00EC79CA">
            <w:pPr>
              <w:rPr>
                <w:rFonts w:eastAsia="Times New Roman"/>
                <w:color w:val="000000"/>
              </w:rPr>
            </w:pPr>
            <w:r w:rsidRPr="00FA248E">
              <w:rPr>
                <w:rFonts w:eastAsia="Times New Roman"/>
                <w:color w:val="000000"/>
              </w:rPr>
              <w:t>CSSM: JIRA LICENSES FOR MANAGED SERVICES (20 Licenses)</w:t>
            </w:r>
          </w:p>
        </w:tc>
        <w:tc>
          <w:tcPr>
            <w:tcW w:w="1275" w:type="dxa"/>
            <w:tcBorders>
              <w:top w:val="nil"/>
              <w:left w:val="nil"/>
              <w:bottom w:val="single" w:sz="4" w:space="0" w:color="auto"/>
              <w:right w:val="single" w:sz="4" w:space="0" w:color="auto"/>
            </w:tcBorders>
            <w:shd w:val="clear" w:color="auto" w:fill="auto"/>
            <w:vAlign w:val="center"/>
            <w:hideMark/>
          </w:tcPr>
          <w:p w14:paraId="039B537E"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78DEB8B9"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4,00,000 </w:t>
            </w:r>
          </w:p>
        </w:tc>
      </w:tr>
      <w:tr w:rsidR="00347735" w:rsidRPr="00FA248E" w14:paraId="41D543DB" w14:textId="77777777" w:rsidTr="007011AE">
        <w:trPr>
          <w:trHeight w:val="9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22842A57" w14:textId="77777777" w:rsidR="00347735" w:rsidRPr="00FA248E" w:rsidRDefault="00347735" w:rsidP="00EC79CA">
            <w:pPr>
              <w:rPr>
                <w:rFonts w:eastAsia="Times New Roman"/>
                <w:color w:val="000000"/>
              </w:rPr>
            </w:pPr>
            <w:r w:rsidRPr="00FA248E">
              <w:rPr>
                <w:rFonts w:eastAsia="Times New Roman"/>
                <w:color w:val="000000"/>
              </w:rPr>
              <w:t>JIRA LICENSES FOR RURAL SHORES, GRIEVANCE HANDLING, SMART Development team (40 Licenses)</w:t>
            </w:r>
          </w:p>
        </w:tc>
        <w:tc>
          <w:tcPr>
            <w:tcW w:w="1275" w:type="dxa"/>
            <w:tcBorders>
              <w:top w:val="nil"/>
              <w:left w:val="nil"/>
              <w:bottom w:val="single" w:sz="4" w:space="0" w:color="auto"/>
              <w:right w:val="single" w:sz="4" w:space="0" w:color="auto"/>
            </w:tcBorders>
            <w:shd w:val="clear" w:color="auto" w:fill="auto"/>
            <w:vAlign w:val="center"/>
            <w:hideMark/>
          </w:tcPr>
          <w:p w14:paraId="43590F31"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4AA89E7F"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8,00,000 </w:t>
            </w:r>
          </w:p>
        </w:tc>
      </w:tr>
      <w:tr w:rsidR="00347735" w:rsidRPr="00FA248E" w14:paraId="2F1B6282" w14:textId="77777777" w:rsidTr="007011AE">
        <w:trPr>
          <w:trHeight w:val="600"/>
        </w:trPr>
        <w:tc>
          <w:tcPr>
            <w:tcW w:w="6653" w:type="dxa"/>
            <w:tcBorders>
              <w:top w:val="nil"/>
              <w:left w:val="single" w:sz="8" w:space="0" w:color="auto"/>
              <w:bottom w:val="single" w:sz="4" w:space="0" w:color="auto"/>
              <w:right w:val="single" w:sz="4" w:space="0" w:color="auto"/>
            </w:tcBorders>
            <w:shd w:val="clear" w:color="auto" w:fill="auto"/>
            <w:vAlign w:val="center"/>
            <w:hideMark/>
          </w:tcPr>
          <w:p w14:paraId="2D98FA9B" w14:textId="77777777" w:rsidR="00347735" w:rsidRPr="00FA248E" w:rsidRDefault="00347735" w:rsidP="00EC79CA">
            <w:pPr>
              <w:rPr>
                <w:rFonts w:eastAsia="Times New Roman"/>
                <w:color w:val="000000"/>
              </w:rPr>
            </w:pPr>
            <w:r w:rsidRPr="00FA248E">
              <w:rPr>
                <w:rFonts w:eastAsia="Times New Roman"/>
                <w:color w:val="000000"/>
              </w:rPr>
              <w:t>TOT/TOA: JIRA LICENSES FOR MANAGED SERVICES (10 Licenses)</w:t>
            </w:r>
          </w:p>
        </w:tc>
        <w:tc>
          <w:tcPr>
            <w:tcW w:w="1275" w:type="dxa"/>
            <w:tcBorders>
              <w:top w:val="nil"/>
              <w:left w:val="nil"/>
              <w:bottom w:val="single" w:sz="4" w:space="0" w:color="auto"/>
              <w:right w:val="single" w:sz="4" w:space="0" w:color="auto"/>
            </w:tcBorders>
            <w:shd w:val="clear" w:color="auto" w:fill="auto"/>
            <w:vAlign w:val="center"/>
            <w:hideMark/>
          </w:tcPr>
          <w:p w14:paraId="60D2E22D" w14:textId="77777777" w:rsidR="00347735" w:rsidRPr="00FA248E" w:rsidRDefault="00347735" w:rsidP="00EC79CA">
            <w:pPr>
              <w:rPr>
                <w:rFonts w:eastAsia="Times New Roman"/>
                <w:color w:val="000000"/>
              </w:rPr>
            </w:pPr>
            <w:r w:rsidRPr="00FA248E">
              <w:rPr>
                <w:rFonts w:eastAsia="Times New Roman"/>
                <w:color w:val="000000"/>
              </w:rPr>
              <w:t>License</w:t>
            </w:r>
          </w:p>
        </w:tc>
        <w:tc>
          <w:tcPr>
            <w:tcW w:w="1843" w:type="dxa"/>
            <w:tcBorders>
              <w:top w:val="nil"/>
              <w:left w:val="nil"/>
              <w:bottom w:val="single" w:sz="4" w:space="0" w:color="auto"/>
              <w:right w:val="single" w:sz="4" w:space="0" w:color="auto"/>
            </w:tcBorders>
            <w:shd w:val="clear" w:color="auto" w:fill="auto"/>
            <w:vAlign w:val="center"/>
            <w:hideMark/>
          </w:tcPr>
          <w:p w14:paraId="153BB855"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2,00,000 </w:t>
            </w:r>
          </w:p>
        </w:tc>
      </w:tr>
      <w:tr w:rsidR="00347735" w:rsidRPr="00FA248E" w14:paraId="768E14D6" w14:textId="77777777" w:rsidTr="007011AE">
        <w:trPr>
          <w:trHeight w:val="315"/>
        </w:trPr>
        <w:tc>
          <w:tcPr>
            <w:tcW w:w="6653" w:type="dxa"/>
            <w:tcBorders>
              <w:top w:val="nil"/>
              <w:left w:val="single" w:sz="8" w:space="0" w:color="auto"/>
              <w:bottom w:val="single" w:sz="8" w:space="0" w:color="auto"/>
              <w:right w:val="single" w:sz="4" w:space="0" w:color="auto"/>
            </w:tcBorders>
            <w:shd w:val="clear" w:color="000000" w:fill="FFC000"/>
            <w:vAlign w:val="center"/>
            <w:hideMark/>
          </w:tcPr>
          <w:p w14:paraId="7F03FB98" w14:textId="77777777" w:rsidR="00347735" w:rsidRPr="00FA248E" w:rsidRDefault="00347735" w:rsidP="00EC79CA">
            <w:pPr>
              <w:rPr>
                <w:rFonts w:eastAsia="Times New Roman"/>
                <w:b/>
                <w:bCs/>
                <w:color w:val="000000"/>
              </w:rPr>
            </w:pPr>
            <w:r w:rsidRPr="00FA248E">
              <w:rPr>
                <w:rFonts w:eastAsia="Times New Roman"/>
                <w:b/>
                <w:bCs/>
                <w:color w:val="000000"/>
              </w:rPr>
              <w:t>Licenses Renewal Total</w:t>
            </w:r>
          </w:p>
        </w:tc>
        <w:tc>
          <w:tcPr>
            <w:tcW w:w="1275" w:type="dxa"/>
            <w:tcBorders>
              <w:top w:val="nil"/>
              <w:left w:val="nil"/>
              <w:bottom w:val="single" w:sz="8" w:space="0" w:color="auto"/>
              <w:right w:val="single" w:sz="4" w:space="0" w:color="auto"/>
            </w:tcBorders>
            <w:shd w:val="clear" w:color="000000" w:fill="FFC000"/>
            <w:vAlign w:val="center"/>
            <w:hideMark/>
          </w:tcPr>
          <w:p w14:paraId="56D7FF09" w14:textId="77777777" w:rsidR="00347735" w:rsidRPr="00FA248E" w:rsidRDefault="00347735" w:rsidP="00EC79CA">
            <w:pPr>
              <w:rPr>
                <w:rFonts w:eastAsia="Times New Roman"/>
                <w:color w:val="000000"/>
              </w:rPr>
            </w:pPr>
            <w:r w:rsidRPr="00FA248E">
              <w:rPr>
                <w:rFonts w:eastAsia="Times New Roman"/>
                <w:color w:val="000000"/>
              </w:rPr>
              <w:t> </w:t>
            </w:r>
          </w:p>
        </w:tc>
        <w:tc>
          <w:tcPr>
            <w:tcW w:w="1843" w:type="dxa"/>
            <w:tcBorders>
              <w:top w:val="nil"/>
              <w:left w:val="nil"/>
              <w:bottom w:val="single" w:sz="8" w:space="0" w:color="auto"/>
              <w:right w:val="single" w:sz="4" w:space="0" w:color="auto"/>
            </w:tcBorders>
            <w:shd w:val="clear" w:color="000000" w:fill="FFC000"/>
            <w:vAlign w:val="center"/>
            <w:hideMark/>
          </w:tcPr>
          <w:p w14:paraId="375FF02F" w14:textId="77777777" w:rsidR="00347735" w:rsidRPr="00FA248E" w:rsidRDefault="00347735" w:rsidP="00EC79CA">
            <w:pPr>
              <w:jc w:val="center"/>
              <w:rPr>
                <w:rFonts w:eastAsia="Times New Roman"/>
                <w:b/>
                <w:bCs/>
                <w:color w:val="000000"/>
              </w:rPr>
            </w:pPr>
            <w:r w:rsidRPr="00FA248E">
              <w:rPr>
                <w:rFonts w:eastAsia="Times New Roman"/>
                <w:b/>
                <w:bCs/>
                <w:color w:val="000000"/>
              </w:rPr>
              <w:t xml:space="preserve"> ₹     1,17,01,370 </w:t>
            </w:r>
          </w:p>
        </w:tc>
      </w:tr>
    </w:tbl>
    <w:p w14:paraId="7BD5349B" w14:textId="77777777" w:rsidR="006D07DF" w:rsidRDefault="006D07DF" w:rsidP="006D07DF">
      <w:pPr>
        <w:spacing w:line="360" w:lineRule="auto"/>
        <w:jc w:val="both"/>
        <w:rPr>
          <w:rFonts w:eastAsia="Times New Roman"/>
          <w:b/>
          <w:bCs/>
          <w:color w:val="000000"/>
          <w:sz w:val="24"/>
          <w:szCs w:val="28"/>
        </w:rPr>
      </w:pPr>
    </w:p>
    <w:p w14:paraId="6A172399" w14:textId="5D0A2CA0" w:rsidR="006D07DF" w:rsidRPr="006D07DF" w:rsidRDefault="006D07DF" w:rsidP="006D07DF">
      <w:pPr>
        <w:spacing w:line="360" w:lineRule="auto"/>
        <w:jc w:val="both"/>
        <w:rPr>
          <w:rFonts w:ascii="Cambria" w:hAnsi="Cambria" w:cs="Arial"/>
          <w:b/>
          <w:u w:val="single"/>
        </w:rPr>
      </w:pPr>
      <w:bookmarkStart w:id="3" w:name="_Hlk514674225"/>
      <w:r w:rsidRPr="006D07DF">
        <w:rPr>
          <w:rFonts w:ascii="Cambria" w:hAnsi="Cambria" w:cs="Arial"/>
          <w:b/>
          <w:u w:val="single"/>
        </w:rPr>
        <w:t>PMKVY 2.0 &amp; Non-PMKVY Scheme Enhancements and continuous developments</w:t>
      </w:r>
      <w:bookmarkEnd w:id="3"/>
      <w:r w:rsidR="008753A8">
        <w:rPr>
          <w:rFonts w:ascii="Cambria" w:hAnsi="Cambria" w:cs="Arial"/>
          <w:b/>
          <w:u w:val="single"/>
        </w:rPr>
        <w:t>*</w:t>
      </w:r>
    </w:p>
    <w:tbl>
      <w:tblPr>
        <w:tblW w:w="4854" w:type="pct"/>
        <w:tblLayout w:type="fixed"/>
        <w:tblLook w:val="04A0" w:firstRow="1" w:lastRow="0" w:firstColumn="1" w:lastColumn="0" w:noHBand="0" w:noVBand="1"/>
      </w:tblPr>
      <w:tblGrid>
        <w:gridCol w:w="3255"/>
        <w:gridCol w:w="1842"/>
        <w:gridCol w:w="2411"/>
        <w:gridCol w:w="2268"/>
      </w:tblGrid>
      <w:tr w:rsidR="00347735" w:rsidRPr="00E2712C" w14:paraId="11CF4A77" w14:textId="77777777" w:rsidTr="007011AE">
        <w:trPr>
          <w:trHeight w:val="750"/>
        </w:trPr>
        <w:tc>
          <w:tcPr>
            <w:tcW w:w="16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2350CA" w14:textId="1E342F7F" w:rsidR="00347735" w:rsidRPr="00E2712C" w:rsidRDefault="006D07DF" w:rsidP="007011AE">
            <w:pPr>
              <w:jc w:val="center"/>
              <w:rPr>
                <w:rFonts w:eastAsia="Times New Roman"/>
                <w:b/>
                <w:bCs/>
                <w:color w:val="000000"/>
                <w:sz w:val="24"/>
                <w:szCs w:val="28"/>
              </w:rPr>
            </w:pPr>
            <w:r>
              <w:rPr>
                <w:rFonts w:eastAsia="Times New Roman"/>
                <w:b/>
                <w:bCs/>
                <w:color w:val="000000"/>
                <w:sz w:val="24"/>
                <w:szCs w:val="28"/>
              </w:rPr>
              <w:t>Particulars</w:t>
            </w:r>
          </w:p>
        </w:tc>
        <w:tc>
          <w:tcPr>
            <w:tcW w:w="942" w:type="pct"/>
            <w:tcBorders>
              <w:top w:val="single" w:sz="4" w:space="0" w:color="auto"/>
              <w:left w:val="nil"/>
              <w:bottom w:val="single" w:sz="4" w:space="0" w:color="auto"/>
              <w:right w:val="single" w:sz="4" w:space="0" w:color="auto"/>
            </w:tcBorders>
            <w:shd w:val="clear" w:color="auto" w:fill="auto"/>
            <w:vAlign w:val="center"/>
            <w:hideMark/>
          </w:tcPr>
          <w:p w14:paraId="58DF03D6" w14:textId="77777777" w:rsidR="00347735" w:rsidRPr="00E2712C" w:rsidRDefault="00347735" w:rsidP="007011AE">
            <w:pPr>
              <w:jc w:val="center"/>
              <w:rPr>
                <w:rFonts w:eastAsia="Times New Roman"/>
                <w:b/>
                <w:bCs/>
                <w:color w:val="000000"/>
                <w:sz w:val="24"/>
                <w:szCs w:val="28"/>
              </w:rPr>
            </w:pPr>
            <w:r w:rsidRPr="00E2712C">
              <w:rPr>
                <w:rFonts w:eastAsia="Times New Roman"/>
                <w:b/>
                <w:bCs/>
                <w:color w:val="000000"/>
                <w:sz w:val="24"/>
                <w:szCs w:val="28"/>
              </w:rPr>
              <w:t>Resource for 2018-19</w:t>
            </w:r>
          </w:p>
        </w:tc>
        <w:tc>
          <w:tcPr>
            <w:tcW w:w="1233" w:type="pct"/>
            <w:tcBorders>
              <w:top w:val="single" w:sz="4" w:space="0" w:color="auto"/>
              <w:left w:val="nil"/>
              <w:bottom w:val="single" w:sz="4" w:space="0" w:color="auto"/>
              <w:right w:val="single" w:sz="4" w:space="0" w:color="auto"/>
            </w:tcBorders>
            <w:shd w:val="clear" w:color="auto" w:fill="auto"/>
            <w:vAlign w:val="center"/>
            <w:hideMark/>
          </w:tcPr>
          <w:p w14:paraId="7EA31A41" w14:textId="77777777" w:rsidR="00347735" w:rsidRPr="00E2712C" w:rsidRDefault="00347735" w:rsidP="007011AE">
            <w:pPr>
              <w:jc w:val="center"/>
              <w:rPr>
                <w:rFonts w:eastAsia="Times New Roman"/>
                <w:b/>
                <w:bCs/>
                <w:color w:val="000000"/>
                <w:sz w:val="24"/>
                <w:szCs w:val="28"/>
              </w:rPr>
            </w:pPr>
            <w:r w:rsidRPr="00E2712C">
              <w:rPr>
                <w:rFonts w:eastAsia="Times New Roman"/>
                <w:b/>
                <w:bCs/>
                <w:color w:val="000000"/>
                <w:sz w:val="24"/>
                <w:szCs w:val="28"/>
              </w:rPr>
              <w:t>Per Month Rate</w:t>
            </w:r>
          </w:p>
        </w:tc>
        <w:tc>
          <w:tcPr>
            <w:tcW w:w="1160" w:type="pct"/>
            <w:tcBorders>
              <w:top w:val="single" w:sz="4" w:space="0" w:color="auto"/>
              <w:left w:val="nil"/>
              <w:bottom w:val="single" w:sz="4" w:space="0" w:color="auto"/>
              <w:right w:val="single" w:sz="4" w:space="0" w:color="auto"/>
            </w:tcBorders>
            <w:shd w:val="clear" w:color="auto" w:fill="auto"/>
            <w:vAlign w:val="center"/>
            <w:hideMark/>
          </w:tcPr>
          <w:p w14:paraId="523336EF" w14:textId="77777777" w:rsidR="00347735" w:rsidRPr="00E2712C" w:rsidRDefault="00347735" w:rsidP="007011AE">
            <w:pPr>
              <w:jc w:val="center"/>
              <w:rPr>
                <w:rFonts w:eastAsia="Times New Roman"/>
                <w:b/>
                <w:bCs/>
                <w:color w:val="000000"/>
                <w:sz w:val="24"/>
                <w:szCs w:val="28"/>
              </w:rPr>
            </w:pPr>
            <w:r w:rsidRPr="00E2712C">
              <w:rPr>
                <w:rFonts w:eastAsia="Times New Roman"/>
                <w:b/>
                <w:bCs/>
                <w:color w:val="000000"/>
                <w:sz w:val="24"/>
                <w:szCs w:val="28"/>
              </w:rPr>
              <w:t>Total</w:t>
            </w:r>
          </w:p>
        </w:tc>
      </w:tr>
      <w:tr w:rsidR="00347735" w:rsidRPr="00E2712C" w14:paraId="6AC15824" w14:textId="77777777" w:rsidTr="007011AE">
        <w:trPr>
          <w:trHeight w:val="285"/>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58687053" w14:textId="77777777" w:rsidR="00347735" w:rsidRPr="00E2712C" w:rsidRDefault="00347735" w:rsidP="007011AE">
            <w:pPr>
              <w:rPr>
                <w:rFonts w:eastAsia="Times New Roman"/>
                <w:color w:val="000000"/>
              </w:rPr>
            </w:pPr>
            <w:r w:rsidRPr="00E2712C">
              <w:rPr>
                <w:rFonts w:eastAsia="Times New Roman"/>
                <w:color w:val="000000"/>
              </w:rPr>
              <w:t>Program Manager</w:t>
            </w:r>
          </w:p>
        </w:tc>
        <w:tc>
          <w:tcPr>
            <w:tcW w:w="942" w:type="pct"/>
            <w:tcBorders>
              <w:top w:val="nil"/>
              <w:left w:val="nil"/>
              <w:bottom w:val="single" w:sz="4" w:space="0" w:color="auto"/>
              <w:right w:val="single" w:sz="4" w:space="0" w:color="auto"/>
            </w:tcBorders>
            <w:shd w:val="clear" w:color="auto" w:fill="auto"/>
            <w:vAlign w:val="center"/>
            <w:hideMark/>
          </w:tcPr>
          <w:p w14:paraId="39AA09BA" w14:textId="77777777" w:rsidR="00347735" w:rsidRPr="00E2712C" w:rsidRDefault="00347735" w:rsidP="007011AE">
            <w:pPr>
              <w:jc w:val="center"/>
              <w:rPr>
                <w:rFonts w:eastAsia="Times New Roman"/>
                <w:color w:val="000000"/>
              </w:rPr>
            </w:pPr>
            <w:r w:rsidRPr="00E2712C">
              <w:rPr>
                <w:rFonts w:eastAsia="Times New Roman"/>
                <w:color w:val="000000"/>
              </w:rPr>
              <w:t>1</w:t>
            </w:r>
          </w:p>
        </w:tc>
        <w:tc>
          <w:tcPr>
            <w:tcW w:w="1233" w:type="pct"/>
            <w:tcBorders>
              <w:top w:val="nil"/>
              <w:left w:val="nil"/>
              <w:bottom w:val="single" w:sz="4" w:space="0" w:color="auto"/>
              <w:right w:val="single" w:sz="4" w:space="0" w:color="auto"/>
            </w:tcBorders>
            <w:shd w:val="clear" w:color="auto" w:fill="auto"/>
            <w:vAlign w:val="center"/>
            <w:hideMark/>
          </w:tcPr>
          <w:p w14:paraId="4B43FBC9" w14:textId="77777777" w:rsidR="00347735" w:rsidRPr="00E2712C" w:rsidRDefault="00347735" w:rsidP="007011AE">
            <w:pPr>
              <w:rPr>
                <w:rFonts w:eastAsia="Times New Roman"/>
                <w:color w:val="000000"/>
              </w:rPr>
            </w:pPr>
            <w:r w:rsidRPr="00E2712C">
              <w:rPr>
                <w:rFonts w:eastAsia="Times New Roman"/>
                <w:color w:val="000000"/>
              </w:rPr>
              <w:t xml:space="preserve"> ₹      1,94,250.00 </w:t>
            </w:r>
          </w:p>
        </w:tc>
        <w:tc>
          <w:tcPr>
            <w:tcW w:w="1160" w:type="pct"/>
            <w:tcBorders>
              <w:top w:val="nil"/>
              <w:left w:val="nil"/>
              <w:bottom w:val="single" w:sz="4" w:space="0" w:color="auto"/>
              <w:right w:val="single" w:sz="4" w:space="0" w:color="auto"/>
            </w:tcBorders>
            <w:shd w:val="clear" w:color="auto" w:fill="auto"/>
            <w:vAlign w:val="center"/>
            <w:hideMark/>
          </w:tcPr>
          <w:p w14:paraId="0A1F3859" w14:textId="77777777" w:rsidR="00347735" w:rsidRPr="00E2712C" w:rsidRDefault="00347735" w:rsidP="007011AE">
            <w:pPr>
              <w:jc w:val="center"/>
              <w:rPr>
                <w:rFonts w:eastAsia="Times New Roman"/>
                <w:b/>
                <w:bCs/>
                <w:color w:val="000000"/>
              </w:rPr>
            </w:pPr>
            <w:r>
              <w:rPr>
                <w:b/>
                <w:bCs/>
                <w:color w:val="000000"/>
              </w:rPr>
              <w:t xml:space="preserve"> ₹          25,64,100 </w:t>
            </w:r>
          </w:p>
        </w:tc>
      </w:tr>
      <w:tr w:rsidR="00347735" w:rsidRPr="00E2712C" w14:paraId="4461CEB6" w14:textId="77777777" w:rsidTr="007011AE">
        <w:trPr>
          <w:trHeight w:val="285"/>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165F448F" w14:textId="77777777" w:rsidR="00347735" w:rsidRPr="00E2712C" w:rsidRDefault="00347735" w:rsidP="007011AE">
            <w:pPr>
              <w:rPr>
                <w:rFonts w:eastAsia="Times New Roman"/>
                <w:color w:val="000000"/>
              </w:rPr>
            </w:pPr>
            <w:r w:rsidRPr="00E2712C">
              <w:rPr>
                <w:rFonts w:eastAsia="Times New Roman"/>
                <w:color w:val="000000"/>
              </w:rPr>
              <w:t>Senior Developers</w:t>
            </w:r>
          </w:p>
        </w:tc>
        <w:tc>
          <w:tcPr>
            <w:tcW w:w="942" w:type="pct"/>
            <w:tcBorders>
              <w:top w:val="nil"/>
              <w:left w:val="nil"/>
              <w:bottom w:val="single" w:sz="4" w:space="0" w:color="auto"/>
              <w:right w:val="single" w:sz="4" w:space="0" w:color="auto"/>
            </w:tcBorders>
            <w:shd w:val="clear" w:color="auto" w:fill="auto"/>
            <w:vAlign w:val="center"/>
            <w:hideMark/>
          </w:tcPr>
          <w:p w14:paraId="5FD5CF81" w14:textId="77777777" w:rsidR="00347735" w:rsidRPr="00E2712C" w:rsidRDefault="00347735" w:rsidP="007011AE">
            <w:pPr>
              <w:jc w:val="center"/>
              <w:rPr>
                <w:rFonts w:eastAsia="Times New Roman"/>
                <w:color w:val="000000"/>
              </w:rPr>
            </w:pPr>
            <w:r w:rsidRPr="00E2712C">
              <w:rPr>
                <w:rFonts w:eastAsia="Times New Roman"/>
                <w:color w:val="000000"/>
              </w:rPr>
              <w:t>1</w:t>
            </w:r>
          </w:p>
        </w:tc>
        <w:tc>
          <w:tcPr>
            <w:tcW w:w="1233" w:type="pct"/>
            <w:tcBorders>
              <w:top w:val="nil"/>
              <w:left w:val="nil"/>
              <w:bottom w:val="single" w:sz="4" w:space="0" w:color="auto"/>
              <w:right w:val="single" w:sz="4" w:space="0" w:color="auto"/>
            </w:tcBorders>
            <w:shd w:val="clear" w:color="auto" w:fill="auto"/>
            <w:vAlign w:val="center"/>
            <w:hideMark/>
          </w:tcPr>
          <w:p w14:paraId="2886727D" w14:textId="77777777" w:rsidR="00347735" w:rsidRPr="00E2712C" w:rsidRDefault="00347735" w:rsidP="007011AE">
            <w:pPr>
              <w:rPr>
                <w:rFonts w:eastAsia="Times New Roman"/>
                <w:color w:val="000000"/>
              </w:rPr>
            </w:pPr>
            <w:r w:rsidRPr="00E2712C">
              <w:rPr>
                <w:rFonts w:eastAsia="Times New Roman"/>
                <w:color w:val="000000"/>
              </w:rPr>
              <w:t xml:space="preserve"> ₹      1,94,250.00 </w:t>
            </w:r>
          </w:p>
        </w:tc>
        <w:tc>
          <w:tcPr>
            <w:tcW w:w="1160" w:type="pct"/>
            <w:tcBorders>
              <w:top w:val="nil"/>
              <w:left w:val="nil"/>
              <w:bottom w:val="single" w:sz="4" w:space="0" w:color="auto"/>
              <w:right w:val="single" w:sz="4" w:space="0" w:color="auto"/>
            </w:tcBorders>
            <w:shd w:val="clear" w:color="auto" w:fill="auto"/>
            <w:vAlign w:val="center"/>
            <w:hideMark/>
          </w:tcPr>
          <w:p w14:paraId="48E2EB18" w14:textId="77777777" w:rsidR="00347735" w:rsidRPr="00E2712C" w:rsidRDefault="00347735" w:rsidP="007011AE">
            <w:pPr>
              <w:jc w:val="center"/>
              <w:rPr>
                <w:rFonts w:eastAsia="Times New Roman"/>
                <w:b/>
                <w:bCs/>
                <w:color w:val="000000"/>
              </w:rPr>
            </w:pPr>
            <w:r>
              <w:rPr>
                <w:b/>
                <w:bCs/>
                <w:color w:val="000000"/>
              </w:rPr>
              <w:t xml:space="preserve"> ₹          25,64,100 </w:t>
            </w:r>
          </w:p>
        </w:tc>
      </w:tr>
      <w:tr w:rsidR="00347735" w:rsidRPr="00E2712C" w14:paraId="6F1A75D6" w14:textId="77777777" w:rsidTr="007011AE">
        <w:trPr>
          <w:trHeight w:val="285"/>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7743F188" w14:textId="77777777" w:rsidR="00347735" w:rsidRPr="00E2712C" w:rsidRDefault="00347735" w:rsidP="007011AE">
            <w:pPr>
              <w:rPr>
                <w:rFonts w:eastAsia="Times New Roman"/>
                <w:color w:val="000000"/>
              </w:rPr>
            </w:pPr>
            <w:r w:rsidRPr="00E2712C">
              <w:rPr>
                <w:rFonts w:eastAsia="Times New Roman"/>
                <w:color w:val="000000"/>
              </w:rPr>
              <w:t>Developers</w:t>
            </w:r>
          </w:p>
        </w:tc>
        <w:tc>
          <w:tcPr>
            <w:tcW w:w="942" w:type="pct"/>
            <w:tcBorders>
              <w:top w:val="nil"/>
              <w:left w:val="nil"/>
              <w:bottom w:val="single" w:sz="4" w:space="0" w:color="auto"/>
              <w:right w:val="single" w:sz="4" w:space="0" w:color="auto"/>
            </w:tcBorders>
            <w:shd w:val="clear" w:color="auto" w:fill="auto"/>
            <w:vAlign w:val="center"/>
            <w:hideMark/>
          </w:tcPr>
          <w:p w14:paraId="0495F14F" w14:textId="77777777" w:rsidR="00347735" w:rsidRPr="00E2712C" w:rsidRDefault="00347735" w:rsidP="007011AE">
            <w:pPr>
              <w:jc w:val="center"/>
              <w:rPr>
                <w:rFonts w:eastAsia="Times New Roman"/>
                <w:color w:val="000000"/>
              </w:rPr>
            </w:pPr>
            <w:r w:rsidRPr="00E2712C">
              <w:rPr>
                <w:rFonts w:eastAsia="Times New Roman"/>
                <w:color w:val="000000"/>
              </w:rPr>
              <w:t>2</w:t>
            </w:r>
          </w:p>
        </w:tc>
        <w:tc>
          <w:tcPr>
            <w:tcW w:w="1233" w:type="pct"/>
            <w:tcBorders>
              <w:top w:val="nil"/>
              <w:left w:val="nil"/>
              <w:bottom w:val="single" w:sz="4" w:space="0" w:color="auto"/>
              <w:right w:val="single" w:sz="4" w:space="0" w:color="auto"/>
            </w:tcBorders>
            <w:shd w:val="clear" w:color="auto" w:fill="auto"/>
            <w:vAlign w:val="center"/>
            <w:hideMark/>
          </w:tcPr>
          <w:p w14:paraId="075723C4" w14:textId="77777777" w:rsidR="00347735" w:rsidRPr="00E2712C" w:rsidRDefault="00347735" w:rsidP="007011AE">
            <w:pPr>
              <w:rPr>
                <w:rFonts w:eastAsia="Times New Roman"/>
                <w:color w:val="000000"/>
              </w:rPr>
            </w:pPr>
            <w:r w:rsidRPr="00E2712C">
              <w:rPr>
                <w:rFonts w:eastAsia="Times New Roman"/>
                <w:color w:val="000000"/>
              </w:rPr>
              <w:t xml:space="preserve"> ₹      1,94,250.00 </w:t>
            </w:r>
          </w:p>
        </w:tc>
        <w:tc>
          <w:tcPr>
            <w:tcW w:w="1160" w:type="pct"/>
            <w:tcBorders>
              <w:top w:val="nil"/>
              <w:left w:val="nil"/>
              <w:bottom w:val="single" w:sz="4" w:space="0" w:color="auto"/>
              <w:right w:val="single" w:sz="4" w:space="0" w:color="auto"/>
            </w:tcBorders>
            <w:shd w:val="clear" w:color="auto" w:fill="auto"/>
            <w:vAlign w:val="center"/>
            <w:hideMark/>
          </w:tcPr>
          <w:p w14:paraId="3503D54B" w14:textId="77777777" w:rsidR="00347735" w:rsidRPr="00E2712C" w:rsidRDefault="00347735" w:rsidP="007011AE">
            <w:pPr>
              <w:jc w:val="center"/>
              <w:rPr>
                <w:rFonts w:eastAsia="Times New Roman"/>
                <w:b/>
                <w:bCs/>
                <w:color w:val="000000"/>
              </w:rPr>
            </w:pPr>
            <w:r>
              <w:rPr>
                <w:b/>
                <w:bCs/>
                <w:color w:val="000000"/>
              </w:rPr>
              <w:t xml:space="preserve"> ₹          44,87,175 </w:t>
            </w:r>
          </w:p>
        </w:tc>
      </w:tr>
      <w:tr w:rsidR="00347735" w:rsidRPr="00E2712C" w14:paraId="6205722D" w14:textId="77777777" w:rsidTr="007011AE">
        <w:trPr>
          <w:trHeight w:val="285"/>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6527798B" w14:textId="77777777" w:rsidR="00347735" w:rsidRPr="00E2712C" w:rsidRDefault="00347735" w:rsidP="007011AE">
            <w:pPr>
              <w:rPr>
                <w:rFonts w:eastAsia="Times New Roman"/>
                <w:color w:val="000000"/>
              </w:rPr>
            </w:pPr>
            <w:r w:rsidRPr="00E2712C">
              <w:rPr>
                <w:rFonts w:eastAsia="Times New Roman"/>
                <w:color w:val="000000"/>
              </w:rPr>
              <w:t>Senior Integration Specialist</w:t>
            </w:r>
          </w:p>
        </w:tc>
        <w:tc>
          <w:tcPr>
            <w:tcW w:w="942" w:type="pct"/>
            <w:tcBorders>
              <w:top w:val="nil"/>
              <w:left w:val="nil"/>
              <w:bottom w:val="single" w:sz="4" w:space="0" w:color="auto"/>
              <w:right w:val="single" w:sz="4" w:space="0" w:color="auto"/>
            </w:tcBorders>
            <w:shd w:val="clear" w:color="auto" w:fill="auto"/>
            <w:vAlign w:val="center"/>
            <w:hideMark/>
          </w:tcPr>
          <w:p w14:paraId="366EAB6E" w14:textId="77777777" w:rsidR="00347735" w:rsidRPr="00E2712C" w:rsidRDefault="00347735" w:rsidP="007011AE">
            <w:pPr>
              <w:jc w:val="center"/>
              <w:rPr>
                <w:rFonts w:eastAsia="Times New Roman"/>
                <w:color w:val="000000"/>
              </w:rPr>
            </w:pPr>
            <w:r w:rsidRPr="00E2712C">
              <w:rPr>
                <w:rFonts w:eastAsia="Times New Roman"/>
                <w:color w:val="000000"/>
              </w:rPr>
              <w:t>1</w:t>
            </w:r>
          </w:p>
        </w:tc>
        <w:tc>
          <w:tcPr>
            <w:tcW w:w="1233" w:type="pct"/>
            <w:tcBorders>
              <w:top w:val="nil"/>
              <w:left w:val="nil"/>
              <w:bottom w:val="single" w:sz="4" w:space="0" w:color="auto"/>
              <w:right w:val="single" w:sz="4" w:space="0" w:color="auto"/>
            </w:tcBorders>
            <w:shd w:val="clear" w:color="auto" w:fill="auto"/>
            <w:vAlign w:val="center"/>
            <w:hideMark/>
          </w:tcPr>
          <w:p w14:paraId="4EB35DF2" w14:textId="77777777" w:rsidR="00347735" w:rsidRPr="00E2712C" w:rsidRDefault="00347735" w:rsidP="007011AE">
            <w:pPr>
              <w:rPr>
                <w:rFonts w:eastAsia="Times New Roman"/>
                <w:color w:val="000000"/>
              </w:rPr>
            </w:pPr>
            <w:r w:rsidRPr="00E2712C">
              <w:rPr>
                <w:rFonts w:eastAsia="Times New Roman"/>
                <w:color w:val="000000"/>
              </w:rPr>
              <w:t xml:space="preserve"> ₹      1,94,250.00 </w:t>
            </w:r>
          </w:p>
        </w:tc>
        <w:tc>
          <w:tcPr>
            <w:tcW w:w="1160" w:type="pct"/>
            <w:tcBorders>
              <w:top w:val="nil"/>
              <w:left w:val="nil"/>
              <w:bottom w:val="single" w:sz="4" w:space="0" w:color="auto"/>
              <w:right w:val="single" w:sz="4" w:space="0" w:color="auto"/>
            </w:tcBorders>
            <w:shd w:val="clear" w:color="auto" w:fill="auto"/>
            <w:vAlign w:val="center"/>
            <w:hideMark/>
          </w:tcPr>
          <w:p w14:paraId="5227F597" w14:textId="77777777" w:rsidR="00347735" w:rsidRPr="00E2712C" w:rsidRDefault="00347735" w:rsidP="007011AE">
            <w:pPr>
              <w:jc w:val="center"/>
              <w:rPr>
                <w:rFonts w:eastAsia="Times New Roman"/>
                <w:b/>
                <w:bCs/>
                <w:color w:val="000000"/>
              </w:rPr>
            </w:pPr>
            <w:r>
              <w:rPr>
                <w:b/>
                <w:bCs/>
                <w:color w:val="000000"/>
              </w:rPr>
              <w:t xml:space="preserve"> ₹          25,64,100 </w:t>
            </w:r>
          </w:p>
        </w:tc>
      </w:tr>
      <w:tr w:rsidR="00347735" w:rsidRPr="00E2712C" w14:paraId="7D86FFAC" w14:textId="77777777" w:rsidTr="007011AE">
        <w:trPr>
          <w:trHeight w:val="285"/>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05FA1DC4" w14:textId="77777777" w:rsidR="00347735" w:rsidRPr="00E2712C" w:rsidRDefault="00347735" w:rsidP="007011AE">
            <w:pPr>
              <w:rPr>
                <w:rFonts w:eastAsia="Times New Roman"/>
                <w:color w:val="000000"/>
              </w:rPr>
            </w:pPr>
            <w:r w:rsidRPr="00E2712C">
              <w:rPr>
                <w:rFonts w:eastAsia="Times New Roman"/>
                <w:color w:val="000000"/>
              </w:rPr>
              <w:t>Integration Developers</w:t>
            </w:r>
          </w:p>
        </w:tc>
        <w:tc>
          <w:tcPr>
            <w:tcW w:w="942" w:type="pct"/>
            <w:tcBorders>
              <w:top w:val="nil"/>
              <w:left w:val="nil"/>
              <w:bottom w:val="single" w:sz="4" w:space="0" w:color="auto"/>
              <w:right w:val="single" w:sz="4" w:space="0" w:color="auto"/>
            </w:tcBorders>
            <w:shd w:val="clear" w:color="auto" w:fill="auto"/>
            <w:vAlign w:val="center"/>
            <w:hideMark/>
          </w:tcPr>
          <w:p w14:paraId="67548D84" w14:textId="77777777" w:rsidR="00347735" w:rsidRPr="00E2712C" w:rsidRDefault="00347735" w:rsidP="007011AE">
            <w:pPr>
              <w:jc w:val="center"/>
              <w:rPr>
                <w:rFonts w:eastAsia="Times New Roman"/>
                <w:color w:val="000000"/>
              </w:rPr>
            </w:pPr>
            <w:r w:rsidRPr="00E2712C">
              <w:rPr>
                <w:rFonts w:eastAsia="Times New Roman"/>
                <w:color w:val="000000"/>
              </w:rPr>
              <w:t>2</w:t>
            </w:r>
          </w:p>
        </w:tc>
        <w:tc>
          <w:tcPr>
            <w:tcW w:w="1233" w:type="pct"/>
            <w:tcBorders>
              <w:top w:val="nil"/>
              <w:left w:val="nil"/>
              <w:bottom w:val="single" w:sz="4" w:space="0" w:color="auto"/>
              <w:right w:val="single" w:sz="4" w:space="0" w:color="auto"/>
            </w:tcBorders>
            <w:shd w:val="clear" w:color="auto" w:fill="auto"/>
            <w:vAlign w:val="center"/>
            <w:hideMark/>
          </w:tcPr>
          <w:p w14:paraId="31C5EC54" w14:textId="77777777" w:rsidR="00347735" w:rsidRPr="00E2712C" w:rsidRDefault="00347735" w:rsidP="007011AE">
            <w:pPr>
              <w:rPr>
                <w:rFonts w:eastAsia="Times New Roman"/>
                <w:color w:val="000000"/>
              </w:rPr>
            </w:pPr>
            <w:r w:rsidRPr="00E2712C">
              <w:rPr>
                <w:rFonts w:eastAsia="Times New Roman"/>
                <w:color w:val="000000"/>
              </w:rPr>
              <w:t xml:space="preserve"> ₹      1,94,250.00 </w:t>
            </w:r>
          </w:p>
        </w:tc>
        <w:tc>
          <w:tcPr>
            <w:tcW w:w="1160" w:type="pct"/>
            <w:tcBorders>
              <w:top w:val="nil"/>
              <w:left w:val="nil"/>
              <w:bottom w:val="single" w:sz="4" w:space="0" w:color="auto"/>
              <w:right w:val="single" w:sz="4" w:space="0" w:color="auto"/>
            </w:tcBorders>
            <w:shd w:val="clear" w:color="auto" w:fill="auto"/>
            <w:vAlign w:val="center"/>
            <w:hideMark/>
          </w:tcPr>
          <w:p w14:paraId="11081129" w14:textId="77777777" w:rsidR="00347735" w:rsidRPr="00E2712C" w:rsidRDefault="00347735" w:rsidP="007011AE">
            <w:pPr>
              <w:jc w:val="center"/>
              <w:rPr>
                <w:rFonts w:eastAsia="Times New Roman"/>
                <w:b/>
                <w:bCs/>
                <w:color w:val="000000"/>
              </w:rPr>
            </w:pPr>
            <w:r>
              <w:rPr>
                <w:b/>
                <w:bCs/>
                <w:color w:val="000000"/>
              </w:rPr>
              <w:t xml:space="preserve"> ₹          44,87,175 </w:t>
            </w:r>
          </w:p>
        </w:tc>
      </w:tr>
      <w:tr w:rsidR="00347735" w:rsidRPr="00E2712C" w14:paraId="091C7579" w14:textId="77777777" w:rsidTr="007011AE">
        <w:trPr>
          <w:trHeight w:val="285"/>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3F0B6903" w14:textId="77777777" w:rsidR="00347735" w:rsidRPr="00E2712C" w:rsidRDefault="00347735" w:rsidP="007011AE">
            <w:pPr>
              <w:rPr>
                <w:rFonts w:eastAsia="Times New Roman"/>
                <w:color w:val="000000"/>
              </w:rPr>
            </w:pPr>
            <w:r w:rsidRPr="00E2712C">
              <w:rPr>
                <w:rFonts w:eastAsia="Times New Roman"/>
                <w:color w:val="000000"/>
              </w:rPr>
              <w:t>Lead Business Analysts</w:t>
            </w:r>
          </w:p>
        </w:tc>
        <w:tc>
          <w:tcPr>
            <w:tcW w:w="942" w:type="pct"/>
            <w:tcBorders>
              <w:top w:val="nil"/>
              <w:left w:val="nil"/>
              <w:bottom w:val="single" w:sz="4" w:space="0" w:color="auto"/>
              <w:right w:val="single" w:sz="4" w:space="0" w:color="auto"/>
            </w:tcBorders>
            <w:shd w:val="clear" w:color="auto" w:fill="auto"/>
            <w:vAlign w:val="center"/>
            <w:hideMark/>
          </w:tcPr>
          <w:p w14:paraId="33C877ED" w14:textId="77777777" w:rsidR="00347735" w:rsidRPr="00E2712C" w:rsidRDefault="00347735" w:rsidP="007011AE">
            <w:pPr>
              <w:jc w:val="center"/>
              <w:rPr>
                <w:rFonts w:eastAsia="Times New Roman"/>
                <w:color w:val="000000"/>
              </w:rPr>
            </w:pPr>
            <w:r w:rsidRPr="00E2712C">
              <w:rPr>
                <w:rFonts w:eastAsia="Times New Roman"/>
                <w:color w:val="000000"/>
              </w:rPr>
              <w:t>2</w:t>
            </w:r>
          </w:p>
        </w:tc>
        <w:tc>
          <w:tcPr>
            <w:tcW w:w="1233" w:type="pct"/>
            <w:tcBorders>
              <w:top w:val="nil"/>
              <w:left w:val="nil"/>
              <w:bottom w:val="single" w:sz="4" w:space="0" w:color="auto"/>
              <w:right w:val="single" w:sz="4" w:space="0" w:color="auto"/>
            </w:tcBorders>
            <w:shd w:val="clear" w:color="auto" w:fill="auto"/>
            <w:vAlign w:val="center"/>
            <w:hideMark/>
          </w:tcPr>
          <w:p w14:paraId="2CAD7ECA" w14:textId="77777777" w:rsidR="00347735" w:rsidRPr="00E2712C" w:rsidRDefault="00347735" w:rsidP="007011AE">
            <w:pPr>
              <w:rPr>
                <w:rFonts w:eastAsia="Times New Roman"/>
                <w:color w:val="000000"/>
              </w:rPr>
            </w:pPr>
            <w:r w:rsidRPr="00E2712C">
              <w:rPr>
                <w:rFonts w:eastAsia="Times New Roman"/>
                <w:color w:val="000000"/>
              </w:rPr>
              <w:t xml:space="preserve"> ₹      1,94,250.00 </w:t>
            </w:r>
          </w:p>
        </w:tc>
        <w:tc>
          <w:tcPr>
            <w:tcW w:w="1160" w:type="pct"/>
            <w:tcBorders>
              <w:top w:val="nil"/>
              <w:left w:val="nil"/>
              <w:bottom w:val="single" w:sz="4" w:space="0" w:color="auto"/>
              <w:right w:val="single" w:sz="4" w:space="0" w:color="auto"/>
            </w:tcBorders>
            <w:shd w:val="clear" w:color="auto" w:fill="auto"/>
            <w:vAlign w:val="center"/>
            <w:hideMark/>
          </w:tcPr>
          <w:p w14:paraId="16E5CDFF" w14:textId="77777777" w:rsidR="00347735" w:rsidRPr="00E2712C" w:rsidRDefault="00347735" w:rsidP="007011AE">
            <w:pPr>
              <w:jc w:val="center"/>
              <w:rPr>
                <w:rFonts w:eastAsia="Times New Roman"/>
                <w:b/>
                <w:bCs/>
                <w:color w:val="000000"/>
              </w:rPr>
            </w:pPr>
            <w:r>
              <w:rPr>
                <w:b/>
                <w:bCs/>
                <w:color w:val="000000"/>
              </w:rPr>
              <w:t xml:space="preserve"> ₹          44,87,175 </w:t>
            </w:r>
          </w:p>
        </w:tc>
      </w:tr>
      <w:tr w:rsidR="00347735" w:rsidRPr="00E2712C" w14:paraId="2A03EACD" w14:textId="77777777" w:rsidTr="007011AE">
        <w:trPr>
          <w:trHeight w:val="285"/>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23D36186" w14:textId="77777777" w:rsidR="00347735" w:rsidRPr="00E2712C" w:rsidRDefault="00347735" w:rsidP="007011AE">
            <w:pPr>
              <w:rPr>
                <w:rFonts w:eastAsia="Times New Roman"/>
                <w:color w:val="000000"/>
              </w:rPr>
            </w:pPr>
            <w:r w:rsidRPr="00E2712C">
              <w:rPr>
                <w:rFonts w:eastAsia="Times New Roman"/>
                <w:color w:val="000000"/>
              </w:rPr>
              <w:t>DBA</w:t>
            </w:r>
          </w:p>
        </w:tc>
        <w:tc>
          <w:tcPr>
            <w:tcW w:w="942" w:type="pct"/>
            <w:tcBorders>
              <w:top w:val="nil"/>
              <w:left w:val="nil"/>
              <w:bottom w:val="single" w:sz="4" w:space="0" w:color="auto"/>
              <w:right w:val="single" w:sz="4" w:space="0" w:color="auto"/>
            </w:tcBorders>
            <w:shd w:val="clear" w:color="auto" w:fill="auto"/>
            <w:vAlign w:val="center"/>
            <w:hideMark/>
          </w:tcPr>
          <w:p w14:paraId="7F511EDA" w14:textId="77777777" w:rsidR="00347735" w:rsidRPr="00E2712C" w:rsidRDefault="00347735" w:rsidP="007011AE">
            <w:pPr>
              <w:jc w:val="center"/>
              <w:rPr>
                <w:rFonts w:eastAsia="Times New Roman"/>
                <w:color w:val="000000"/>
              </w:rPr>
            </w:pPr>
            <w:r w:rsidRPr="00E2712C">
              <w:rPr>
                <w:rFonts w:eastAsia="Times New Roman"/>
                <w:color w:val="000000"/>
              </w:rPr>
              <w:t>1</w:t>
            </w:r>
          </w:p>
        </w:tc>
        <w:tc>
          <w:tcPr>
            <w:tcW w:w="1233" w:type="pct"/>
            <w:tcBorders>
              <w:top w:val="nil"/>
              <w:left w:val="nil"/>
              <w:bottom w:val="single" w:sz="4" w:space="0" w:color="auto"/>
              <w:right w:val="single" w:sz="4" w:space="0" w:color="auto"/>
            </w:tcBorders>
            <w:shd w:val="clear" w:color="auto" w:fill="auto"/>
            <w:vAlign w:val="center"/>
            <w:hideMark/>
          </w:tcPr>
          <w:p w14:paraId="661994D8" w14:textId="77777777" w:rsidR="00347735" w:rsidRPr="00E2712C" w:rsidRDefault="00347735" w:rsidP="007011AE">
            <w:pPr>
              <w:rPr>
                <w:rFonts w:eastAsia="Times New Roman"/>
                <w:color w:val="000000"/>
              </w:rPr>
            </w:pPr>
            <w:r w:rsidRPr="00E2712C">
              <w:rPr>
                <w:rFonts w:eastAsia="Times New Roman"/>
                <w:color w:val="000000"/>
              </w:rPr>
              <w:t xml:space="preserve"> ₹      1,94,250.00 </w:t>
            </w:r>
          </w:p>
        </w:tc>
        <w:tc>
          <w:tcPr>
            <w:tcW w:w="1160" w:type="pct"/>
            <w:tcBorders>
              <w:top w:val="nil"/>
              <w:left w:val="nil"/>
              <w:bottom w:val="single" w:sz="4" w:space="0" w:color="auto"/>
              <w:right w:val="single" w:sz="4" w:space="0" w:color="auto"/>
            </w:tcBorders>
            <w:shd w:val="clear" w:color="auto" w:fill="auto"/>
            <w:vAlign w:val="center"/>
            <w:hideMark/>
          </w:tcPr>
          <w:p w14:paraId="7E7001D9" w14:textId="77777777" w:rsidR="00347735" w:rsidRPr="00E2712C" w:rsidRDefault="00347735" w:rsidP="007011AE">
            <w:pPr>
              <w:jc w:val="center"/>
              <w:rPr>
                <w:rFonts w:eastAsia="Times New Roman"/>
                <w:b/>
                <w:bCs/>
                <w:color w:val="000000"/>
              </w:rPr>
            </w:pPr>
            <w:r>
              <w:rPr>
                <w:b/>
                <w:bCs/>
                <w:color w:val="000000"/>
              </w:rPr>
              <w:t xml:space="preserve"> ₹          25,64,100 </w:t>
            </w:r>
          </w:p>
        </w:tc>
      </w:tr>
      <w:tr w:rsidR="00347735" w:rsidRPr="00E2712C" w14:paraId="7B5A3B51" w14:textId="77777777" w:rsidTr="007011AE">
        <w:trPr>
          <w:trHeight w:val="285"/>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735395CF" w14:textId="77777777" w:rsidR="00347735" w:rsidRPr="00E2712C" w:rsidRDefault="00347735" w:rsidP="007011AE">
            <w:pPr>
              <w:rPr>
                <w:rFonts w:eastAsia="Times New Roman"/>
                <w:color w:val="000000"/>
              </w:rPr>
            </w:pPr>
            <w:r w:rsidRPr="00E2712C">
              <w:rPr>
                <w:rFonts w:eastAsia="Times New Roman"/>
                <w:color w:val="000000"/>
              </w:rPr>
              <w:t>QA</w:t>
            </w:r>
          </w:p>
        </w:tc>
        <w:tc>
          <w:tcPr>
            <w:tcW w:w="942" w:type="pct"/>
            <w:tcBorders>
              <w:top w:val="nil"/>
              <w:left w:val="nil"/>
              <w:bottom w:val="single" w:sz="4" w:space="0" w:color="auto"/>
              <w:right w:val="single" w:sz="4" w:space="0" w:color="auto"/>
            </w:tcBorders>
            <w:shd w:val="clear" w:color="auto" w:fill="auto"/>
            <w:vAlign w:val="center"/>
            <w:hideMark/>
          </w:tcPr>
          <w:p w14:paraId="68A71025" w14:textId="77777777" w:rsidR="00347735" w:rsidRPr="00E2712C" w:rsidRDefault="00347735" w:rsidP="007011AE">
            <w:pPr>
              <w:jc w:val="center"/>
              <w:rPr>
                <w:rFonts w:eastAsia="Times New Roman"/>
                <w:color w:val="000000"/>
              </w:rPr>
            </w:pPr>
            <w:r w:rsidRPr="00E2712C">
              <w:rPr>
                <w:rFonts w:eastAsia="Times New Roman"/>
                <w:color w:val="000000"/>
              </w:rPr>
              <w:t>2</w:t>
            </w:r>
          </w:p>
        </w:tc>
        <w:tc>
          <w:tcPr>
            <w:tcW w:w="1233" w:type="pct"/>
            <w:tcBorders>
              <w:top w:val="nil"/>
              <w:left w:val="nil"/>
              <w:bottom w:val="single" w:sz="4" w:space="0" w:color="auto"/>
              <w:right w:val="single" w:sz="4" w:space="0" w:color="auto"/>
            </w:tcBorders>
            <w:shd w:val="clear" w:color="auto" w:fill="auto"/>
            <w:vAlign w:val="center"/>
            <w:hideMark/>
          </w:tcPr>
          <w:p w14:paraId="6C2355A6" w14:textId="77777777" w:rsidR="00347735" w:rsidRPr="00E2712C" w:rsidRDefault="00347735" w:rsidP="007011AE">
            <w:pPr>
              <w:rPr>
                <w:rFonts w:eastAsia="Times New Roman"/>
                <w:color w:val="000000"/>
              </w:rPr>
            </w:pPr>
            <w:r w:rsidRPr="00E2712C">
              <w:rPr>
                <w:rFonts w:eastAsia="Times New Roman"/>
                <w:color w:val="000000"/>
              </w:rPr>
              <w:t xml:space="preserve"> ₹      1,94,250.00 </w:t>
            </w:r>
          </w:p>
        </w:tc>
        <w:tc>
          <w:tcPr>
            <w:tcW w:w="1160" w:type="pct"/>
            <w:tcBorders>
              <w:top w:val="nil"/>
              <w:left w:val="nil"/>
              <w:bottom w:val="single" w:sz="4" w:space="0" w:color="auto"/>
              <w:right w:val="single" w:sz="4" w:space="0" w:color="auto"/>
            </w:tcBorders>
            <w:shd w:val="clear" w:color="auto" w:fill="auto"/>
            <w:vAlign w:val="center"/>
            <w:hideMark/>
          </w:tcPr>
          <w:p w14:paraId="2299A4F6" w14:textId="77777777" w:rsidR="00347735" w:rsidRPr="00E2712C" w:rsidRDefault="00347735" w:rsidP="007011AE">
            <w:pPr>
              <w:jc w:val="center"/>
              <w:rPr>
                <w:rFonts w:eastAsia="Times New Roman"/>
                <w:b/>
                <w:bCs/>
                <w:color w:val="000000"/>
              </w:rPr>
            </w:pPr>
            <w:r>
              <w:rPr>
                <w:b/>
                <w:bCs/>
                <w:color w:val="000000"/>
              </w:rPr>
              <w:t xml:space="preserve"> ₹          44,87,175 </w:t>
            </w:r>
          </w:p>
        </w:tc>
      </w:tr>
      <w:tr w:rsidR="00347735" w:rsidRPr="00E2712C" w14:paraId="041DB951" w14:textId="77777777" w:rsidTr="007011AE">
        <w:trPr>
          <w:trHeight w:val="285"/>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4FA29D58" w14:textId="77777777" w:rsidR="00347735" w:rsidRPr="00E2712C" w:rsidRDefault="00347735" w:rsidP="007011AE">
            <w:pPr>
              <w:rPr>
                <w:rFonts w:eastAsia="Times New Roman"/>
                <w:color w:val="000000"/>
              </w:rPr>
            </w:pPr>
            <w:r w:rsidRPr="00E2712C">
              <w:rPr>
                <w:rFonts w:eastAsia="Times New Roman"/>
                <w:color w:val="000000"/>
              </w:rPr>
              <w:t>Senior AX Finance Functional</w:t>
            </w:r>
          </w:p>
        </w:tc>
        <w:tc>
          <w:tcPr>
            <w:tcW w:w="942" w:type="pct"/>
            <w:tcBorders>
              <w:top w:val="nil"/>
              <w:left w:val="nil"/>
              <w:bottom w:val="single" w:sz="4" w:space="0" w:color="auto"/>
              <w:right w:val="single" w:sz="4" w:space="0" w:color="auto"/>
            </w:tcBorders>
            <w:shd w:val="clear" w:color="auto" w:fill="auto"/>
            <w:vAlign w:val="center"/>
            <w:hideMark/>
          </w:tcPr>
          <w:p w14:paraId="2C7B09D1" w14:textId="77777777" w:rsidR="00347735" w:rsidRPr="00E2712C" w:rsidRDefault="00347735" w:rsidP="007011AE">
            <w:pPr>
              <w:jc w:val="center"/>
              <w:rPr>
                <w:rFonts w:eastAsia="Times New Roman"/>
                <w:color w:val="000000"/>
              </w:rPr>
            </w:pPr>
            <w:r w:rsidRPr="00E2712C">
              <w:rPr>
                <w:rFonts w:eastAsia="Times New Roman"/>
                <w:color w:val="000000"/>
              </w:rPr>
              <w:t>1</w:t>
            </w:r>
          </w:p>
        </w:tc>
        <w:tc>
          <w:tcPr>
            <w:tcW w:w="1233" w:type="pct"/>
            <w:tcBorders>
              <w:top w:val="nil"/>
              <w:left w:val="nil"/>
              <w:bottom w:val="single" w:sz="4" w:space="0" w:color="auto"/>
              <w:right w:val="single" w:sz="4" w:space="0" w:color="auto"/>
            </w:tcBorders>
            <w:shd w:val="clear" w:color="auto" w:fill="auto"/>
            <w:vAlign w:val="center"/>
            <w:hideMark/>
          </w:tcPr>
          <w:p w14:paraId="07347065" w14:textId="77777777" w:rsidR="00347735" w:rsidRPr="00E2712C" w:rsidRDefault="00347735" w:rsidP="007011AE">
            <w:pPr>
              <w:rPr>
                <w:rFonts w:eastAsia="Times New Roman"/>
                <w:color w:val="000000"/>
              </w:rPr>
            </w:pPr>
            <w:r w:rsidRPr="00E2712C">
              <w:rPr>
                <w:rFonts w:eastAsia="Times New Roman"/>
                <w:color w:val="000000"/>
              </w:rPr>
              <w:t xml:space="preserve"> ₹      1,94,250.00 </w:t>
            </w:r>
          </w:p>
        </w:tc>
        <w:tc>
          <w:tcPr>
            <w:tcW w:w="1160" w:type="pct"/>
            <w:tcBorders>
              <w:top w:val="nil"/>
              <w:left w:val="nil"/>
              <w:bottom w:val="single" w:sz="4" w:space="0" w:color="auto"/>
              <w:right w:val="single" w:sz="4" w:space="0" w:color="auto"/>
            </w:tcBorders>
            <w:shd w:val="clear" w:color="auto" w:fill="auto"/>
            <w:vAlign w:val="center"/>
            <w:hideMark/>
          </w:tcPr>
          <w:p w14:paraId="01C88187" w14:textId="77777777" w:rsidR="00347735" w:rsidRPr="00E2712C" w:rsidRDefault="00347735" w:rsidP="007011AE">
            <w:pPr>
              <w:jc w:val="center"/>
              <w:rPr>
                <w:rFonts w:eastAsia="Times New Roman"/>
                <w:b/>
                <w:bCs/>
                <w:color w:val="000000"/>
              </w:rPr>
            </w:pPr>
            <w:r>
              <w:rPr>
                <w:b/>
                <w:bCs/>
                <w:color w:val="000000"/>
              </w:rPr>
              <w:t xml:space="preserve"> ₹          25,64,100 </w:t>
            </w:r>
          </w:p>
        </w:tc>
      </w:tr>
      <w:tr w:rsidR="00347735" w:rsidRPr="00E2712C" w14:paraId="12D68914" w14:textId="77777777" w:rsidTr="007011AE">
        <w:trPr>
          <w:trHeight w:val="285"/>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035AFE6C" w14:textId="77777777" w:rsidR="00347735" w:rsidRPr="00E2712C" w:rsidRDefault="00347735" w:rsidP="007011AE">
            <w:pPr>
              <w:rPr>
                <w:rFonts w:eastAsia="Times New Roman"/>
                <w:color w:val="000000"/>
              </w:rPr>
            </w:pPr>
            <w:r w:rsidRPr="00E2712C">
              <w:rPr>
                <w:rFonts w:eastAsia="Times New Roman"/>
                <w:color w:val="000000"/>
              </w:rPr>
              <w:t>AX Finance Functional</w:t>
            </w:r>
          </w:p>
        </w:tc>
        <w:tc>
          <w:tcPr>
            <w:tcW w:w="942" w:type="pct"/>
            <w:tcBorders>
              <w:top w:val="nil"/>
              <w:left w:val="nil"/>
              <w:bottom w:val="single" w:sz="4" w:space="0" w:color="auto"/>
              <w:right w:val="single" w:sz="4" w:space="0" w:color="auto"/>
            </w:tcBorders>
            <w:shd w:val="clear" w:color="auto" w:fill="auto"/>
            <w:vAlign w:val="center"/>
            <w:hideMark/>
          </w:tcPr>
          <w:p w14:paraId="54DF1CDC" w14:textId="77777777" w:rsidR="00347735" w:rsidRPr="00E2712C" w:rsidRDefault="00347735" w:rsidP="007011AE">
            <w:pPr>
              <w:jc w:val="center"/>
              <w:rPr>
                <w:rFonts w:eastAsia="Times New Roman"/>
                <w:color w:val="000000"/>
              </w:rPr>
            </w:pPr>
            <w:r w:rsidRPr="00E2712C">
              <w:rPr>
                <w:rFonts w:eastAsia="Times New Roman"/>
                <w:color w:val="000000"/>
              </w:rPr>
              <w:t>1</w:t>
            </w:r>
          </w:p>
        </w:tc>
        <w:tc>
          <w:tcPr>
            <w:tcW w:w="1233" w:type="pct"/>
            <w:tcBorders>
              <w:top w:val="nil"/>
              <w:left w:val="nil"/>
              <w:bottom w:val="single" w:sz="4" w:space="0" w:color="auto"/>
              <w:right w:val="single" w:sz="4" w:space="0" w:color="auto"/>
            </w:tcBorders>
            <w:shd w:val="clear" w:color="auto" w:fill="auto"/>
            <w:vAlign w:val="center"/>
            <w:hideMark/>
          </w:tcPr>
          <w:p w14:paraId="0E63183E" w14:textId="77777777" w:rsidR="00347735" w:rsidRPr="00E2712C" w:rsidRDefault="00347735" w:rsidP="007011AE">
            <w:pPr>
              <w:rPr>
                <w:rFonts w:eastAsia="Times New Roman"/>
                <w:color w:val="000000"/>
              </w:rPr>
            </w:pPr>
            <w:r w:rsidRPr="00E2712C">
              <w:rPr>
                <w:rFonts w:eastAsia="Times New Roman"/>
                <w:color w:val="000000"/>
              </w:rPr>
              <w:t xml:space="preserve"> ₹      1,94,250.00 </w:t>
            </w:r>
          </w:p>
        </w:tc>
        <w:tc>
          <w:tcPr>
            <w:tcW w:w="1160" w:type="pct"/>
            <w:tcBorders>
              <w:top w:val="nil"/>
              <w:left w:val="nil"/>
              <w:bottom w:val="single" w:sz="4" w:space="0" w:color="auto"/>
              <w:right w:val="single" w:sz="4" w:space="0" w:color="auto"/>
            </w:tcBorders>
            <w:shd w:val="clear" w:color="auto" w:fill="auto"/>
            <w:vAlign w:val="center"/>
            <w:hideMark/>
          </w:tcPr>
          <w:p w14:paraId="0AA5B9D3" w14:textId="77777777" w:rsidR="00347735" w:rsidRPr="00E2712C" w:rsidRDefault="00347735" w:rsidP="007011AE">
            <w:pPr>
              <w:jc w:val="center"/>
              <w:rPr>
                <w:rFonts w:eastAsia="Times New Roman"/>
                <w:b/>
                <w:bCs/>
                <w:color w:val="000000"/>
              </w:rPr>
            </w:pPr>
            <w:r>
              <w:rPr>
                <w:b/>
                <w:bCs/>
                <w:color w:val="000000"/>
              </w:rPr>
              <w:t xml:space="preserve"> ₹          25,64,100 </w:t>
            </w:r>
          </w:p>
        </w:tc>
      </w:tr>
      <w:tr w:rsidR="00347735" w:rsidRPr="00E2712C" w14:paraId="6D04161F" w14:textId="77777777" w:rsidTr="007011AE">
        <w:trPr>
          <w:trHeight w:val="300"/>
        </w:trPr>
        <w:tc>
          <w:tcPr>
            <w:tcW w:w="1665" w:type="pct"/>
            <w:tcBorders>
              <w:top w:val="nil"/>
              <w:left w:val="single" w:sz="4" w:space="0" w:color="auto"/>
              <w:bottom w:val="single" w:sz="4" w:space="0" w:color="auto"/>
              <w:right w:val="single" w:sz="4" w:space="0" w:color="auto"/>
            </w:tcBorders>
            <w:shd w:val="clear" w:color="000000" w:fill="FFC000"/>
            <w:vAlign w:val="center"/>
            <w:hideMark/>
          </w:tcPr>
          <w:p w14:paraId="4B558B4C" w14:textId="77777777" w:rsidR="00347735" w:rsidRPr="00E2712C" w:rsidRDefault="00347735" w:rsidP="007011AE">
            <w:pPr>
              <w:rPr>
                <w:rFonts w:eastAsia="Times New Roman"/>
                <w:b/>
                <w:bCs/>
                <w:color w:val="000000"/>
              </w:rPr>
            </w:pPr>
            <w:r w:rsidRPr="00E2712C">
              <w:rPr>
                <w:rFonts w:eastAsia="Times New Roman"/>
                <w:b/>
                <w:bCs/>
                <w:color w:val="000000"/>
              </w:rPr>
              <w:t>Total</w:t>
            </w:r>
          </w:p>
        </w:tc>
        <w:tc>
          <w:tcPr>
            <w:tcW w:w="942" w:type="pct"/>
            <w:tcBorders>
              <w:top w:val="nil"/>
              <w:left w:val="nil"/>
              <w:bottom w:val="single" w:sz="4" w:space="0" w:color="auto"/>
              <w:right w:val="single" w:sz="4" w:space="0" w:color="auto"/>
            </w:tcBorders>
            <w:shd w:val="clear" w:color="000000" w:fill="FFC000"/>
            <w:vAlign w:val="center"/>
            <w:hideMark/>
          </w:tcPr>
          <w:p w14:paraId="2BCDC3F1" w14:textId="77777777" w:rsidR="00347735" w:rsidRPr="00E2712C" w:rsidRDefault="00347735" w:rsidP="007011AE">
            <w:pPr>
              <w:jc w:val="center"/>
              <w:rPr>
                <w:rFonts w:eastAsia="Times New Roman"/>
                <w:color w:val="000000"/>
              </w:rPr>
            </w:pPr>
            <w:r w:rsidRPr="00E2712C">
              <w:rPr>
                <w:rFonts w:eastAsia="Times New Roman"/>
                <w:color w:val="000000"/>
              </w:rPr>
              <w:t> </w:t>
            </w:r>
          </w:p>
        </w:tc>
        <w:tc>
          <w:tcPr>
            <w:tcW w:w="1233" w:type="pct"/>
            <w:tcBorders>
              <w:top w:val="nil"/>
              <w:left w:val="nil"/>
              <w:bottom w:val="single" w:sz="4" w:space="0" w:color="auto"/>
              <w:right w:val="single" w:sz="4" w:space="0" w:color="auto"/>
            </w:tcBorders>
            <w:shd w:val="clear" w:color="000000" w:fill="FFC000"/>
            <w:vAlign w:val="center"/>
            <w:hideMark/>
          </w:tcPr>
          <w:p w14:paraId="0FE2CC85" w14:textId="77777777" w:rsidR="00347735" w:rsidRPr="00E2712C" w:rsidRDefault="00347735" w:rsidP="007011AE">
            <w:pPr>
              <w:rPr>
                <w:rFonts w:eastAsia="Times New Roman"/>
                <w:color w:val="000000"/>
              </w:rPr>
            </w:pPr>
            <w:r w:rsidRPr="00E2712C">
              <w:rPr>
                <w:rFonts w:eastAsia="Times New Roman"/>
                <w:color w:val="000000"/>
              </w:rPr>
              <w:t> </w:t>
            </w:r>
          </w:p>
        </w:tc>
        <w:tc>
          <w:tcPr>
            <w:tcW w:w="1160" w:type="pct"/>
            <w:tcBorders>
              <w:top w:val="nil"/>
              <w:left w:val="nil"/>
              <w:bottom w:val="single" w:sz="4" w:space="0" w:color="auto"/>
              <w:right w:val="single" w:sz="4" w:space="0" w:color="auto"/>
            </w:tcBorders>
            <w:shd w:val="clear" w:color="000000" w:fill="FFC000"/>
            <w:vAlign w:val="center"/>
            <w:hideMark/>
          </w:tcPr>
          <w:p w14:paraId="0ACCC73D" w14:textId="77777777" w:rsidR="00347735" w:rsidRPr="00E2712C" w:rsidRDefault="00347735" w:rsidP="007011AE">
            <w:pPr>
              <w:jc w:val="right"/>
              <w:rPr>
                <w:rFonts w:eastAsia="Times New Roman"/>
                <w:b/>
                <w:bCs/>
                <w:color w:val="000000"/>
              </w:rPr>
            </w:pPr>
            <w:bookmarkStart w:id="4" w:name="_Hlk514674149"/>
            <w:r>
              <w:rPr>
                <w:rFonts w:eastAsia="Times New Roman"/>
                <w:b/>
                <w:bCs/>
                <w:color w:val="000000"/>
              </w:rPr>
              <w:t>₹</w:t>
            </w:r>
            <w:bookmarkEnd w:id="4"/>
            <w:r>
              <w:rPr>
                <w:rFonts w:eastAsia="Times New Roman"/>
                <w:b/>
                <w:bCs/>
                <w:color w:val="000000"/>
              </w:rPr>
              <w:t xml:space="preserve"> 3,33,33,3</w:t>
            </w:r>
            <w:r w:rsidRPr="00E2712C">
              <w:rPr>
                <w:rFonts w:eastAsia="Times New Roman"/>
                <w:b/>
                <w:bCs/>
                <w:color w:val="000000"/>
              </w:rPr>
              <w:t>00.00</w:t>
            </w:r>
          </w:p>
        </w:tc>
      </w:tr>
    </w:tbl>
    <w:p w14:paraId="62D172D5" w14:textId="1B596F08" w:rsidR="006D07DF" w:rsidRDefault="006D07DF" w:rsidP="006D07DF">
      <w:pPr>
        <w:jc w:val="both"/>
        <w:rPr>
          <w:rFonts w:ascii="Cambria" w:hAnsi="Cambria" w:cs="Arial"/>
          <w:b/>
        </w:rPr>
      </w:pPr>
      <w:r w:rsidRPr="002E4CB5">
        <w:rPr>
          <w:rFonts w:ascii="Cambria" w:hAnsi="Cambria" w:cs="Arial"/>
        </w:rPr>
        <w:t>* The costing for the above resources is based on the old rate, NSDC will conduct performance review after three months of current services</w:t>
      </w:r>
      <w:r w:rsidRPr="002E4CB5">
        <w:t>, if found satisfactory</w:t>
      </w:r>
      <w:r w:rsidR="008753A8" w:rsidRPr="002E4CB5">
        <w:t xml:space="preserve">, </w:t>
      </w:r>
      <w:r w:rsidRPr="002E4CB5">
        <w:t>the incremental cost</w:t>
      </w:r>
      <w:r w:rsidR="002E4CB5" w:rsidRPr="002E4CB5">
        <w:t xml:space="preserve"> of </w:t>
      </w:r>
      <w:r w:rsidR="002E4CB5" w:rsidRPr="002E4CB5">
        <w:rPr>
          <w:rFonts w:eastAsia="Times New Roman"/>
          <w:b/>
          <w:bCs/>
          <w:color w:val="000000"/>
        </w:rPr>
        <w:t xml:space="preserve">₹ </w:t>
      </w:r>
      <w:r w:rsidR="002E4CB5" w:rsidRPr="002E4CB5">
        <w:t>19,425</w:t>
      </w:r>
      <w:r w:rsidRPr="002E4CB5">
        <w:t xml:space="preserve"> for </w:t>
      </w:r>
      <w:r w:rsidR="002E4CB5" w:rsidRPr="002E4CB5">
        <w:t>each of t</w:t>
      </w:r>
      <w:r w:rsidRPr="002E4CB5">
        <w:t>he resources will apply with effect from 01-Apr-2018.</w:t>
      </w:r>
      <w:r w:rsidR="008753A8" w:rsidRPr="002E4CB5">
        <w:t xml:space="preserve"> In such case overall costing will change accordingly.</w:t>
      </w:r>
    </w:p>
    <w:p w14:paraId="3B1B16E3" w14:textId="1949E06D" w:rsidR="006D07DF" w:rsidRPr="006D07DF" w:rsidRDefault="006D07DF" w:rsidP="006D07DF">
      <w:pPr>
        <w:spacing w:line="360" w:lineRule="auto"/>
        <w:jc w:val="both"/>
        <w:rPr>
          <w:rFonts w:ascii="Cambria" w:hAnsi="Cambria" w:cs="Arial"/>
          <w:b/>
          <w:u w:val="single"/>
        </w:rPr>
      </w:pPr>
      <w:r w:rsidRPr="006D07DF">
        <w:rPr>
          <w:rFonts w:ascii="Cambria" w:hAnsi="Cambria" w:cs="Arial"/>
          <w:b/>
          <w:u w:val="single"/>
        </w:rPr>
        <w:t>PMKVY 2.0 &amp; Non-PMKVY Scheme Managed Services Support</w:t>
      </w:r>
    </w:p>
    <w:tbl>
      <w:tblPr>
        <w:tblW w:w="4854" w:type="pct"/>
        <w:tblLook w:val="04A0" w:firstRow="1" w:lastRow="0" w:firstColumn="1" w:lastColumn="0" w:noHBand="0" w:noVBand="1"/>
      </w:tblPr>
      <w:tblGrid>
        <w:gridCol w:w="3255"/>
        <w:gridCol w:w="1844"/>
        <w:gridCol w:w="2481"/>
        <w:gridCol w:w="2196"/>
      </w:tblGrid>
      <w:tr w:rsidR="00347735" w:rsidRPr="0081651B" w14:paraId="4C2557BD" w14:textId="77777777" w:rsidTr="007011AE">
        <w:trPr>
          <w:trHeight w:val="750"/>
        </w:trPr>
        <w:tc>
          <w:tcPr>
            <w:tcW w:w="16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540231" w14:textId="7E6D578F" w:rsidR="00347735" w:rsidRPr="0081651B" w:rsidRDefault="006D07DF" w:rsidP="007011AE">
            <w:pPr>
              <w:jc w:val="center"/>
              <w:rPr>
                <w:rFonts w:eastAsia="Times New Roman"/>
                <w:b/>
                <w:bCs/>
                <w:color w:val="000000"/>
                <w:sz w:val="24"/>
                <w:szCs w:val="28"/>
              </w:rPr>
            </w:pPr>
            <w:r>
              <w:rPr>
                <w:rFonts w:eastAsia="Times New Roman"/>
                <w:b/>
                <w:bCs/>
                <w:color w:val="000000"/>
                <w:sz w:val="24"/>
                <w:szCs w:val="28"/>
              </w:rPr>
              <w:lastRenderedPageBreak/>
              <w:t>Particulars</w:t>
            </w:r>
          </w:p>
        </w:tc>
        <w:tc>
          <w:tcPr>
            <w:tcW w:w="943" w:type="pct"/>
            <w:tcBorders>
              <w:top w:val="single" w:sz="4" w:space="0" w:color="auto"/>
              <w:left w:val="nil"/>
              <w:bottom w:val="single" w:sz="4" w:space="0" w:color="auto"/>
              <w:right w:val="single" w:sz="4" w:space="0" w:color="auto"/>
            </w:tcBorders>
            <w:shd w:val="clear" w:color="auto" w:fill="auto"/>
            <w:vAlign w:val="center"/>
            <w:hideMark/>
          </w:tcPr>
          <w:p w14:paraId="3BE4CECB" w14:textId="77777777" w:rsidR="00347735" w:rsidRPr="0081651B" w:rsidRDefault="00347735" w:rsidP="007011AE">
            <w:pPr>
              <w:jc w:val="center"/>
              <w:rPr>
                <w:rFonts w:eastAsia="Times New Roman"/>
                <w:b/>
                <w:bCs/>
                <w:color w:val="000000"/>
                <w:sz w:val="24"/>
                <w:szCs w:val="28"/>
              </w:rPr>
            </w:pPr>
            <w:r w:rsidRPr="0081651B">
              <w:rPr>
                <w:rFonts w:eastAsia="Times New Roman"/>
                <w:b/>
                <w:bCs/>
                <w:color w:val="000000"/>
                <w:sz w:val="24"/>
                <w:szCs w:val="28"/>
              </w:rPr>
              <w:t>Resource for 2018-19</w:t>
            </w:r>
          </w:p>
        </w:tc>
        <w:tc>
          <w:tcPr>
            <w:tcW w:w="1269" w:type="pct"/>
            <w:tcBorders>
              <w:top w:val="single" w:sz="4" w:space="0" w:color="auto"/>
              <w:left w:val="nil"/>
              <w:bottom w:val="single" w:sz="4" w:space="0" w:color="auto"/>
              <w:right w:val="single" w:sz="4" w:space="0" w:color="auto"/>
            </w:tcBorders>
            <w:shd w:val="clear" w:color="auto" w:fill="auto"/>
            <w:vAlign w:val="center"/>
            <w:hideMark/>
          </w:tcPr>
          <w:p w14:paraId="53DE160A" w14:textId="77777777" w:rsidR="00347735" w:rsidRPr="0081651B" w:rsidRDefault="00347735" w:rsidP="007011AE">
            <w:pPr>
              <w:jc w:val="center"/>
              <w:rPr>
                <w:rFonts w:eastAsia="Times New Roman"/>
                <w:b/>
                <w:bCs/>
                <w:color w:val="000000"/>
                <w:sz w:val="24"/>
                <w:szCs w:val="28"/>
              </w:rPr>
            </w:pPr>
            <w:r w:rsidRPr="0081651B">
              <w:rPr>
                <w:rFonts w:eastAsia="Times New Roman"/>
                <w:b/>
                <w:bCs/>
                <w:color w:val="000000"/>
                <w:sz w:val="24"/>
                <w:szCs w:val="28"/>
              </w:rPr>
              <w:t>Revised Per Month Rate</w:t>
            </w:r>
          </w:p>
        </w:tc>
        <w:tc>
          <w:tcPr>
            <w:tcW w:w="1123" w:type="pct"/>
            <w:tcBorders>
              <w:top w:val="single" w:sz="4" w:space="0" w:color="auto"/>
              <w:left w:val="nil"/>
              <w:bottom w:val="single" w:sz="4" w:space="0" w:color="auto"/>
              <w:right w:val="single" w:sz="4" w:space="0" w:color="auto"/>
            </w:tcBorders>
            <w:shd w:val="clear" w:color="auto" w:fill="auto"/>
            <w:vAlign w:val="center"/>
            <w:hideMark/>
          </w:tcPr>
          <w:p w14:paraId="0A0064BD" w14:textId="77777777" w:rsidR="00347735" w:rsidRPr="0081651B" w:rsidRDefault="00347735" w:rsidP="007011AE">
            <w:pPr>
              <w:jc w:val="center"/>
              <w:rPr>
                <w:rFonts w:eastAsia="Times New Roman"/>
                <w:b/>
                <w:bCs/>
                <w:color w:val="000000"/>
                <w:sz w:val="24"/>
                <w:szCs w:val="28"/>
              </w:rPr>
            </w:pPr>
            <w:r w:rsidRPr="0081651B">
              <w:rPr>
                <w:rFonts w:eastAsia="Times New Roman"/>
                <w:b/>
                <w:bCs/>
                <w:color w:val="000000"/>
                <w:sz w:val="24"/>
                <w:szCs w:val="28"/>
              </w:rPr>
              <w:t>Total</w:t>
            </w:r>
          </w:p>
        </w:tc>
      </w:tr>
      <w:tr w:rsidR="00347735" w:rsidRPr="0081651B" w14:paraId="6423BE66" w14:textId="77777777" w:rsidTr="007011AE">
        <w:trPr>
          <w:trHeight w:val="375"/>
        </w:trPr>
        <w:tc>
          <w:tcPr>
            <w:tcW w:w="1665" w:type="pct"/>
            <w:tcBorders>
              <w:top w:val="nil"/>
              <w:left w:val="single" w:sz="4" w:space="0" w:color="auto"/>
              <w:bottom w:val="single" w:sz="4" w:space="0" w:color="auto"/>
              <w:right w:val="single" w:sz="4" w:space="0" w:color="auto"/>
            </w:tcBorders>
            <w:shd w:val="clear" w:color="auto" w:fill="auto"/>
            <w:noWrap/>
            <w:vAlign w:val="center"/>
            <w:hideMark/>
          </w:tcPr>
          <w:p w14:paraId="4FA3C686" w14:textId="77777777" w:rsidR="00347735" w:rsidRPr="0081651B" w:rsidRDefault="00347735" w:rsidP="007011AE">
            <w:pPr>
              <w:rPr>
                <w:rFonts w:eastAsia="Times New Roman"/>
                <w:b/>
                <w:bCs/>
                <w:color w:val="000000"/>
                <w:sz w:val="24"/>
                <w:szCs w:val="28"/>
              </w:rPr>
            </w:pPr>
          </w:p>
        </w:tc>
        <w:tc>
          <w:tcPr>
            <w:tcW w:w="943" w:type="pct"/>
            <w:tcBorders>
              <w:top w:val="nil"/>
              <w:left w:val="nil"/>
              <w:bottom w:val="single" w:sz="4" w:space="0" w:color="auto"/>
              <w:right w:val="single" w:sz="4" w:space="0" w:color="auto"/>
            </w:tcBorders>
            <w:shd w:val="clear" w:color="auto" w:fill="auto"/>
            <w:vAlign w:val="center"/>
            <w:hideMark/>
          </w:tcPr>
          <w:p w14:paraId="5903ECDA" w14:textId="77777777" w:rsidR="00347735" w:rsidRPr="0081651B" w:rsidRDefault="00347735" w:rsidP="007011AE">
            <w:pPr>
              <w:rPr>
                <w:rFonts w:eastAsia="Times New Roman"/>
                <w:color w:val="000000"/>
                <w:sz w:val="24"/>
              </w:rPr>
            </w:pPr>
            <w:r w:rsidRPr="0081651B">
              <w:rPr>
                <w:rFonts w:eastAsia="Times New Roman"/>
                <w:color w:val="000000"/>
                <w:sz w:val="24"/>
              </w:rPr>
              <w:t> </w:t>
            </w:r>
          </w:p>
        </w:tc>
        <w:tc>
          <w:tcPr>
            <w:tcW w:w="1269" w:type="pct"/>
            <w:tcBorders>
              <w:top w:val="nil"/>
              <w:left w:val="nil"/>
              <w:bottom w:val="single" w:sz="4" w:space="0" w:color="auto"/>
              <w:right w:val="single" w:sz="4" w:space="0" w:color="auto"/>
            </w:tcBorders>
            <w:shd w:val="clear" w:color="auto" w:fill="auto"/>
            <w:vAlign w:val="center"/>
            <w:hideMark/>
          </w:tcPr>
          <w:p w14:paraId="06A24FCD" w14:textId="77777777" w:rsidR="00347735" w:rsidRPr="0081651B" w:rsidRDefault="00347735" w:rsidP="007011AE">
            <w:pPr>
              <w:rPr>
                <w:rFonts w:eastAsia="Times New Roman"/>
                <w:color w:val="000000"/>
                <w:sz w:val="24"/>
              </w:rPr>
            </w:pPr>
            <w:r w:rsidRPr="0081651B">
              <w:rPr>
                <w:rFonts w:eastAsia="Times New Roman"/>
                <w:color w:val="000000"/>
                <w:sz w:val="24"/>
              </w:rPr>
              <w:t> </w:t>
            </w:r>
          </w:p>
        </w:tc>
        <w:tc>
          <w:tcPr>
            <w:tcW w:w="1123" w:type="pct"/>
            <w:tcBorders>
              <w:top w:val="nil"/>
              <w:left w:val="nil"/>
              <w:bottom w:val="single" w:sz="4" w:space="0" w:color="auto"/>
              <w:right w:val="single" w:sz="4" w:space="0" w:color="auto"/>
            </w:tcBorders>
            <w:shd w:val="clear" w:color="auto" w:fill="auto"/>
            <w:vAlign w:val="center"/>
            <w:hideMark/>
          </w:tcPr>
          <w:p w14:paraId="1BDC0E77" w14:textId="77777777" w:rsidR="00347735" w:rsidRPr="0081651B" w:rsidRDefault="00347735" w:rsidP="007011AE">
            <w:pPr>
              <w:jc w:val="center"/>
              <w:rPr>
                <w:rFonts w:eastAsia="Times New Roman"/>
                <w:b/>
                <w:bCs/>
                <w:color w:val="000000"/>
                <w:sz w:val="24"/>
              </w:rPr>
            </w:pPr>
            <w:r w:rsidRPr="0081651B">
              <w:rPr>
                <w:rFonts w:eastAsia="Times New Roman"/>
                <w:b/>
                <w:bCs/>
                <w:color w:val="000000"/>
                <w:sz w:val="24"/>
              </w:rPr>
              <w:t> </w:t>
            </w:r>
          </w:p>
        </w:tc>
      </w:tr>
      <w:tr w:rsidR="00347735" w:rsidRPr="0081651B" w14:paraId="2FE15BFF" w14:textId="77777777" w:rsidTr="007011AE">
        <w:trPr>
          <w:trHeight w:val="300"/>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4A4C40B8" w14:textId="77777777" w:rsidR="00347735" w:rsidRPr="0081651B" w:rsidRDefault="00347735" w:rsidP="007011AE">
            <w:pPr>
              <w:rPr>
                <w:rFonts w:eastAsia="Times New Roman"/>
                <w:color w:val="000000"/>
              </w:rPr>
            </w:pPr>
            <w:r w:rsidRPr="0081651B">
              <w:rPr>
                <w:rFonts w:eastAsia="Times New Roman"/>
                <w:color w:val="000000"/>
              </w:rPr>
              <w:t>AX Support</w:t>
            </w:r>
          </w:p>
        </w:tc>
        <w:tc>
          <w:tcPr>
            <w:tcW w:w="943" w:type="pct"/>
            <w:tcBorders>
              <w:top w:val="nil"/>
              <w:left w:val="nil"/>
              <w:bottom w:val="single" w:sz="4" w:space="0" w:color="auto"/>
              <w:right w:val="single" w:sz="4" w:space="0" w:color="auto"/>
            </w:tcBorders>
            <w:shd w:val="clear" w:color="auto" w:fill="auto"/>
            <w:vAlign w:val="center"/>
            <w:hideMark/>
          </w:tcPr>
          <w:p w14:paraId="6A5BC1BC" w14:textId="77777777" w:rsidR="00347735" w:rsidRPr="0081651B" w:rsidRDefault="00347735" w:rsidP="007011AE">
            <w:pPr>
              <w:jc w:val="center"/>
              <w:rPr>
                <w:rFonts w:eastAsia="Times New Roman"/>
                <w:color w:val="000000"/>
              </w:rPr>
            </w:pPr>
            <w:r w:rsidRPr="0081651B">
              <w:rPr>
                <w:rFonts w:eastAsia="Times New Roman"/>
                <w:color w:val="000000"/>
              </w:rPr>
              <w:t>3</w:t>
            </w:r>
          </w:p>
        </w:tc>
        <w:tc>
          <w:tcPr>
            <w:tcW w:w="1269" w:type="pct"/>
            <w:tcBorders>
              <w:top w:val="nil"/>
              <w:left w:val="nil"/>
              <w:bottom w:val="single" w:sz="4" w:space="0" w:color="auto"/>
              <w:right w:val="single" w:sz="4" w:space="0" w:color="auto"/>
            </w:tcBorders>
            <w:shd w:val="clear" w:color="auto" w:fill="auto"/>
            <w:vAlign w:val="center"/>
            <w:hideMark/>
          </w:tcPr>
          <w:p w14:paraId="5D2442E7" w14:textId="77777777" w:rsidR="00347735" w:rsidRPr="0081651B" w:rsidRDefault="00347735" w:rsidP="007011AE">
            <w:pPr>
              <w:rPr>
                <w:rFonts w:eastAsia="Times New Roman"/>
                <w:color w:val="000000"/>
              </w:rPr>
            </w:pPr>
            <w:r w:rsidRPr="0081651B">
              <w:rPr>
                <w:rFonts w:eastAsia="Times New Roman"/>
                <w:color w:val="000000"/>
              </w:rPr>
              <w:t xml:space="preserve"> ₹      1,94,250.00 </w:t>
            </w:r>
          </w:p>
        </w:tc>
        <w:tc>
          <w:tcPr>
            <w:tcW w:w="1123" w:type="pct"/>
            <w:tcBorders>
              <w:top w:val="nil"/>
              <w:left w:val="nil"/>
              <w:bottom w:val="single" w:sz="4" w:space="0" w:color="auto"/>
              <w:right w:val="single" w:sz="4" w:space="0" w:color="auto"/>
            </w:tcBorders>
            <w:shd w:val="clear" w:color="auto" w:fill="auto"/>
            <w:vAlign w:val="center"/>
            <w:hideMark/>
          </w:tcPr>
          <w:p w14:paraId="5327908D" w14:textId="77777777" w:rsidR="00347735" w:rsidRPr="0081651B" w:rsidRDefault="00347735" w:rsidP="007011AE">
            <w:pPr>
              <w:jc w:val="right"/>
              <w:rPr>
                <w:rFonts w:eastAsia="Times New Roman"/>
                <w:b/>
                <w:bCs/>
                <w:color w:val="000000"/>
              </w:rPr>
            </w:pPr>
            <w:r w:rsidRPr="0081651B">
              <w:rPr>
                <w:rFonts w:eastAsia="Times New Roman"/>
                <w:b/>
                <w:bCs/>
                <w:color w:val="000000"/>
              </w:rPr>
              <w:t>₹ 50,50,500.00</w:t>
            </w:r>
          </w:p>
        </w:tc>
      </w:tr>
      <w:tr w:rsidR="00347735" w:rsidRPr="0081651B" w14:paraId="117E8D70" w14:textId="77777777" w:rsidTr="007011AE">
        <w:trPr>
          <w:trHeight w:val="300"/>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73931941" w14:textId="77777777" w:rsidR="00347735" w:rsidRPr="0081651B" w:rsidRDefault="00347735" w:rsidP="007011AE">
            <w:pPr>
              <w:rPr>
                <w:rFonts w:eastAsia="Times New Roman"/>
                <w:color w:val="000000"/>
              </w:rPr>
            </w:pPr>
            <w:r w:rsidRPr="0081651B">
              <w:rPr>
                <w:rFonts w:eastAsia="Times New Roman"/>
                <w:color w:val="000000"/>
              </w:rPr>
              <w:t>Data Warehouse Report</w:t>
            </w:r>
          </w:p>
        </w:tc>
        <w:tc>
          <w:tcPr>
            <w:tcW w:w="943" w:type="pct"/>
            <w:tcBorders>
              <w:top w:val="nil"/>
              <w:left w:val="nil"/>
              <w:bottom w:val="single" w:sz="4" w:space="0" w:color="auto"/>
              <w:right w:val="single" w:sz="4" w:space="0" w:color="auto"/>
            </w:tcBorders>
            <w:shd w:val="clear" w:color="auto" w:fill="auto"/>
            <w:vAlign w:val="center"/>
            <w:hideMark/>
          </w:tcPr>
          <w:p w14:paraId="6D3CC7B9" w14:textId="77777777" w:rsidR="00347735" w:rsidRPr="0081651B" w:rsidRDefault="00347735" w:rsidP="007011AE">
            <w:pPr>
              <w:jc w:val="center"/>
              <w:rPr>
                <w:rFonts w:eastAsia="Times New Roman"/>
                <w:color w:val="000000"/>
              </w:rPr>
            </w:pPr>
            <w:r w:rsidRPr="0081651B">
              <w:rPr>
                <w:rFonts w:eastAsia="Times New Roman"/>
                <w:color w:val="000000"/>
              </w:rPr>
              <w:t>4</w:t>
            </w:r>
          </w:p>
        </w:tc>
        <w:tc>
          <w:tcPr>
            <w:tcW w:w="1269" w:type="pct"/>
            <w:tcBorders>
              <w:top w:val="nil"/>
              <w:left w:val="nil"/>
              <w:bottom w:val="single" w:sz="4" w:space="0" w:color="auto"/>
              <w:right w:val="single" w:sz="4" w:space="0" w:color="auto"/>
            </w:tcBorders>
            <w:shd w:val="clear" w:color="auto" w:fill="auto"/>
            <w:vAlign w:val="center"/>
            <w:hideMark/>
          </w:tcPr>
          <w:p w14:paraId="4FC700D0" w14:textId="77777777" w:rsidR="00347735" w:rsidRPr="0081651B" w:rsidRDefault="00347735" w:rsidP="007011AE">
            <w:pPr>
              <w:rPr>
                <w:rFonts w:eastAsia="Times New Roman"/>
                <w:color w:val="000000"/>
              </w:rPr>
            </w:pPr>
            <w:r w:rsidRPr="0081651B">
              <w:rPr>
                <w:rFonts w:eastAsia="Times New Roman"/>
                <w:color w:val="000000"/>
              </w:rPr>
              <w:t xml:space="preserve"> ₹      2,13,675.00 </w:t>
            </w:r>
          </w:p>
        </w:tc>
        <w:tc>
          <w:tcPr>
            <w:tcW w:w="1123" w:type="pct"/>
            <w:tcBorders>
              <w:top w:val="nil"/>
              <w:left w:val="nil"/>
              <w:bottom w:val="single" w:sz="4" w:space="0" w:color="auto"/>
              <w:right w:val="single" w:sz="4" w:space="0" w:color="auto"/>
            </w:tcBorders>
            <w:shd w:val="clear" w:color="auto" w:fill="auto"/>
            <w:vAlign w:val="center"/>
            <w:hideMark/>
          </w:tcPr>
          <w:p w14:paraId="2077081A" w14:textId="77777777" w:rsidR="00347735" w:rsidRPr="0081651B" w:rsidRDefault="00347735" w:rsidP="007011AE">
            <w:pPr>
              <w:jc w:val="right"/>
              <w:rPr>
                <w:rFonts w:eastAsia="Times New Roman"/>
                <w:b/>
                <w:bCs/>
                <w:color w:val="000000"/>
              </w:rPr>
            </w:pPr>
            <w:r w:rsidRPr="0081651B">
              <w:rPr>
                <w:rFonts w:eastAsia="Times New Roman"/>
                <w:b/>
                <w:bCs/>
                <w:color w:val="000000"/>
              </w:rPr>
              <w:t>₹ 72,64,950.00</w:t>
            </w:r>
          </w:p>
        </w:tc>
      </w:tr>
      <w:tr w:rsidR="00347735" w:rsidRPr="0081651B" w14:paraId="3D444504" w14:textId="77777777" w:rsidTr="007011AE">
        <w:trPr>
          <w:trHeight w:val="300"/>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3F04B9CF" w14:textId="77777777" w:rsidR="00347735" w:rsidRPr="0081651B" w:rsidRDefault="00347735" w:rsidP="007011AE">
            <w:pPr>
              <w:rPr>
                <w:rFonts w:eastAsia="Times New Roman"/>
                <w:color w:val="000000"/>
              </w:rPr>
            </w:pPr>
            <w:r w:rsidRPr="0081651B">
              <w:rPr>
                <w:rFonts w:eastAsia="Times New Roman"/>
                <w:color w:val="000000"/>
              </w:rPr>
              <w:t>Data migration</w:t>
            </w:r>
          </w:p>
        </w:tc>
        <w:tc>
          <w:tcPr>
            <w:tcW w:w="943" w:type="pct"/>
            <w:tcBorders>
              <w:top w:val="nil"/>
              <w:left w:val="nil"/>
              <w:bottom w:val="single" w:sz="4" w:space="0" w:color="auto"/>
              <w:right w:val="single" w:sz="4" w:space="0" w:color="auto"/>
            </w:tcBorders>
            <w:shd w:val="clear" w:color="auto" w:fill="auto"/>
            <w:vAlign w:val="center"/>
            <w:hideMark/>
          </w:tcPr>
          <w:p w14:paraId="335915EA" w14:textId="77777777" w:rsidR="00347735" w:rsidRPr="0081651B" w:rsidRDefault="00347735" w:rsidP="007011AE">
            <w:pPr>
              <w:jc w:val="center"/>
              <w:rPr>
                <w:rFonts w:eastAsia="Times New Roman"/>
                <w:color w:val="000000"/>
              </w:rPr>
            </w:pPr>
            <w:r w:rsidRPr="0081651B">
              <w:rPr>
                <w:rFonts w:eastAsia="Times New Roman"/>
                <w:color w:val="000000"/>
              </w:rPr>
              <w:t>1</w:t>
            </w:r>
          </w:p>
        </w:tc>
        <w:tc>
          <w:tcPr>
            <w:tcW w:w="1269" w:type="pct"/>
            <w:tcBorders>
              <w:top w:val="nil"/>
              <w:left w:val="nil"/>
              <w:bottom w:val="single" w:sz="4" w:space="0" w:color="auto"/>
              <w:right w:val="single" w:sz="4" w:space="0" w:color="auto"/>
            </w:tcBorders>
            <w:shd w:val="clear" w:color="auto" w:fill="auto"/>
            <w:vAlign w:val="center"/>
            <w:hideMark/>
          </w:tcPr>
          <w:p w14:paraId="7BAA7211" w14:textId="77777777" w:rsidR="00347735" w:rsidRPr="0081651B" w:rsidRDefault="00347735" w:rsidP="007011AE">
            <w:pPr>
              <w:rPr>
                <w:rFonts w:eastAsia="Times New Roman"/>
                <w:color w:val="000000"/>
              </w:rPr>
            </w:pPr>
            <w:r w:rsidRPr="0081651B">
              <w:rPr>
                <w:rFonts w:eastAsia="Times New Roman"/>
                <w:color w:val="000000"/>
              </w:rPr>
              <w:t xml:space="preserve"> ₹      2,13,675.00 </w:t>
            </w:r>
          </w:p>
        </w:tc>
        <w:tc>
          <w:tcPr>
            <w:tcW w:w="1123" w:type="pct"/>
            <w:tcBorders>
              <w:top w:val="nil"/>
              <w:left w:val="nil"/>
              <w:bottom w:val="single" w:sz="4" w:space="0" w:color="auto"/>
              <w:right w:val="single" w:sz="4" w:space="0" w:color="auto"/>
            </w:tcBorders>
            <w:shd w:val="clear" w:color="auto" w:fill="auto"/>
            <w:vAlign w:val="center"/>
            <w:hideMark/>
          </w:tcPr>
          <w:p w14:paraId="54E701FE" w14:textId="77777777" w:rsidR="00347735" w:rsidRPr="0081651B" w:rsidRDefault="00347735" w:rsidP="007011AE">
            <w:pPr>
              <w:jc w:val="right"/>
              <w:rPr>
                <w:rFonts w:eastAsia="Times New Roman"/>
                <w:b/>
                <w:bCs/>
                <w:color w:val="000000"/>
              </w:rPr>
            </w:pPr>
            <w:r w:rsidRPr="0081651B">
              <w:rPr>
                <w:rFonts w:eastAsia="Times New Roman"/>
                <w:b/>
                <w:bCs/>
                <w:color w:val="000000"/>
              </w:rPr>
              <w:t>₹ 10,68,375.00</w:t>
            </w:r>
          </w:p>
        </w:tc>
      </w:tr>
      <w:tr w:rsidR="00347735" w:rsidRPr="0081651B" w14:paraId="6F982F5C" w14:textId="77777777" w:rsidTr="007011AE">
        <w:trPr>
          <w:trHeight w:val="300"/>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7F1878D3" w14:textId="77777777" w:rsidR="00347735" w:rsidRPr="0081651B" w:rsidRDefault="00347735" w:rsidP="007011AE">
            <w:pPr>
              <w:rPr>
                <w:rFonts w:eastAsia="Times New Roman"/>
                <w:color w:val="000000"/>
              </w:rPr>
            </w:pPr>
            <w:r w:rsidRPr="0081651B">
              <w:rPr>
                <w:rFonts w:eastAsia="Times New Roman"/>
                <w:color w:val="000000"/>
              </w:rPr>
              <w:t>Support</w:t>
            </w:r>
          </w:p>
        </w:tc>
        <w:tc>
          <w:tcPr>
            <w:tcW w:w="943" w:type="pct"/>
            <w:tcBorders>
              <w:top w:val="nil"/>
              <w:left w:val="nil"/>
              <w:bottom w:val="single" w:sz="4" w:space="0" w:color="auto"/>
              <w:right w:val="single" w:sz="4" w:space="0" w:color="auto"/>
            </w:tcBorders>
            <w:shd w:val="clear" w:color="auto" w:fill="auto"/>
            <w:vAlign w:val="center"/>
            <w:hideMark/>
          </w:tcPr>
          <w:p w14:paraId="68E036B4" w14:textId="77777777" w:rsidR="00347735" w:rsidRPr="0081651B" w:rsidRDefault="00347735" w:rsidP="007011AE">
            <w:pPr>
              <w:jc w:val="center"/>
              <w:rPr>
                <w:rFonts w:eastAsia="Times New Roman"/>
                <w:color w:val="000000"/>
              </w:rPr>
            </w:pPr>
            <w:r w:rsidRPr="0081651B">
              <w:rPr>
                <w:rFonts w:eastAsia="Times New Roman"/>
                <w:color w:val="000000"/>
              </w:rPr>
              <w:t>20</w:t>
            </w:r>
          </w:p>
        </w:tc>
        <w:tc>
          <w:tcPr>
            <w:tcW w:w="1269" w:type="pct"/>
            <w:tcBorders>
              <w:top w:val="nil"/>
              <w:left w:val="nil"/>
              <w:bottom w:val="single" w:sz="4" w:space="0" w:color="auto"/>
              <w:right w:val="single" w:sz="4" w:space="0" w:color="auto"/>
            </w:tcBorders>
            <w:shd w:val="clear" w:color="auto" w:fill="auto"/>
            <w:vAlign w:val="center"/>
            <w:hideMark/>
          </w:tcPr>
          <w:p w14:paraId="7C9F8190" w14:textId="77777777" w:rsidR="00347735" w:rsidRPr="0081651B" w:rsidRDefault="00347735" w:rsidP="007011AE">
            <w:pPr>
              <w:rPr>
                <w:rFonts w:eastAsia="Times New Roman"/>
                <w:color w:val="000000"/>
              </w:rPr>
            </w:pPr>
            <w:r w:rsidRPr="0081651B">
              <w:rPr>
                <w:rFonts w:eastAsia="Times New Roman"/>
                <w:color w:val="000000"/>
              </w:rPr>
              <w:t xml:space="preserve"> ₹      1,43,000.00 </w:t>
            </w:r>
          </w:p>
        </w:tc>
        <w:tc>
          <w:tcPr>
            <w:tcW w:w="1123" w:type="pct"/>
            <w:tcBorders>
              <w:top w:val="nil"/>
              <w:left w:val="nil"/>
              <w:bottom w:val="single" w:sz="4" w:space="0" w:color="auto"/>
              <w:right w:val="single" w:sz="4" w:space="0" w:color="auto"/>
            </w:tcBorders>
            <w:shd w:val="clear" w:color="auto" w:fill="auto"/>
            <w:vAlign w:val="center"/>
            <w:hideMark/>
          </w:tcPr>
          <w:p w14:paraId="0E3A59EA" w14:textId="77777777" w:rsidR="00347735" w:rsidRPr="0081651B" w:rsidRDefault="00347735" w:rsidP="007011AE">
            <w:pPr>
              <w:jc w:val="right"/>
              <w:rPr>
                <w:rFonts w:eastAsia="Times New Roman"/>
                <w:b/>
                <w:bCs/>
                <w:color w:val="000000"/>
              </w:rPr>
            </w:pPr>
            <w:r w:rsidRPr="0081651B">
              <w:rPr>
                <w:rFonts w:eastAsia="Times New Roman"/>
                <w:b/>
                <w:bCs/>
                <w:color w:val="000000"/>
              </w:rPr>
              <w:t>₹ 2,60,26,000.00</w:t>
            </w:r>
          </w:p>
        </w:tc>
      </w:tr>
      <w:tr w:rsidR="00347735" w:rsidRPr="0081651B" w14:paraId="496D4DB4" w14:textId="77777777" w:rsidTr="007011AE">
        <w:trPr>
          <w:trHeight w:val="300"/>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3C5DD5F5" w14:textId="1F0038C8" w:rsidR="00347735" w:rsidRPr="0081651B" w:rsidRDefault="00347735" w:rsidP="007011AE">
            <w:pPr>
              <w:rPr>
                <w:rFonts w:eastAsia="Times New Roman"/>
                <w:color w:val="000000"/>
              </w:rPr>
            </w:pPr>
            <w:r w:rsidRPr="0081651B">
              <w:rPr>
                <w:rFonts w:eastAsia="Times New Roman"/>
                <w:color w:val="000000"/>
              </w:rPr>
              <w:t>Monitoring Resource (</w:t>
            </w:r>
            <w:r w:rsidR="00EC79CA" w:rsidRPr="0081651B">
              <w:rPr>
                <w:rFonts w:eastAsia="Times New Roman"/>
                <w:color w:val="000000"/>
              </w:rPr>
              <w:t>Integration &amp;</w:t>
            </w:r>
            <w:r w:rsidRPr="0081651B">
              <w:rPr>
                <w:rFonts w:eastAsia="Times New Roman"/>
                <w:color w:val="000000"/>
              </w:rPr>
              <w:t xml:space="preserve"> APIs)</w:t>
            </w:r>
          </w:p>
        </w:tc>
        <w:tc>
          <w:tcPr>
            <w:tcW w:w="943" w:type="pct"/>
            <w:tcBorders>
              <w:top w:val="nil"/>
              <w:left w:val="nil"/>
              <w:bottom w:val="single" w:sz="4" w:space="0" w:color="auto"/>
              <w:right w:val="single" w:sz="4" w:space="0" w:color="auto"/>
            </w:tcBorders>
            <w:shd w:val="clear" w:color="auto" w:fill="auto"/>
            <w:vAlign w:val="center"/>
            <w:hideMark/>
          </w:tcPr>
          <w:p w14:paraId="76E5E374" w14:textId="77777777" w:rsidR="00347735" w:rsidRPr="0081651B" w:rsidRDefault="00347735" w:rsidP="007011AE">
            <w:pPr>
              <w:jc w:val="center"/>
              <w:rPr>
                <w:rFonts w:eastAsia="Times New Roman"/>
                <w:color w:val="000000"/>
              </w:rPr>
            </w:pPr>
            <w:r w:rsidRPr="0081651B">
              <w:rPr>
                <w:rFonts w:eastAsia="Times New Roman"/>
                <w:color w:val="000000"/>
              </w:rPr>
              <w:t>1</w:t>
            </w:r>
          </w:p>
        </w:tc>
        <w:tc>
          <w:tcPr>
            <w:tcW w:w="1269" w:type="pct"/>
            <w:tcBorders>
              <w:top w:val="nil"/>
              <w:left w:val="nil"/>
              <w:bottom w:val="single" w:sz="4" w:space="0" w:color="auto"/>
              <w:right w:val="single" w:sz="4" w:space="0" w:color="auto"/>
            </w:tcBorders>
            <w:shd w:val="clear" w:color="auto" w:fill="auto"/>
            <w:vAlign w:val="center"/>
            <w:hideMark/>
          </w:tcPr>
          <w:p w14:paraId="6C53D5F8" w14:textId="77777777" w:rsidR="00347735" w:rsidRPr="0081651B" w:rsidRDefault="00347735" w:rsidP="007011AE">
            <w:pPr>
              <w:rPr>
                <w:rFonts w:eastAsia="Times New Roman"/>
                <w:color w:val="000000"/>
              </w:rPr>
            </w:pPr>
            <w:r w:rsidRPr="0081651B">
              <w:rPr>
                <w:rFonts w:eastAsia="Times New Roman"/>
                <w:color w:val="000000"/>
              </w:rPr>
              <w:t xml:space="preserve"> ₹      2,13,675.00 </w:t>
            </w:r>
          </w:p>
        </w:tc>
        <w:tc>
          <w:tcPr>
            <w:tcW w:w="1123" w:type="pct"/>
            <w:tcBorders>
              <w:top w:val="nil"/>
              <w:left w:val="nil"/>
              <w:bottom w:val="single" w:sz="4" w:space="0" w:color="auto"/>
              <w:right w:val="single" w:sz="4" w:space="0" w:color="auto"/>
            </w:tcBorders>
            <w:shd w:val="clear" w:color="auto" w:fill="auto"/>
            <w:vAlign w:val="center"/>
            <w:hideMark/>
          </w:tcPr>
          <w:p w14:paraId="67447C9C" w14:textId="77777777" w:rsidR="00347735" w:rsidRPr="0081651B" w:rsidRDefault="00347735" w:rsidP="007011AE">
            <w:pPr>
              <w:jc w:val="right"/>
              <w:rPr>
                <w:rFonts w:eastAsia="Times New Roman"/>
                <w:b/>
                <w:bCs/>
                <w:color w:val="000000"/>
              </w:rPr>
            </w:pPr>
            <w:r w:rsidRPr="0081651B">
              <w:rPr>
                <w:rFonts w:eastAsia="Times New Roman"/>
                <w:b/>
                <w:bCs/>
                <w:color w:val="000000"/>
              </w:rPr>
              <w:t>₹ 25,64,100.00</w:t>
            </w:r>
          </w:p>
        </w:tc>
      </w:tr>
      <w:tr w:rsidR="00347735" w:rsidRPr="0081651B" w14:paraId="6F6AC372" w14:textId="77777777" w:rsidTr="007011AE">
        <w:trPr>
          <w:trHeight w:val="300"/>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014AD4DA" w14:textId="77777777" w:rsidR="00347735" w:rsidRPr="0081651B" w:rsidRDefault="00347735" w:rsidP="007011AE">
            <w:pPr>
              <w:rPr>
                <w:rFonts w:eastAsia="Times New Roman"/>
                <w:color w:val="000000"/>
              </w:rPr>
            </w:pPr>
            <w:proofErr w:type="spellStart"/>
            <w:r w:rsidRPr="0081651B">
              <w:rPr>
                <w:rFonts w:eastAsia="Times New Roman"/>
                <w:color w:val="000000"/>
              </w:rPr>
              <w:t>Integraiton</w:t>
            </w:r>
            <w:proofErr w:type="spellEnd"/>
            <w:r w:rsidRPr="0081651B">
              <w:rPr>
                <w:rFonts w:eastAsia="Times New Roman"/>
                <w:color w:val="000000"/>
              </w:rPr>
              <w:t xml:space="preserve"> APIs Support</w:t>
            </w:r>
          </w:p>
        </w:tc>
        <w:tc>
          <w:tcPr>
            <w:tcW w:w="943" w:type="pct"/>
            <w:tcBorders>
              <w:top w:val="nil"/>
              <w:left w:val="nil"/>
              <w:bottom w:val="single" w:sz="4" w:space="0" w:color="auto"/>
              <w:right w:val="single" w:sz="4" w:space="0" w:color="auto"/>
            </w:tcBorders>
            <w:shd w:val="clear" w:color="auto" w:fill="auto"/>
            <w:vAlign w:val="center"/>
            <w:hideMark/>
          </w:tcPr>
          <w:p w14:paraId="2ED4563C" w14:textId="77777777" w:rsidR="00347735" w:rsidRPr="0081651B" w:rsidRDefault="00347735" w:rsidP="007011AE">
            <w:pPr>
              <w:jc w:val="center"/>
              <w:rPr>
                <w:rFonts w:eastAsia="Times New Roman"/>
                <w:color w:val="000000"/>
              </w:rPr>
            </w:pPr>
            <w:r w:rsidRPr="0081651B">
              <w:rPr>
                <w:rFonts w:eastAsia="Times New Roman"/>
                <w:color w:val="000000"/>
              </w:rPr>
              <w:t>1</w:t>
            </w:r>
          </w:p>
        </w:tc>
        <w:tc>
          <w:tcPr>
            <w:tcW w:w="1269" w:type="pct"/>
            <w:tcBorders>
              <w:top w:val="nil"/>
              <w:left w:val="nil"/>
              <w:bottom w:val="single" w:sz="4" w:space="0" w:color="auto"/>
              <w:right w:val="single" w:sz="4" w:space="0" w:color="auto"/>
            </w:tcBorders>
            <w:shd w:val="clear" w:color="auto" w:fill="auto"/>
            <w:vAlign w:val="center"/>
            <w:hideMark/>
          </w:tcPr>
          <w:p w14:paraId="22FD07A1" w14:textId="77777777" w:rsidR="00347735" w:rsidRPr="0081651B" w:rsidRDefault="00347735" w:rsidP="007011AE">
            <w:pPr>
              <w:rPr>
                <w:rFonts w:eastAsia="Times New Roman"/>
                <w:color w:val="000000"/>
              </w:rPr>
            </w:pPr>
            <w:r w:rsidRPr="0081651B">
              <w:rPr>
                <w:rFonts w:eastAsia="Times New Roman"/>
                <w:color w:val="000000"/>
              </w:rPr>
              <w:t xml:space="preserve"> ₹      2,13,675.00 </w:t>
            </w:r>
          </w:p>
        </w:tc>
        <w:tc>
          <w:tcPr>
            <w:tcW w:w="1123" w:type="pct"/>
            <w:tcBorders>
              <w:top w:val="nil"/>
              <w:left w:val="nil"/>
              <w:bottom w:val="single" w:sz="4" w:space="0" w:color="auto"/>
              <w:right w:val="single" w:sz="4" w:space="0" w:color="auto"/>
            </w:tcBorders>
            <w:shd w:val="clear" w:color="auto" w:fill="auto"/>
            <w:vAlign w:val="center"/>
            <w:hideMark/>
          </w:tcPr>
          <w:p w14:paraId="601A6392" w14:textId="77777777" w:rsidR="00347735" w:rsidRPr="0081651B" w:rsidRDefault="00347735" w:rsidP="007011AE">
            <w:pPr>
              <w:jc w:val="right"/>
              <w:rPr>
                <w:rFonts w:eastAsia="Times New Roman"/>
                <w:b/>
                <w:bCs/>
                <w:color w:val="000000"/>
              </w:rPr>
            </w:pPr>
            <w:r w:rsidRPr="0081651B">
              <w:rPr>
                <w:rFonts w:eastAsia="Times New Roman"/>
                <w:b/>
                <w:bCs/>
                <w:color w:val="000000"/>
              </w:rPr>
              <w:t>₹ 17,09,400.00</w:t>
            </w:r>
          </w:p>
        </w:tc>
      </w:tr>
      <w:tr w:rsidR="00347735" w:rsidRPr="0081651B" w14:paraId="28ECC67B" w14:textId="77777777" w:rsidTr="007011AE">
        <w:trPr>
          <w:trHeight w:val="300"/>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6DD8E80B" w14:textId="77777777" w:rsidR="00347735" w:rsidRPr="0081651B" w:rsidRDefault="00347735" w:rsidP="007011AE">
            <w:pPr>
              <w:rPr>
                <w:rFonts w:eastAsia="Times New Roman"/>
                <w:color w:val="000000"/>
              </w:rPr>
            </w:pPr>
            <w:r w:rsidRPr="0081651B">
              <w:rPr>
                <w:rFonts w:eastAsia="Times New Roman"/>
                <w:color w:val="000000"/>
              </w:rPr>
              <w:t>Support for TOT/TOA</w:t>
            </w:r>
          </w:p>
        </w:tc>
        <w:tc>
          <w:tcPr>
            <w:tcW w:w="943" w:type="pct"/>
            <w:tcBorders>
              <w:top w:val="nil"/>
              <w:left w:val="nil"/>
              <w:bottom w:val="single" w:sz="4" w:space="0" w:color="auto"/>
              <w:right w:val="single" w:sz="4" w:space="0" w:color="auto"/>
            </w:tcBorders>
            <w:shd w:val="clear" w:color="auto" w:fill="auto"/>
            <w:vAlign w:val="center"/>
            <w:hideMark/>
          </w:tcPr>
          <w:p w14:paraId="354AE31C" w14:textId="77777777" w:rsidR="00347735" w:rsidRPr="0081651B" w:rsidRDefault="00347735" w:rsidP="007011AE">
            <w:pPr>
              <w:jc w:val="center"/>
              <w:rPr>
                <w:rFonts w:eastAsia="Times New Roman"/>
                <w:color w:val="000000"/>
              </w:rPr>
            </w:pPr>
            <w:r w:rsidRPr="0081651B">
              <w:rPr>
                <w:rFonts w:eastAsia="Times New Roman"/>
                <w:color w:val="000000"/>
              </w:rPr>
              <w:t>2</w:t>
            </w:r>
          </w:p>
        </w:tc>
        <w:tc>
          <w:tcPr>
            <w:tcW w:w="1269" w:type="pct"/>
            <w:tcBorders>
              <w:top w:val="nil"/>
              <w:left w:val="nil"/>
              <w:bottom w:val="single" w:sz="4" w:space="0" w:color="auto"/>
              <w:right w:val="single" w:sz="4" w:space="0" w:color="auto"/>
            </w:tcBorders>
            <w:shd w:val="clear" w:color="auto" w:fill="auto"/>
            <w:vAlign w:val="center"/>
            <w:hideMark/>
          </w:tcPr>
          <w:p w14:paraId="14F77F6B" w14:textId="77777777" w:rsidR="00347735" w:rsidRPr="0081651B" w:rsidRDefault="00347735" w:rsidP="007011AE">
            <w:pPr>
              <w:rPr>
                <w:rFonts w:eastAsia="Times New Roman"/>
                <w:color w:val="000000"/>
              </w:rPr>
            </w:pPr>
            <w:r w:rsidRPr="0081651B">
              <w:rPr>
                <w:rFonts w:eastAsia="Times New Roman"/>
                <w:color w:val="000000"/>
              </w:rPr>
              <w:t xml:space="preserve"> ₹      1,43,000.00 </w:t>
            </w:r>
          </w:p>
        </w:tc>
        <w:tc>
          <w:tcPr>
            <w:tcW w:w="1123" w:type="pct"/>
            <w:tcBorders>
              <w:top w:val="nil"/>
              <w:left w:val="nil"/>
              <w:bottom w:val="single" w:sz="4" w:space="0" w:color="auto"/>
              <w:right w:val="single" w:sz="4" w:space="0" w:color="auto"/>
            </w:tcBorders>
            <w:shd w:val="clear" w:color="auto" w:fill="auto"/>
            <w:vAlign w:val="center"/>
            <w:hideMark/>
          </w:tcPr>
          <w:p w14:paraId="75DFE1F7" w14:textId="77777777" w:rsidR="00347735" w:rsidRPr="0081651B" w:rsidRDefault="00347735" w:rsidP="007011AE">
            <w:pPr>
              <w:jc w:val="right"/>
              <w:rPr>
                <w:rFonts w:eastAsia="Times New Roman"/>
                <w:b/>
                <w:bCs/>
                <w:color w:val="000000"/>
              </w:rPr>
            </w:pPr>
            <w:r w:rsidRPr="0081651B">
              <w:rPr>
                <w:rFonts w:eastAsia="Times New Roman"/>
                <w:b/>
                <w:bCs/>
                <w:color w:val="000000"/>
              </w:rPr>
              <w:t>₹ 15,73,000.00</w:t>
            </w:r>
          </w:p>
        </w:tc>
      </w:tr>
      <w:tr w:rsidR="00347735" w:rsidRPr="0081651B" w14:paraId="63DC44B6" w14:textId="77777777" w:rsidTr="007011AE">
        <w:trPr>
          <w:trHeight w:val="300"/>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1E871901" w14:textId="77777777" w:rsidR="00347735" w:rsidRPr="0081651B" w:rsidRDefault="00347735" w:rsidP="007011AE">
            <w:pPr>
              <w:rPr>
                <w:rFonts w:eastAsia="Times New Roman"/>
                <w:color w:val="000000"/>
              </w:rPr>
            </w:pPr>
            <w:r w:rsidRPr="0081651B">
              <w:rPr>
                <w:rFonts w:eastAsia="Times New Roman"/>
                <w:color w:val="000000"/>
              </w:rPr>
              <w:t>Ongoing Minor Enhancements Team</w:t>
            </w:r>
          </w:p>
        </w:tc>
        <w:tc>
          <w:tcPr>
            <w:tcW w:w="943" w:type="pct"/>
            <w:tcBorders>
              <w:top w:val="nil"/>
              <w:left w:val="nil"/>
              <w:bottom w:val="single" w:sz="4" w:space="0" w:color="auto"/>
              <w:right w:val="single" w:sz="4" w:space="0" w:color="auto"/>
            </w:tcBorders>
            <w:shd w:val="clear" w:color="auto" w:fill="auto"/>
            <w:vAlign w:val="center"/>
            <w:hideMark/>
          </w:tcPr>
          <w:p w14:paraId="3FD6F74E" w14:textId="77777777" w:rsidR="00347735" w:rsidRPr="0081651B" w:rsidRDefault="00347735" w:rsidP="007011AE">
            <w:pPr>
              <w:jc w:val="center"/>
              <w:rPr>
                <w:rFonts w:eastAsia="Times New Roman"/>
                <w:color w:val="000000"/>
              </w:rPr>
            </w:pPr>
            <w:r w:rsidRPr="0081651B">
              <w:rPr>
                <w:rFonts w:eastAsia="Times New Roman"/>
                <w:color w:val="000000"/>
              </w:rPr>
              <w:t>2</w:t>
            </w:r>
          </w:p>
        </w:tc>
        <w:tc>
          <w:tcPr>
            <w:tcW w:w="1269" w:type="pct"/>
            <w:tcBorders>
              <w:top w:val="nil"/>
              <w:left w:val="nil"/>
              <w:bottom w:val="single" w:sz="4" w:space="0" w:color="auto"/>
              <w:right w:val="single" w:sz="4" w:space="0" w:color="auto"/>
            </w:tcBorders>
            <w:shd w:val="clear" w:color="auto" w:fill="auto"/>
            <w:vAlign w:val="center"/>
            <w:hideMark/>
          </w:tcPr>
          <w:p w14:paraId="34DA512A" w14:textId="77777777" w:rsidR="00347735" w:rsidRPr="0081651B" w:rsidRDefault="00347735" w:rsidP="007011AE">
            <w:pPr>
              <w:rPr>
                <w:rFonts w:eastAsia="Times New Roman"/>
                <w:color w:val="000000"/>
              </w:rPr>
            </w:pPr>
            <w:r w:rsidRPr="0081651B">
              <w:rPr>
                <w:rFonts w:eastAsia="Times New Roman"/>
                <w:color w:val="000000"/>
              </w:rPr>
              <w:t xml:space="preserve"> ₹      1,94,250.00 </w:t>
            </w:r>
          </w:p>
        </w:tc>
        <w:tc>
          <w:tcPr>
            <w:tcW w:w="1123" w:type="pct"/>
            <w:tcBorders>
              <w:top w:val="nil"/>
              <w:left w:val="nil"/>
              <w:bottom w:val="single" w:sz="4" w:space="0" w:color="auto"/>
              <w:right w:val="single" w:sz="4" w:space="0" w:color="auto"/>
            </w:tcBorders>
            <w:shd w:val="clear" w:color="auto" w:fill="auto"/>
            <w:vAlign w:val="center"/>
            <w:hideMark/>
          </w:tcPr>
          <w:p w14:paraId="36688C54" w14:textId="77777777" w:rsidR="00347735" w:rsidRPr="0081651B" w:rsidRDefault="00347735" w:rsidP="007011AE">
            <w:pPr>
              <w:jc w:val="right"/>
              <w:rPr>
                <w:rFonts w:eastAsia="Times New Roman"/>
                <w:b/>
                <w:bCs/>
                <w:color w:val="000000"/>
              </w:rPr>
            </w:pPr>
            <w:r w:rsidRPr="0081651B">
              <w:rPr>
                <w:rFonts w:eastAsia="Times New Roman"/>
                <w:b/>
                <w:bCs/>
                <w:color w:val="000000"/>
              </w:rPr>
              <w:t>₹ 23,31,000.00</w:t>
            </w:r>
          </w:p>
        </w:tc>
      </w:tr>
      <w:tr w:rsidR="00347735" w:rsidRPr="0081651B" w14:paraId="407CD0CB" w14:textId="77777777" w:rsidTr="007011AE">
        <w:trPr>
          <w:trHeight w:val="300"/>
        </w:trPr>
        <w:tc>
          <w:tcPr>
            <w:tcW w:w="1665" w:type="pct"/>
            <w:tcBorders>
              <w:top w:val="nil"/>
              <w:left w:val="single" w:sz="4" w:space="0" w:color="auto"/>
              <w:bottom w:val="single" w:sz="4" w:space="0" w:color="auto"/>
              <w:right w:val="single" w:sz="4" w:space="0" w:color="auto"/>
            </w:tcBorders>
            <w:shd w:val="clear" w:color="auto" w:fill="auto"/>
            <w:vAlign w:val="center"/>
            <w:hideMark/>
          </w:tcPr>
          <w:p w14:paraId="1444DDED" w14:textId="77777777" w:rsidR="00347735" w:rsidRPr="0081651B" w:rsidRDefault="00347735" w:rsidP="007011AE">
            <w:pPr>
              <w:rPr>
                <w:rFonts w:eastAsia="Times New Roman"/>
                <w:color w:val="000000"/>
              </w:rPr>
            </w:pPr>
            <w:r w:rsidRPr="0081651B">
              <w:rPr>
                <w:rFonts w:eastAsia="Times New Roman"/>
                <w:color w:val="000000"/>
              </w:rPr>
              <w:t>Onsite Support Manager</w:t>
            </w:r>
          </w:p>
        </w:tc>
        <w:tc>
          <w:tcPr>
            <w:tcW w:w="943" w:type="pct"/>
            <w:tcBorders>
              <w:top w:val="nil"/>
              <w:left w:val="nil"/>
              <w:bottom w:val="single" w:sz="4" w:space="0" w:color="auto"/>
              <w:right w:val="single" w:sz="4" w:space="0" w:color="auto"/>
            </w:tcBorders>
            <w:shd w:val="clear" w:color="auto" w:fill="auto"/>
            <w:vAlign w:val="center"/>
            <w:hideMark/>
          </w:tcPr>
          <w:p w14:paraId="31027E7A" w14:textId="77777777" w:rsidR="00347735" w:rsidRPr="0081651B" w:rsidRDefault="00347735" w:rsidP="007011AE">
            <w:pPr>
              <w:jc w:val="center"/>
              <w:rPr>
                <w:rFonts w:eastAsia="Times New Roman"/>
                <w:color w:val="000000"/>
              </w:rPr>
            </w:pPr>
            <w:r w:rsidRPr="0081651B">
              <w:rPr>
                <w:rFonts w:eastAsia="Times New Roman"/>
                <w:color w:val="000000"/>
              </w:rPr>
              <w:t>1</w:t>
            </w:r>
          </w:p>
        </w:tc>
        <w:tc>
          <w:tcPr>
            <w:tcW w:w="1269" w:type="pct"/>
            <w:tcBorders>
              <w:top w:val="nil"/>
              <w:left w:val="nil"/>
              <w:bottom w:val="single" w:sz="4" w:space="0" w:color="auto"/>
              <w:right w:val="single" w:sz="4" w:space="0" w:color="auto"/>
            </w:tcBorders>
            <w:shd w:val="clear" w:color="auto" w:fill="auto"/>
            <w:vAlign w:val="center"/>
            <w:hideMark/>
          </w:tcPr>
          <w:p w14:paraId="47BADCB2" w14:textId="77777777" w:rsidR="00347735" w:rsidRPr="0081651B" w:rsidRDefault="00347735" w:rsidP="007011AE">
            <w:pPr>
              <w:rPr>
                <w:rFonts w:eastAsia="Times New Roman"/>
                <w:color w:val="000000"/>
              </w:rPr>
            </w:pPr>
            <w:r w:rsidRPr="0081651B">
              <w:rPr>
                <w:rFonts w:eastAsia="Times New Roman"/>
                <w:color w:val="000000"/>
              </w:rPr>
              <w:t xml:space="preserve"> ₹      2,13,675.00 </w:t>
            </w:r>
          </w:p>
        </w:tc>
        <w:tc>
          <w:tcPr>
            <w:tcW w:w="1123" w:type="pct"/>
            <w:tcBorders>
              <w:top w:val="nil"/>
              <w:left w:val="nil"/>
              <w:bottom w:val="single" w:sz="4" w:space="0" w:color="auto"/>
              <w:right w:val="single" w:sz="4" w:space="0" w:color="auto"/>
            </w:tcBorders>
            <w:shd w:val="clear" w:color="auto" w:fill="auto"/>
            <w:vAlign w:val="center"/>
            <w:hideMark/>
          </w:tcPr>
          <w:p w14:paraId="66B1725A" w14:textId="77777777" w:rsidR="00347735" w:rsidRPr="0081651B" w:rsidRDefault="00347735" w:rsidP="007011AE">
            <w:pPr>
              <w:jc w:val="right"/>
              <w:rPr>
                <w:rFonts w:eastAsia="Times New Roman"/>
                <w:b/>
                <w:bCs/>
                <w:color w:val="000000"/>
              </w:rPr>
            </w:pPr>
            <w:r w:rsidRPr="0081651B">
              <w:rPr>
                <w:rFonts w:eastAsia="Times New Roman"/>
                <w:b/>
                <w:bCs/>
                <w:color w:val="000000"/>
              </w:rPr>
              <w:t>₹ 25,64,100.00</w:t>
            </w:r>
          </w:p>
        </w:tc>
      </w:tr>
      <w:tr w:rsidR="00347735" w:rsidRPr="0081651B" w14:paraId="330B8689" w14:textId="77777777" w:rsidTr="007011AE">
        <w:trPr>
          <w:trHeight w:val="300"/>
        </w:trPr>
        <w:tc>
          <w:tcPr>
            <w:tcW w:w="1665" w:type="pct"/>
            <w:tcBorders>
              <w:top w:val="nil"/>
              <w:left w:val="single" w:sz="4" w:space="0" w:color="auto"/>
              <w:bottom w:val="single" w:sz="4" w:space="0" w:color="auto"/>
              <w:right w:val="single" w:sz="4" w:space="0" w:color="auto"/>
            </w:tcBorders>
            <w:shd w:val="clear" w:color="000000" w:fill="FFC000"/>
            <w:vAlign w:val="center"/>
            <w:hideMark/>
          </w:tcPr>
          <w:p w14:paraId="0F62DD62" w14:textId="77777777" w:rsidR="00347735" w:rsidRPr="0081651B" w:rsidRDefault="00347735" w:rsidP="007011AE">
            <w:pPr>
              <w:rPr>
                <w:rFonts w:eastAsia="Times New Roman"/>
                <w:b/>
                <w:bCs/>
                <w:color w:val="000000"/>
              </w:rPr>
            </w:pPr>
            <w:r w:rsidRPr="0081651B">
              <w:rPr>
                <w:rFonts w:eastAsia="Times New Roman"/>
                <w:b/>
                <w:bCs/>
                <w:color w:val="000000"/>
              </w:rPr>
              <w:t>Managed Services Total</w:t>
            </w:r>
          </w:p>
        </w:tc>
        <w:tc>
          <w:tcPr>
            <w:tcW w:w="943" w:type="pct"/>
            <w:tcBorders>
              <w:top w:val="nil"/>
              <w:left w:val="nil"/>
              <w:bottom w:val="single" w:sz="4" w:space="0" w:color="auto"/>
              <w:right w:val="single" w:sz="4" w:space="0" w:color="auto"/>
            </w:tcBorders>
            <w:shd w:val="clear" w:color="000000" w:fill="FFC000"/>
            <w:vAlign w:val="center"/>
            <w:hideMark/>
          </w:tcPr>
          <w:p w14:paraId="5ED39FB6" w14:textId="77777777" w:rsidR="00347735" w:rsidRPr="0081651B" w:rsidRDefault="00347735" w:rsidP="007011AE">
            <w:pPr>
              <w:jc w:val="center"/>
              <w:rPr>
                <w:rFonts w:eastAsia="Times New Roman"/>
                <w:color w:val="000000"/>
              </w:rPr>
            </w:pPr>
            <w:r w:rsidRPr="0081651B">
              <w:rPr>
                <w:rFonts w:eastAsia="Times New Roman"/>
                <w:color w:val="000000"/>
              </w:rPr>
              <w:t> </w:t>
            </w:r>
          </w:p>
        </w:tc>
        <w:tc>
          <w:tcPr>
            <w:tcW w:w="1269" w:type="pct"/>
            <w:tcBorders>
              <w:top w:val="nil"/>
              <w:left w:val="nil"/>
              <w:bottom w:val="single" w:sz="4" w:space="0" w:color="auto"/>
              <w:right w:val="single" w:sz="4" w:space="0" w:color="auto"/>
            </w:tcBorders>
            <w:shd w:val="clear" w:color="000000" w:fill="FFC000"/>
            <w:vAlign w:val="center"/>
            <w:hideMark/>
          </w:tcPr>
          <w:p w14:paraId="77A30246" w14:textId="77777777" w:rsidR="00347735" w:rsidRPr="0081651B" w:rsidRDefault="00347735" w:rsidP="007011AE">
            <w:pPr>
              <w:rPr>
                <w:rFonts w:eastAsia="Times New Roman"/>
                <w:color w:val="000000"/>
              </w:rPr>
            </w:pPr>
            <w:r w:rsidRPr="0081651B">
              <w:rPr>
                <w:rFonts w:eastAsia="Times New Roman"/>
                <w:color w:val="000000"/>
              </w:rPr>
              <w:t> </w:t>
            </w:r>
          </w:p>
        </w:tc>
        <w:tc>
          <w:tcPr>
            <w:tcW w:w="1123" w:type="pct"/>
            <w:tcBorders>
              <w:top w:val="nil"/>
              <w:left w:val="nil"/>
              <w:bottom w:val="single" w:sz="4" w:space="0" w:color="auto"/>
              <w:right w:val="single" w:sz="4" w:space="0" w:color="auto"/>
            </w:tcBorders>
            <w:shd w:val="clear" w:color="000000" w:fill="FFC000"/>
            <w:vAlign w:val="center"/>
            <w:hideMark/>
          </w:tcPr>
          <w:p w14:paraId="439B2C9E" w14:textId="77777777" w:rsidR="00347735" w:rsidRPr="0081651B" w:rsidRDefault="00347735" w:rsidP="007011AE">
            <w:pPr>
              <w:jc w:val="right"/>
              <w:rPr>
                <w:rFonts w:eastAsia="Times New Roman"/>
                <w:b/>
                <w:bCs/>
                <w:color w:val="000000"/>
              </w:rPr>
            </w:pPr>
            <w:r w:rsidRPr="0081651B">
              <w:rPr>
                <w:rFonts w:eastAsia="Times New Roman"/>
                <w:b/>
                <w:bCs/>
                <w:color w:val="000000"/>
              </w:rPr>
              <w:t>₹ 5,01,51,425.00</w:t>
            </w:r>
          </w:p>
        </w:tc>
      </w:tr>
    </w:tbl>
    <w:p w14:paraId="5C350724" w14:textId="77777777" w:rsidR="00347735" w:rsidRPr="00A3585F" w:rsidRDefault="00347735" w:rsidP="00347735">
      <w:pPr>
        <w:pStyle w:val="ListParagraph"/>
        <w:spacing w:line="360" w:lineRule="auto"/>
        <w:ind w:left="900"/>
        <w:jc w:val="both"/>
        <w:rPr>
          <w:rFonts w:ascii="Cambria" w:hAnsi="Cambria" w:cs="Arial"/>
          <w:b/>
        </w:rPr>
      </w:pPr>
    </w:p>
    <w:p w14:paraId="7FA8D942" w14:textId="77777777" w:rsidR="00531835" w:rsidRPr="0015297F" w:rsidRDefault="00531835" w:rsidP="0015297F">
      <w:pPr>
        <w:spacing w:line="360" w:lineRule="auto"/>
        <w:jc w:val="both"/>
        <w:rPr>
          <w:rFonts w:ascii="Cambria" w:hAnsi="Cambria" w:cs="Arial"/>
          <w:b/>
        </w:rPr>
      </w:pPr>
    </w:p>
    <w:sectPr w:rsidR="00531835" w:rsidRPr="0015297F" w:rsidSect="00990D32">
      <w:head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BC689" w14:textId="77777777" w:rsidR="00F57AA9" w:rsidRDefault="00F57AA9" w:rsidP="00531835">
      <w:r>
        <w:separator/>
      </w:r>
    </w:p>
  </w:endnote>
  <w:endnote w:type="continuationSeparator" w:id="0">
    <w:p w14:paraId="06D49269" w14:textId="77777777" w:rsidR="00F57AA9" w:rsidRDefault="00F57AA9" w:rsidP="00531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28C7E" w14:textId="77777777" w:rsidR="00F57AA9" w:rsidRDefault="00F57AA9" w:rsidP="00531835">
      <w:r>
        <w:separator/>
      </w:r>
    </w:p>
  </w:footnote>
  <w:footnote w:type="continuationSeparator" w:id="0">
    <w:p w14:paraId="6F4BE3D1" w14:textId="77777777" w:rsidR="00F57AA9" w:rsidRDefault="00F57AA9" w:rsidP="00531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46607" w14:textId="09BC0B27" w:rsidR="00DA4462" w:rsidRPr="00A3585F" w:rsidRDefault="00DA4462" w:rsidP="00531835">
    <w:pPr>
      <w:pStyle w:val="Header"/>
      <w:jc w:val="center"/>
      <w:rPr>
        <w:rFonts w:ascii="Cambria" w:hAnsi="Cambria" w:cs="Arial"/>
        <w:b/>
        <w:color w:val="FF0000"/>
        <w:sz w:val="22"/>
        <w:szCs w:val="22"/>
        <w:u w:val="single"/>
      </w:rPr>
    </w:pPr>
    <w:r w:rsidRPr="00A3585F">
      <w:rPr>
        <w:rFonts w:ascii="Cambria" w:hAnsi="Cambria" w:cs="Arial"/>
        <w:b/>
        <w:color w:val="FF0000"/>
        <w:sz w:val="22"/>
        <w:szCs w:val="22"/>
        <w:u w:val="single"/>
      </w:rPr>
      <w:t>(Note – Agenda item requires approval from the MD&amp;CEO. In the absence of the approval, the matter will not form the part of the Agenda for the Board meeting)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1A4"/>
    <w:multiLevelType w:val="hybridMultilevel"/>
    <w:tmpl w:val="BB646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15112"/>
    <w:multiLevelType w:val="hybridMultilevel"/>
    <w:tmpl w:val="ABD0DE78"/>
    <w:lvl w:ilvl="0" w:tplc="0F3A880C">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335E4B9D"/>
    <w:multiLevelType w:val="multilevel"/>
    <w:tmpl w:val="7D5213BC"/>
    <w:styleLink w:val="Style1"/>
    <w:lvl w:ilvl="0">
      <w:start w:val="1"/>
      <w:numFmt w:val="decimal"/>
      <w:pStyle w:val="Heading1"/>
      <w:lvlText w:val="%1."/>
      <w:lvlJc w:val="left"/>
      <w:pPr>
        <w:ind w:left="720" w:hanging="720"/>
      </w:pPr>
      <w:rPr>
        <w:rFonts w:ascii="Verdana" w:hAnsi="Verdana" w:cs="Times New Roman" w:hint="default"/>
        <w:b/>
        <w:bCs w:val="0"/>
        <w:i w:val="0"/>
        <w:iCs w:val="0"/>
        <w:caps w:val="0"/>
        <w:smallCaps w:val="0"/>
        <w:strike w:val="0"/>
        <w:dstrike w:val="0"/>
        <w:snapToGrid w:val="0"/>
        <w:vanish w:val="0"/>
        <w:color w:val="auto"/>
        <w:spacing w:val="0"/>
        <w:w w:val="0"/>
        <w:kern w:val="0"/>
        <w:position w:val="0"/>
        <w:sz w:val="28"/>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Verdana" w:hAnsi="Verdana" w:hint="default"/>
        <w:b/>
        <w:color w:val="auto"/>
        <w:sz w:val="24"/>
      </w:rPr>
    </w:lvl>
    <w:lvl w:ilvl="2">
      <w:start w:val="1"/>
      <w:numFmt w:val="decimal"/>
      <w:pStyle w:val="Heading3"/>
      <w:lvlText w:val="%1.%2.%3"/>
      <w:lvlJc w:val="left"/>
      <w:pPr>
        <w:ind w:left="720" w:hanging="720"/>
      </w:pPr>
      <w:rPr>
        <w:rFonts w:ascii="Verdana" w:hAnsi="Verdana" w:hint="default"/>
        <w:b/>
        <w:color w:val="auto"/>
        <w:sz w:val="20"/>
      </w:rPr>
    </w:lvl>
    <w:lvl w:ilvl="3">
      <w:start w:val="1"/>
      <w:numFmt w:val="decimal"/>
      <w:lvlText w:val="%1.%2.%3.%4"/>
      <w:lvlJc w:val="left"/>
      <w:pPr>
        <w:ind w:left="720" w:hanging="720"/>
      </w:pPr>
      <w:rPr>
        <w:rFonts w:ascii="Verdana" w:hAnsi="Verdana" w:hint="default"/>
        <w:b/>
        <w:color w:val="auto"/>
        <w:sz w:val="20"/>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3A2D04D9"/>
    <w:multiLevelType w:val="hybridMultilevel"/>
    <w:tmpl w:val="8F202E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D2E47FA"/>
    <w:multiLevelType w:val="hybridMultilevel"/>
    <w:tmpl w:val="EAF0BB7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471F3E2D"/>
    <w:multiLevelType w:val="hybridMultilevel"/>
    <w:tmpl w:val="8C2E671E"/>
    <w:lvl w:ilvl="0" w:tplc="43F6B6E2">
      <w:start w:val="1"/>
      <w:numFmt w:val="decimal"/>
      <w:lvlText w:val="%1)"/>
      <w:lvlJc w:val="left"/>
      <w:pPr>
        <w:ind w:left="900" w:hanging="360"/>
      </w:pPr>
      <w:rPr>
        <w:rFonts w:ascii="Arial" w:eastAsiaTheme="minorHAnsi" w:hAnsi="Arial" w:cs="Arial"/>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4F500095"/>
    <w:multiLevelType w:val="hybridMultilevel"/>
    <w:tmpl w:val="16C4E37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8A455B3"/>
    <w:multiLevelType w:val="hybridMultilevel"/>
    <w:tmpl w:val="D3D4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C2D05"/>
    <w:multiLevelType w:val="multilevel"/>
    <w:tmpl w:val="7D5213BC"/>
    <w:numStyleLink w:val="Style1"/>
  </w:abstractNum>
  <w:abstractNum w:abstractNumId="9" w15:restartNumberingAfterBreak="0">
    <w:nsid w:val="67585FDB"/>
    <w:multiLevelType w:val="hybridMultilevel"/>
    <w:tmpl w:val="49DCF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B02E84"/>
    <w:multiLevelType w:val="multilevel"/>
    <w:tmpl w:val="93B4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571076"/>
    <w:multiLevelType w:val="hybridMultilevel"/>
    <w:tmpl w:val="373C7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8"/>
    <w:lvlOverride w:ilvl="0">
      <w:lvl w:ilvl="0">
        <w:start w:val="1"/>
        <w:numFmt w:val="decimal"/>
        <w:pStyle w:val="Heading1"/>
        <w:lvlText w:val="%1."/>
        <w:lvlJc w:val="left"/>
        <w:pPr>
          <w:ind w:left="720" w:hanging="720"/>
        </w:pPr>
        <w:rPr>
          <w:rFonts w:ascii="Verdana" w:hAnsi="Verdana" w:cs="Times New Roman" w:hint="default"/>
          <w:b/>
          <w:bCs w:val="0"/>
          <w:i w:val="0"/>
          <w:iCs w:val="0"/>
          <w:caps w:val="0"/>
          <w:smallCaps w:val="0"/>
          <w:strike w:val="0"/>
          <w:dstrike w:val="0"/>
          <w:snapToGrid w:val="0"/>
          <w:vanish w:val="0"/>
          <w:color w:val="auto"/>
          <w:spacing w:val="0"/>
          <w:w w:val="0"/>
          <w:kern w:val="0"/>
          <w:position w:val="0"/>
          <w:sz w:val="28"/>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Override>
    <w:lvlOverride w:ilvl="1">
      <w:lvl w:ilvl="1">
        <w:start w:val="1"/>
        <w:numFmt w:val="decimal"/>
        <w:pStyle w:val="Heading2"/>
        <w:lvlText w:val="%1.%2"/>
        <w:lvlJc w:val="left"/>
        <w:pPr>
          <w:ind w:left="720" w:hanging="720"/>
        </w:pPr>
        <w:rPr>
          <w:rFonts w:ascii="Verdana" w:hAnsi="Verdana" w:hint="default"/>
          <w:b/>
          <w:color w:val="auto"/>
          <w:sz w:val="24"/>
        </w:rPr>
      </w:lvl>
    </w:lvlOverride>
    <w:lvlOverride w:ilvl="2">
      <w:lvl w:ilvl="2">
        <w:start w:val="1"/>
        <w:numFmt w:val="decimal"/>
        <w:pStyle w:val="Heading3"/>
        <w:lvlText w:val="%1.%2.%3"/>
        <w:lvlJc w:val="left"/>
        <w:pPr>
          <w:ind w:left="720" w:hanging="720"/>
        </w:pPr>
        <w:rPr>
          <w:rFonts w:ascii="Verdana" w:hAnsi="Verdana" w:hint="default"/>
          <w:b/>
          <w:color w:val="auto"/>
          <w:sz w:val="20"/>
        </w:rPr>
      </w:lvl>
    </w:lvlOverride>
    <w:lvlOverride w:ilvl="3">
      <w:lvl w:ilvl="3">
        <w:start w:val="1"/>
        <w:numFmt w:val="decimal"/>
        <w:lvlText w:val="%1.%2.%3.%4"/>
        <w:lvlJc w:val="left"/>
        <w:pPr>
          <w:ind w:left="720" w:hanging="720"/>
        </w:pPr>
        <w:rPr>
          <w:rFonts w:ascii="Verdana" w:hAnsi="Verdana" w:hint="default"/>
          <w:b/>
          <w:color w:val="auto"/>
          <w:sz w:val="20"/>
        </w:rPr>
      </w:lvl>
    </w:lvlOverride>
    <w:lvlOverride w:ilvl="4">
      <w:lvl w:ilvl="4">
        <w:start w:val="1"/>
        <w:numFmt w:val="decimal"/>
        <w:lvlText w:val="%1.%2.%3.%4.%5"/>
        <w:lvlJc w:val="left"/>
        <w:pPr>
          <w:ind w:left="720" w:hanging="720"/>
        </w:pPr>
        <w:rPr>
          <w:rFonts w:hint="default"/>
        </w:rPr>
      </w:lvl>
    </w:lvlOverride>
    <w:lvlOverride w:ilvl="5">
      <w:lvl w:ilvl="5">
        <w:start w:val="1"/>
        <w:numFmt w:val="decimal"/>
        <w:lvlText w:val="%1.%2.%3.%4.%5.%6"/>
        <w:lvlJc w:val="left"/>
        <w:pPr>
          <w:ind w:left="720" w:hanging="720"/>
        </w:pPr>
        <w:rPr>
          <w:rFonts w:hint="default"/>
        </w:rPr>
      </w:lvl>
    </w:lvlOverride>
    <w:lvlOverride w:ilvl="6">
      <w:lvl w:ilvl="6">
        <w:start w:val="1"/>
        <w:numFmt w:val="decimal"/>
        <w:lvlText w:val="%1.%2.%3.%4.%5.%6.%7"/>
        <w:lvlJc w:val="left"/>
        <w:pPr>
          <w:ind w:left="720" w:hanging="720"/>
        </w:pPr>
        <w:rPr>
          <w:rFonts w:hint="default"/>
        </w:rPr>
      </w:lvl>
    </w:lvlOverride>
    <w:lvlOverride w:ilvl="7">
      <w:lvl w:ilvl="7">
        <w:start w:val="1"/>
        <w:numFmt w:val="decimal"/>
        <w:lvlText w:val="%1.%2.%3.%4.%5.%6.%7.%8"/>
        <w:lvlJc w:val="left"/>
        <w:pPr>
          <w:ind w:left="720" w:hanging="720"/>
        </w:pPr>
        <w:rPr>
          <w:rFonts w:hint="default"/>
        </w:rPr>
      </w:lvl>
    </w:lvlOverride>
    <w:lvlOverride w:ilvl="8">
      <w:lvl w:ilvl="8">
        <w:start w:val="1"/>
        <w:numFmt w:val="decimal"/>
        <w:lvlText w:val="%1.%2.%3.%4.%5.%6.%7.%8.%9"/>
        <w:lvlJc w:val="left"/>
        <w:pPr>
          <w:ind w:left="720" w:hanging="720"/>
        </w:pPr>
        <w:rPr>
          <w:rFonts w:hint="default"/>
        </w:rPr>
      </w:lvl>
    </w:lvlOverride>
  </w:num>
  <w:num w:numId="6">
    <w:abstractNumId w:val="11"/>
  </w:num>
  <w:num w:numId="7">
    <w:abstractNumId w:val="9"/>
  </w:num>
  <w:num w:numId="8">
    <w:abstractNumId w:val="10"/>
  </w:num>
  <w:num w:numId="9">
    <w:abstractNumId w:val="3"/>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1MDM0s7A0NLEAUko6SsGpxcWZ+XkgBaa1ADcSMqQsAAAA"/>
  </w:docVars>
  <w:rsids>
    <w:rsidRoot w:val="00E2656A"/>
    <w:rsid w:val="0002496A"/>
    <w:rsid w:val="000C3F7B"/>
    <w:rsid w:val="000E3622"/>
    <w:rsid w:val="00144495"/>
    <w:rsid w:val="00145B6A"/>
    <w:rsid w:val="0015297F"/>
    <w:rsid w:val="001A2D1C"/>
    <w:rsid w:val="001B0FFE"/>
    <w:rsid w:val="001D27E4"/>
    <w:rsid w:val="00242F46"/>
    <w:rsid w:val="00282046"/>
    <w:rsid w:val="002E4CB5"/>
    <w:rsid w:val="002E4E12"/>
    <w:rsid w:val="00303FB2"/>
    <w:rsid w:val="00347735"/>
    <w:rsid w:val="003505C1"/>
    <w:rsid w:val="00352B64"/>
    <w:rsid w:val="00380757"/>
    <w:rsid w:val="003D65C7"/>
    <w:rsid w:val="003E272B"/>
    <w:rsid w:val="004109A0"/>
    <w:rsid w:val="00492743"/>
    <w:rsid w:val="004A0EAB"/>
    <w:rsid w:val="004C0BC2"/>
    <w:rsid w:val="004D6543"/>
    <w:rsid w:val="00511BE6"/>
    <w:rsid w:val="00515C71"/>
    <w:rsid w:val="00531835"/>
    <w:rsid w:val="005A316E"/>
    <w:rsid w:val="005A365A"/>
    <w:rsid w:val="005A3B3E"/>
    <w:rsid w:val="00623F68"/>
    <w:rsid w:val="006302F1"/>
    <w:rsid w:val="00644EC7"/>
    <w:rsid w:val="00644EFC"/>
    <w:rsid w:val="00653450"/>
    <w:rsid w:val="006D07DF"/>
    <w:rsid w:val="006F6749"/>
    <w:rsid w:val="00702411"/>
    <w:rsid w:val="007F2BED"/>
    <w:rsid w:val="008015A3"/>
    <w:rsid w:val="008148ED"/>
    <w:rsid w:val="0081651B"/>
    <w:rsid w:val="00832E3D"/>
    <w:rsid w:val="008753A8"/>
    <w:rsid w:val="0087697E"/>
    <w:rsid w:val="00913EDD"/>
    <w:rsid w:val="00920DAE"/>
    <w:rsid w:val="00952C7F"/>
    <w:rsid w:val="00954BB5"/>
    <w:rsid w:val="0096254D"/>
    <w:rsid w:val="00990D32"/>
    <w:rsid w:val="009A189E"/>
    <w:rsid w:val="009F1B54"/>
    <w:rsid w:val="00A14C3C"/>
    <w:rsid w:val="00A3585F"/>
    <w:rsid w:val="00A42A85"/>
    <w:rsid w:val="00A4716A"/>
    <w:rsid w:val="00A57AE6"/>
    <w:rsid w:val="00AA6F4F"/>
    <w:rsid w:val="00AA73F0"/>
    <w:rsid w:val="00AC3F29"/>
    <w:rsid w:val="00AF5A65"/>
    <w:rsid w:val="00B27ACF"/>
    <w:rsid w:val="00B3013D"/>
    <w:rsid w:val="00B3183A"/>
    <w:rsid w:val="00B73051"/>
    <w:rsid w:val="00B82E5B"/>
    <w:rsid w:val="00BB5A42"/>
    <w:rsid w:val="00BD4862"/>
    <w:rsid w:val="00C13CFD"/>
    <w:rsid w:val="00C458F4"/>
    <w:rsid w:val="00C640FE"/>
    <w:rsid w:val="00C71957"/>
    <w:rsid w:val="00CC1D42"/>
    <w:rsid w:val="00D144B1"/>
    <w:rsid w:val="00D24856"/>
    <w:rsid w:val="00D812BB"/>
    <w:rsid w:val="00DA4462"/>
    <w:rsid w:val="00DB6FEE"/>
    <w:rsid w:val="00DD28FF"/>
    <w:rsid w:val="00E2656A"/>
    <w:rsid w:val="00E2712C"/>
    <w:rsid w:val="00E45BAD"/>
    <w:rsid w:val="00E62C8C"/>
    <w:rsid w:val="00E9705E"/>
    <w:rsid w:val="00EC79CA"/>
    <w:rsid w:val="00ED1B93"/>
    <w:rsid w:val="00EE6EEF"/>
    <w:rsid w:val="00F021B5"/>
    <w:rsid w:val="00F35FF9"/>
    <w:rsid w:val="00F57AA9"/>
    <w:rsid w:val="00FA0D35"/>
    <w:rsid w:val="00FA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574C"/>
  <w15:docId w15:val="{9CE804E5-6E66-4A66-B2F3-C1E74FCC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56A"/>
    <w:pPr>
      <w:spacing w:after="0" w:line="240" w:lineRule="auto"/>
    </w:pPr>
    <w:rPr>
      <w:rFonts w:ascii="Calibri" w:hAnsi="Calibri" w:cs="Calibri"/>
      <w:lang w:val="en-IN" w:eastAsia="en-IN"/>
    </w:rPr>
  </w:style>
  <w:style w:type="paragraph" w:styleId="Heading1">
    <w:name w:val="heading 1"/>
    <w:basedOn w:val="Normal"/>
    <w:next w:val="Normal"/>
    <w:link w:val="Heading1Char"/>
    <w:uiPriority w:val="9"/>
    <w:qFormat/>
    <w:rsid w:val="00954BB5"/>
    <w:pPr>
      <w:keepNext/>
      <w:keepLines/>
      <w:numPr>
        <w:numId w:val="5"/>
      </w:numPr>
      <w:spacing w:before="240" w:beforeAutospacing="1" w:afterAutospacing="1" w:line="259" w:lineRule="auto"/>
      <w:outlineLvl w:val="0"/>
    </w:pPr>
    <w:rPr>
      <w:rFonts w:asciiTheme="minorHAnsi" w:eastAsiaTheme="majorEastAsia" w:hAnsiTheme="minorHAnsi" w:cs="Times New Roman"/>
      <w:b/>
      <w:sz w:val="36"/>
      <w:szCs w:val="32"/>
      <w:lang w:eastAsia="en-US"/>
    </w:rPr>
  </w:style>
  <w:style w:type="paragraph" w:styleId="Heading2">
    <w:name w:val="heading 2"/>
    <w:basedOn w:val="Heading1"/>
    <w:link w:val="Heading2Char"/>
    <w:uiPriority w:val="9"/>
    <w:unhideWhenUsed/>
    <w:qFormat/>
    <w:rsid w:val="00954BB5"/>
    <w:pPr>
      <w:numPr>
        <w:ilvl w:val="1"/>
      </w:numPr>
      <w:outlineLvl w:val="1"/>
    </w:pPr>
    <w:rPr>
      <w:sz w:val="24"/>
    </w:rPr>
  </w:style>
  <w:style w:type="paragraph" w:styleId="Heading3">
    <w:name w:val="heading 3"/>
    <w:basedOn w:val="Heading2"/>
    <w:next w:val="Normal"/>
    <w:link w:val="Heading3Char"/>
    <w:uiPriority w:val="9"/>
    <w:unhideWhenUsed/>
    <w:qFormat/>
    <w:rsid w:val="00954BB5"/>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2656A"/>
    <w:rPr>
      <w:i/>
      <w:iCs/>
    </w:rPr>
  </w:style>
  <w:style w:type="paragraph" w:styleId="Header">
    <w:name w:val="header"/>
    <w:basedOn w:val="Normal"/>
    <w:link w:val="HeaderChar"/>
    <w:uiPriority w:val="99"/>
    <w:rsid w:val="00E2656A"/>
    <w:pPr>
      <w:tabs>
        <w:tab w:val="center" w:pos="4320"/>
        <w:tab w:val="right" w:pos="8640"/>
      </w:tabs>
      <w:suppressAutoHyphens/>
    </w:pPr>
    <w:rPr>
      <w:rFonts w:ascii="Times New Roman" w:eastAsia="Times New Roman" w:hAnsi="Times New Roman" w:cs="Mangal"/>
      <w:sz w:val="24"/>
      <w:szCs w:val="24"/>
      <w:lang w:val="en-US" w:eastAsia="hi-IN" w:bidi="hi-IN"/>
    </w:rPr>
  </w:style>
  <w:style w:type="character" w:customStyle="1" w:styleId="HeaderChar">
    <w:name w:val="Header Char"/>
    <w:basedOn w:val="DefaultParagraphFont"/>
    <w:link w:val="Header"/>
    <w:uiPriority w:val="99"/>
    <w:rsid w:val="00E2656A"/>
    <w:rPr>
      <w:rFonts w:ascii="Times New Roman" w:eastAsia="Times New Roman" w:hAnsi="Times New Roman" w:cs="Mangal"/>
      <w:sz w:val="24"/>
      <w:szCs w:val="24"/>
      <w:lang w:eastAsia="hi-IN" w:bidi="hi-IN"/>
    </w:rPr>
  </w:style>
  <w:style w:type="paragraph" w:styleId="ListParagraph">
    <w:name w:val="List Paragraph"/>
    <w:aliases w:val="Equipment,Figure_name,Bullet List,Use Case List Paragraph"/>
    <w:basedOn w:val="Normal"/>
    <w:link w:val="ListParagraphChar"/>
    <w:qFormat/>
    <w:rsid w:val="00952C7F"/>
    <w:pPr>
      <w:ind w:left="720"/>
      <w:contextualSpacing/>
    </w:pPr>
  </w:style>
  <w:style w:type="paragraph" w:styleId="Footer">
    <w:name w:val="footer"/>
    <w:basedOn w:val="Normal"/>
    <w:link w:val="FooterChar"/>
    <w:uiPriority w:val="99"/>
    <w:unhideWhenUsed/>
    <w:rsid w:val="00531835"/>
    <w:pPr>
      <w:tabs>
        <w:tab w:val="center" w:pos="4513"/>
        <w:tab w:val="right" w:pos="9026"/>
      </w:tabs>
    </w:pPr>
  </w:style>
  <w:style w:type="character" w:customStyle="1" w:styleId="FooterChar">
    <w:name w:val="Footer Char"/>
    <w:basedOn w:val="DefaultParagraphFont"/>
    <w:link w:val="Footer"/>
    <w:uiPriority w:val="99"/>
    <w:rsid w:val="00531835"/>
    <w:rPr>
      <w:rFonts w:ascii="Calibri" w:hAnsi="Calibri" w:cs="Calibri"/>
      <w:lang w:val="en-IN" w:eastAsia="en-IN"/>
    </w:rPr>
  </w:style>
  <w:style w:type="character" w:customStyle="1" w:styleId="Heading1Char">
    <w:name w:val="Heading 1 Char"/>
    <w:basedOn w:val="DefaultParagraphFont"/>
    <w:link w:val="Heading1"/>
    <w:uiPriority w:val="9"/>
    <w:rsid w:val="00954BB5"/>
    <w:rPr>
      <w:rFonts w:eastAsiaTheme="majorEastAsia" w:cs="Times New Roman"/>
      <w:b/>
      <w:sz w:val="36"/>
      <w:szCs w:val="32"/>
      <w:lang w:val="en-IN"/>
    </w:rPr>
  </w:style>
  <w:style w:type="character" w:customStyle="1" w:styleId="Heading2Char">
    <w:name w:val="Heading 2 Char"/>
    <w:basedOn w:val="DefaultParagraphFont"/>
    <w:link w:val="Heading2"/>
    <w:uiPriority w:val="9"/>
    <w:rsid w:val="00954BB5"/>
    <w:rPr>
      <w:rFonts w:eastAsiaTheme="majorEastAsia" w:cs="Times New Roman"/>
      <w:b/>
      <w:sz w:val="24"/>
      <w:szCs w:val="32"/>
      <w:lang w:val="en-IN"/>
    </w:rPr>
  </w:style>
  <w:style w:type="character" w:customStyle="1" w:styleId="Heading3Char">
    <w:name w:val="Heading 3 Char"/>
    <w:basedOn w:val="DefaultParagraphFont"/>
    <w:link w:val="Heading3"/>
    <w:uiPriority w:val="9"/>
    <w:rsid w:val="00954BB5"/>
    <w:rPr>
      <w:rFonts w:eastAsiaTheme="majorEastAsia" w:cs="Times New Roman"/>
      <w:b/>
      <w:sz w:val="24"/>
      <w:szCs w:val="32"/>
      <w:lang w:val="en-IN"/>
    </w:rPr>
  </w:style>
  <w:style w:type="numbering" w:customStyle="1" w:styleId="Style1">
    <w:name w:val="Style1"/>
    <w:uiPriority w:val="99"/>
    <w:rsid w:val="00954BB5"/>
    <w:pPr>
      <w:numPr>
        <w:numId w:val="4"/>
      </w:numPr>
    </w:pPr>
  </w:style>
  <w:style w:type="character" w:customStyle="1" w:styleId="ListParagraphChar">
    <w:name w:val="List Paragraph Char"/>
    <w:aliases w:val="Equipment Char,Figure_name Char,Bullet List Char,Use Case List Paragraph Char"/>
    <w:basedOn w:val="DefaultParagraphFont"/>
    <w:link w:val="ListParagraph"/>
    <w:rsid w:val="00954BB5"/>
    <w:rPr>
      <w:rFonts w:ascii="Calibri" w:hAnsi="Calibri" w:cs="Calibri"/>
      <w:lang w:val="en-IN" w:eastAsia="en-IN"/>
    </w:rPr>
  </w:style>
  <w:style w:type="paragraph" w:styleId="NoSpacing">
    <w:name w:val="No Spacing"/>
    <w:uiPriority w:val="1"/>
    <w:qFormat/>
    <w:rsid w:val="00ED1B93"/>
    <w:pPr>
      <w:spacing w:after="0" w:line="240" w:lineRule="auto"/>
    </w:pPr>
    <w:rPr>
      <w:rFonts w:ascii="Calibri" w:hAnsi="Calibri" w:cs="Calibri"/>
      <w:lang w:val="en-IN" w:eastAsia="en-IN"/>
    </w:rPr>
  </w:style>
  <w:style w:type="character" w:customStyle="1" w:styleId="highlight">
    <w:name w:val="highlight"/>
    <w:basedOn w:val="DefaultParagraphFont"/>
    <w:rsid w:val="00AC3F29"/>
  </w:style>
  <w:style w:type="paragraph" w:styleId="BalloonText">
    <w:name w:val="Balloon Text"/>
    <w:basedOn w:val="Normal"/>
    <w:link w:val="BalloonTextChar"/>
    <w:uiPriority w:val="99"/>
    <w:semiHidden/>
    <w:unhideWhenUsed/>
    <w:rsid w:val="00F35F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FF9"/>
    <w:rPr>
      <w:rFonts w:ascii="Segoe UI"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7652">
      <w:bodyDiv w:val="1"/>
      <w:marLeft w:val="0"/>
      <w:marRight w:val="0"/>
      <w:marTop w:val="0"/>
      <w:marBottom w:val="0"/>
      <w:divBdr>
        <w:top w:val="none" w:sz="0" w:space="0" w:color="auto"/>
        <w:left w:val="none" w:sz="0" w:space="0" w:color="auto"/>
        <w:bottom w:val="none" w:sz="0" w:space="0" w:color="auto"/>
        <w:right w:val="none" w:sz="0" w:space="0" w:color="auto"/>
      </w:divBdr>
    </w:div>
    <w:div w:id="179005770">
      <w:bodyDiv w:val="1"/>
      <w:marLeft w:val="0"/>
      <w:marRight w:val="0"/>
      <w:marTop w:val="0"/>
      <w:marBottom w:val="0"/>
      <w:divBdr>
        <w:top w:val="none" w:sz="0" w:space="0" w:color="auto"/>
        <w:left w:val="none" w:sz="0" w:space="0" w:color="auto"/>
        <w:bottom w:val="none" w:sz="0" w:space="0" w:color="auto"/>
        <w:right w:val="none" w:sz="0" w:space="0" w:color="auto"/>
      </w:divBdr>
      <w:divsChild>
        <w:div w:id="1443455957">
          <w:marLeft w:val="0"/>
          <w:marRight w:val="0"/>
          <w:marTop w:val="280"/>
          <w:marBottom w:val="280"/>
          <w:divBdr>
            <w:top w:val="none" w:sz="0" w:space="0" w:color="auto"/>
            <w:left w:val="none" w:sz="0" w:space="0" w:color="auto"/>
            <w:bottom w:val="none" w:sz="0" w:space="0" w:color="auto"/>
            <w:right w:val="none" w:sz="0" w:space="0" w:color="auto"/>
          </w:divBdr>
        </w:div>
        <w:div w:id="34083214">
          <w:marLeft w:val="0"/>
          <w:marRight w:val="0"/>
          <w:marTop w:val="0"/>
          <w:marBottom w:val="0"/>
          <w:divBdr>
            <w:top w:val="none" w:sz="0" w:space="0" w:color="auto"/>
            <w:left w:val="none" w:sz="0" w:space="0" w:color="auto"/>
            <w:bottom w:val="none" w:sz="0" w:space="0" w:color="auto"/>
            <w:right w:val="none" w:sz="0" w:space="0" w:color="auto"/>
          </w:divBdr>
        </w:div>
      </w:divsChild>
    </w:div>
    <w:div w:id="219559635">
      <w:bodyDiv w:val="1"/>
      <w:marLeft w:val="0"/>
      <w:marRight w:val="0"/>
      <w:marTop w:val="0"/>
      <w:marBottom w:val="0"/>
      <w:divBdr>
        <w:top w:val="none" w:sz="0" w:space="0" w:color="auto"/>
        <w:left w:val="none" w:sz="0" w:space="0" w:color="auto"/>
        <w:bottom w:val="none" w:sz="0" w:space="0" w:color="auto"/>
        <w:right w:val="none" w:sz="0" w:space="0" w:color="auto"/>
      </w:divBdr>
    </w:div>
    <w:div w:id="356276286">
      <w:bodyDiv w:val="1"/>
      <w:marLeft w:val="0"/>
      <w:marRight w:val="0"/>
      <w:marTop w:val="0"/>
      <w:marBottom w:val="0"/>
      <w:divBdr>
        <w:top w:val="none" w:sz="0" w:space="0" w:color="auto"/>
        <w:left w:val="none" w:sz="0" w:space="0" w:color="auto"/>
        <w:bottom w:val="none" w:sz="0" w:space="0" w:color="auto"/>
        <w:right w:val="none" w:sz="0" w:space="0" w:color="auto"/>
      </w:divBdr>
    </w:div>
    <w:div w:id="1042631685">
      <w:bodyDiv w:val="1"/>
      <w:marLeft w:val="0"/>
      <w:marRight w:val="0"/>
      <w:marTop w:val="0"/>
      <w:marBottom w:val="0"/>
      <w:divBdr>
        <w:top w:val="none" w:sz="0" w:space="0" w:color="auto"/>
        <w:left w:val="none" w:sz="0" w:space="0" w:color="auto"/>
        <w:bottom w:val="none" w:sz="0" w:space="0" w:color="auto"/>
        <w:right w:val="none" w:sz="0" w:space="0" w:color="auto"/>
      </w:divBdr>
    </w:div>
    <w:div w:id="207200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69509-0E0B-4E46-9B3B-4056AD482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Hazari</dc:creator>
  <cp:lastModifiedBy>Shobhit Bhatnagar</cp:lastModifiedBy>
  <cp:revision>14</cp:revision>
  <cp:lastPrinted>2018-05-21T08:43:00Z</cp:lastPrinted>
  <dcterms:created xsi:type="dcterms:W3CDTF">2018-05-11T13:39:00Z</dcterms:created>
  <dcterms:modified xsi:type="dcterms:W3CDTF">2018-05-21T09:08:00Z</dcterms:modified>
</cp:coreProperties>
</file>