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Financial Forecasting by a Multi-Agent AI System</w:t>
      </w:r>
    </w:p>
    <w:p>
      <w:pPr>
        <w:jc w:val="center"/>
      </w:pPr>
      <w:r>
        <w:rPr>
          <w:i/>
          <w:color w:val="2E5C8A"/>
          <w:sz w:val="26"/>
        </w:rPr>
        <w:t>Does adversarial multi-agent debate improve LLM stock forecasting? A leakage-free evaluation on Indian equities</w:t>
      </w:r>
    </w:p>
    <w:p>
      <w:pPr>
        <w:jc w:val="center"/>
      </w:pPr>
      <w:r>
        <w:rPr>
          <w:color w:val="6B7280"/>
          <w:sz w:val="19"/>
        </w:rPr>
        <w:t>B.Tech Capstone Project (BTP) · Engineering Report · 18 October 2026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1. What this project is</w:t>
      </w:r>
    </w:p>
    <w:p>
      <w:r>
        <w:t>This project builds an autonomous multi-agent AI system that forecasts the direction and price range of Indian equities, and — more importantly — it builds the measuring instrument needed to find out whether the multi-agent machinery actually helps.</w:t>
      </w:r>
    </w:p>
    <w:p>
      <w:r>
        <w:t xml:space="preserve">Four specialist AI agents (technical, fundamental, sentiment, macro) analyse a stock in parallel. Their conclusions are re-checked against source data, then fed into a structured </w:t>
      </w:r>
      <w:r>
        <w:rPr>
          <w:b/>
        </w:rPr>
        <w:t>Bull vs Bear debate</w:t>
      </w:r>
      <w:r>
        <w:t>. A Chief Risk Officer agent reads the reports and the debate and issues the final call: a signal, a price range in rupees, a confidence figure and citations.</w:t>
      </w:r>
    </w:p>
    <w:p>
      <w:pPr>
        <w:spacing w:before="200" w:after="80"/>
      </w:pPr>
      <w:r>
        <w:rPr>
          <w:b/>
          <w:color w:val="2E5C8A"/>
          <w:sz w:val="25"/>
        </w:rPr>
        <w:t>The research question</w:t>
      </w:r>
    </w:p>
    <w:p>
      <w:pPr>
        <w:spacing w:before="120" w:after="160"/>
        <w:ind w:left="216"/>
        <w:shd w:val="clear" w:fill="E8F0FA"/>
      </w:pPr>
      <w:r>
        <w:rPr>
          <w:b/>
        </w:rPr>
        <w:t>Under an evaluation protocol that provably excludes lookahead bias, does adversarial multi-agent debate produce measurably better forecasts than (a) a single-LLM baseline and (b) the same specialists without a debate stage — and is any gain worth its token cost?</w:t>
      </w:r>
    </w:p>
    <w:p>
      <w:pPr>
        <w:spacing w:before="200" w:after="80"/>
      </w:pPr>
      <w:r>
        <w:rPr>
          <w:b/>
          <w:color w:val="2E5C8A"/>
          <w:sz w:val="25"/>
        </w:rPr>
        <w:t>Why the question matters more than the system</w:t>
      </w:r>
    </w:p>
    <w:p>
      <w:r>
        <w:t xml:space="preserve">The architecture itself is not novel and the report says so plainly. Specialist agents plus a Bull/Bear debate plus risk synthesis is already published as </w:t>
      </w:r>
      <w:r>
        <w:rPr>
          <w:b/>
        </w:rPr>
        <w:t>TradingAgents (arXiv:2412.20138)</w:t>
      </w:r>
      <w:r>
        <w:t>, with open-source code. Claiming the debate layer as a contribution would not survive a literature review — a supervisor who searches the phrase finds that paper immediately.</w:t>
      </w:r>
    </w:p>
    <w:p>
      <w:r>
        <w:t>So the contribution is deliberately relocated from architecture to measurement:</w:t>
      </w:r>
    </w:p>
    <w:p>
      <w:pPr>
        <w:pStyle w:val="ListBullet"/>
        <w:spacing w:after="60"/>
      </w:pPr>
      <w:r>
        <w:rPr>
          <w:b/>
        </w:rPr>
        <w:t>Most multi-agent finance results leak the answer.</w:t>
      </w:r>
      <w:r>
        <w:t xml:space="preserve"> A language model has already read what happened to a stock in 2023. Backtesting inside the training window measures memory, not forecasting.</w:t>
      </w:r>
    </w:p>
    <w:p>
      <w:pPr>
        <w:pStyle w:val="ListBullet"/>
        <w:spacing w:after="60"/>
      </w:pPr>
      <w:r>
        <w:rPr>
          <w:b/>
        </w:rPr>
        <w:t>Almost nobody measures whether the debate earns its cost.</w:t>
      </w:r>
      <w:r>
        <w:t xml:space="preserve"> It roughly doubles the number of model calls. Does accuracy improve, or does it just produce more confident-sounding text?</w:t>
      </w:r>
    </w:p>
    <w:p>
      <w:pPr>
        <w:pStyle w:val="ListBullet"/>
        <w:spacing w:after="60"/>
      </w:pPr>
      <w:r>
        <w:rPr>
          <w:b/>
        </w:rPr>
        <w:t>Indian equities are under-studied</w:t>
      </w:r>
      <w:r>
        <w:t xml:space="preserve"> in this literature, which is overwhelmingly US large-cap.</w:t>
      </w:r>
    </w:p>
    <w:p>
      <w:r>
        <w:t xml:space="preserve">This question is worth answering </w:t>
      </w:r>
      <w:r>
        <w:rPr>
          <w:b/>
        </w:rPr>
        <w:t>either way</w:t>
      </w:r>
      <w:r>
        <w:t>. A well-measured negative result — 'the debate costs 2.4x the tokens for no accuracy gain' — is a genuine, defensible finding. A project that merely demonstrates a working pipeline is not.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2. Scope: Indian equities only, and why that is a choice</w:t>
      </w:r>
    </w:p>
    <w:p>
      <w:r>
        <w:t xml:space="preserve">The system covers </w:t>
      </w:r>
      <w:r>
        <w:rPr>
          <w:b/>
        </w:rPr>
        <w:t>NSE (.NS) primary and BSE (.BO) secondary</w:t>
      </w:r>
      <w:r>
        <w:t xml:space="preserve"> listings only. All prices in </w:t>
      </w:r>
      <w:r>
        <w:rPr>
          <w:b/>
        </w:rPr>
        <w:t>INR</w:t>
      </w:r>
      <w:r>
        <w:t xml:space="preserve">, all timestamps in </w:t>
      </w:r>
      <w:r>
        <w:rPr>
          <w:b/>
        </w:rPr>
        <w:t>Asia/Kolkata</w:t>
      </w:r>
      <w:r>
        <w:t xml:space="preserve">, benchmark </w:t>
      </w:r>
      <w:r>
        <w:rPr>
          <w:b/>
        </w:rPr>
        <w:t>NIFTY 50</w:t>
      </w:r>
      <w:r>
        <w:t>. A non-Indian ticker is rejected by code at the system boundary, not by convention.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Reason</w:t>
            </w:r>
          </w:p>
        </w:tc>
        <w:tc>
          <w:tcPr>
            <w:tcW w:type="dxa" w:w="705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buys the project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It is the novelty.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published literature is US-large-cap. Indian equities are under-studied, so the scope *is* part of the contribution.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It makes the evaluation honest.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One market means one trading calendar, one currency, one regulator, one filing deadline. The point-in-time protocol becomes provable rather than approximate. A worldwide claim would need per-market holiday calendars, FX conversion and per-regulator disclosure timing.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It buys India-specific engineering.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Point-in-time universe from NSE bhavcopy (kills survivorship bias), SEBI filing-date lag (kills fundamental leakage), NIFTY-relative scoring (kills the index-drift illusion). None of these exist in a 'worldwide' build.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data is better here.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NSE publishes a free, keyless, complete daily archive going back years. No other market within this project's budget offers that.</w:t>
            </w:r>
          </w:p>
        </w:tc>
      </w:tr>
    </w:tbl>
    <w:p/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3. The two problems that shaped the design</w:t>
      </w:r>
    </w:p>
    <w:p>
      <w:pPr>
        <w:spacing w:before="200" w:after="80"/>
      </w:pPr>
      <w:r>
        <w:rPr>
          <w:b/>
          <w:color w:val="2E5C8A"/>
          <w:sz w:val="25"/>
        </w:rPr>
        <w:t>Problem 1 — Lookahead bias makes naive backtesting invalid</w:t>
      </w:r>
    </w:p>
    <w:p>
      <w:r>
        <w:t xml:space="preserve">The obvious plan is: 'test a forecast made three months ago against what actually happened.' This does not work. The model's weights already encode what happened three months ago. It is a documented, measurable effect — </w:t>
      </w:r>
      <w:r>
        <w:rPr>
          <w:b/>
        </w:rPr>
        <w:t>arXiv:2512.23847</w:t>
      </w:r>
      <w:r>
        <w:t xml:space="preserve"> defines *Lookahead Propensity*, which is materially positive throughout the training window and collapses to near zero immediately after the training cutoff.</w:t>
      </w:r>
    </w:p>
    <w:p>
      <w:r>
        <w:rPr>
          <w:b/>
        </w:rPr>
        <w:t>Implication:</w:t>
      </w:r>
      <w:r>
        <w:t xml:space="preserve"> the only scientifically safe test window is after the model's training cutoff. This constrains the entire project, so it had to be decided early rather than discovered at the end.</w:t>
      </w:r>
    </w:p>
    <w:p>
      <w:pPr>
        <w:spacing w:before="200" w:after="80"/>
      </w:pPr>
      <w:r>
        <w:rPr>
          <w:b/>
          <w:color w:val="2E5C8A"/>
          <w:sz w:val="25"/>
        </w:rPr>
        <w:t>Problem 2 — Building the system before the ruler guarantees late failure</w:t>
      </w:r>
    </w:p>
    <w:p>
      <w:r>
        <w:t>A conventional plan builds the system for ten weeks and evaluates it last. Two consequences: if the evaluation turns out to be invalid there is no time left to fix it; and the claim 'multi-agent beats a single LLM' is impossible unless the single-LLM baseline exists first.</w:t>
      </w:r>
    </w:p>
    <w:p>
      <w:pPr>
        <w:spacing w:before="120" w:after="160"/>
        <w:ind w:left="216"/>
        <w:shd w:val="clear" w:fill="E8F0FA"/>
      </w:pPr>
      <w:r>
        <w:rPr>
          <w:b/>
        </w:rPr>
        <w:t>The governing rule of this build: construct the measuring instrument before the thing being measured.</w:t>
      </w:r>
      <w:r>
        <w:t xml:space="preserve"> Evaluation is Phase 2, not Phase 5. The single-LLM baseline ships in Phase 1.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4. System architecture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8"/>
        </w:rPr>
        <w:t xml:space="preserve">  Ticker + as-of date</w:t>
        <w:br/>
        <w:t xml:space="preserve">         |</w:t>
        <w:br/>
        <w:t xml:space="preserve">         v</w:t>
        <w:br/>
        <w:t xml:space="preserve">  +--------------- SPECIALIST LAYER (runs in PARALLEL) ---------------+</w:t>
        <w:br/>
        <w:t xml:space="preserve">  |  Technical      Fundamental      Sentiment        Macro          |</w:t>
        <w:br/>
        <w:t xml:space="preserve">  |  price/momentum valuation/health Indian press     RBI/INR/crude  |</w:t>
        <w:br/>
        <w:t xml:space="preserve">  +-------------------------------------------------------------------+</w:t>
        <w:br/>
        <w:t xml:space="preserve">         |</w:t>
        <w:br/>
        <w:t xml:space="preserve">         v</w:t>
        <w:br/>
        <w:t xml:space="preserve">  RECONCILIATION GATE      every number re-checked against source data</w:t>
        <w:br/>
        <w:t xml:space="preserve">         |</w:t>
        <w:br/>
        <w:t xml:space="preserve">         v</w:t>
        <w:br/>
        <w:t xml:space="preserve">  DEBATE STAGE  &lt;---- ABLATABLE (--no-debate routes straight past it)</w:t>
        <w:br/>
        <w:t xml:space="preserve">     Bull -&gt; Bear rebuts -&gt; Bull counters -&gt; Bear closes   (2 rounds)</w:t>
        <w:br/>
        <w:t xml:space="preserve">         |</w:t>
        <w:br/>
        <w:t xml:space="preserve">         v</w:t>
        <w:br/>
        <w:t xml:space="preserve">  CHIEF RISK OFFICER       weighs evidence, issues the final forecast</w:t>
        <w:br/>
        <w:t xml:space="preserve">         |</w:t>
        <w:br/>
        <w:t xml:space="preserve">         v</w:t>
        <w:br/>
        <w:t xml:space="preserve">  Structured forecast: signal | target range | confidence | citations</w:t>
        <w:br/>
        <w:t xml:space="preserve">         |</w:t>
        <w:br/>
        <w:t xml:space="preserve">         v</w:t>
        <w:br/>
        <w:t xml:space="preserve">  EVALUATION HARNESS       leakage-free scoring against real outcomes</w:t>
      </w:r>
    </w:p>
    <w:p>
      <w:pPr>
        <w:spacing w:before="200" w:after="80"/>
      </w:pPr>
      <w:r>
        <w:rPr>
          <w:b/>
          <w:color w:val="2E5C8A"/>
          <w:sz w:val="25"/>
        </w:rPr>
        <w:t>The seven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3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60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Sees</w:t>
            </w:r>
          </w:p>
        </w:tc>
        <w:tc>
          <w:tcPr>
            <w:tcW w:type="dxa" w:w="403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Produces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Technical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OHLCV prices, computed indicators, benchmark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score −10..+10, trend, support/resistance, citations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Fundamental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Point-in-time fundamentals only (SEBI-filtered)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valuation score, health rating, fair value, unavailable fields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Sentiment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Deduplicated Indian-press headlines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polarity, relevance, confidence, catalysts, article links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Macro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RBI repo, USD/INR, crude, NIFTY sectoral indices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regime (Tailwind/Neutral/Headwind), readings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Bull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 four reports + transcript so far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upside case, points, target, confidence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Bear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 four reports + transcript so far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downside case, points, target, confidence</w:t>
            </w:r>
          </w:p>
        </w:tc>
      </w:tr>
      <w:tr>
        <w:tc>
          <w:tcPr>
            <w:tcW w:type="dxa" w:w="4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Risk Officer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 four reports + full debate transcript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FinalForecast</w:t>
            </w:r>
            <w:r>
              <w:rPr>
                <w:sz w:val="19"/>
              </w:rPr>
              <w:t>: signal, target range, confidence %, risks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Rules that apply to every agent</w:t>
      </w:r>
    </w:p>
    <w:p>
      <w:pPr>
        <w:pStyle w:val="ListBullet"/>
        <w:spacing w:after="60"/>
      </w:pPr>
      <w:r>
        <w:t xml:space="preserve">Output is a </w:t>
      </w:r>
      <w:r>
        <w:rPr>
          <w:b/>
        </w:rPr>
        <w:t>Pydantic model</w:t>
      </w:r>
      <w:r>
        <w:t>, never free text. Unparseable output is a counted failure, not a silent pass.</w:t>
      </w:r>
    </w:p>
    <w:p>
      <w:pPr>
        <w:pStyle w:val="ListBullet"/>
        <w:spacing w:after="60"/>
      </w:pPr>
      <w:r>
        <w:t xml:space="preserve">Every numeric claim carries a </w:t>
      </w:r>
      <w:r>
        <w:rPr>
          <w:b/>
        </w:rPr>
        <w:t>citation</w:t>
      </w:r>
      <w:r>
        <w:t xml:space="preserve"> to the exact data point it came from.</w:t>
      </w:r>
    </w:p>
    <w:p>
      <w:pPr>
        <w:pStyle w:val="ListBullet"/>
        <w:spacing w:after="60"/>
      </w:pPr>
      <w:r>
        <w:t xml:space="preserve">Every agent receives the </w:t>
      </w:r>
      <w:r>
        <w:rPr>
          <w:b/>
        </w:rPr>
        <w:t>as_of date</w:t>
      </w:r>
      <w:r>
        <w:t xml:space="preserve"> and may never see data after it — enforced in the data layer, not by prompting.</w:t>
      </w:r>
    </w:p>
    <w:p>
      <w:pPr>
        <w:pStyle w:val="ListBullet"/>
        <w:spacing w:after="60"/>
      </w:pPr>
      <w:r>
        <w:t xml:space="preserve">Each specialist sees </w:t>
      </w:r>
      <w:r>
        <w:rPr>
          <w:b/>
        </w:rPr>
        <w:t>only its own evidence slice</w:t>
      </w:r>
      <w:r>
        <w:t>. If all four saw everything they would converge on the same answer and the ensemble would add nothing, making the leave-one-out ablation meaningless.</w:t>
      </w:r>
    </w:p>
    <w:p>
      <w:r>
        <w:br w:type="page"/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5. What was built, phase by phase</w:t>
      </w:r>
    </w:p>
    <w:p>
      <w:r>
        <w:t>Five phases, ordered so that risk is retired early. Each has an objective exit gate. The table below is the current state of the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61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345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Foundation &amp; walking skeleton + single-LLM baseline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Complete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Data layer with time-travel + leakage-free evaluation harness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Complete</w:t>
            </w:r>
            <w:r>
              <w:rPr>
                <w:sz w:val="19"/>
              </w:rPr>
              <w:t xml:space="preserve"> (recall probe awaits an API key)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Multi-agent system: specialists, reconciliation, debate, synthesis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Complete</w:t>
            </w:r>
            <w:r>
              <w:rPr>
                <w:sz w:val="19"/>
              </w:rPr>
              <w:t xml:space="preserve"> (verified end-to-end against a stubbed model)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Experiments &amp; ablation tooling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Tooling complete</w:t>
            </w:r>
            <w:r>
              <w:rPr>
                <w:sz w:val="19"/>
              </w:rPr>
              <w:t>; scored runs await an API key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API, dashboard, report &amp; slides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Complete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Phase 1 — Foundation &amp; walking skeleton</w:t>
      </w:r>
    </w:p>
    <w:p>
      <w:r>
        <w:t>One command produces one real, schema-valid forecast: thin, but complete end to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05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backend/config.py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Central configuration and the India constants: NIFTY 50 benchmark, 21-session horizon, SEBI filing lag, bhavcopy URL, sectoral indices.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backend/cache.py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Two-class SQLite cache in front of every external call (see §6.2).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backend/llm.py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single Gemini gateway: structured output, caching, cost accounting, counted parse failures.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backend/context.py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Assembles the evidence pack. </w:t>
            </w:r>
            <w:r>
              <w:rPr>
                <w:b/>
                <w:sz w:val="19"/>
              </w:rPr>
              <w:t>Both</w:t>
            </w:r>
            <w:r>
              <w:rPr>
                <w:sz w:val="19"/>
              </w:rPr>
              <w:t xml:space="preserve"> the baseline and the multi-agent system build their evidence here, so the comparison isolates reasoning architecture rather than data access.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backend/baseline.py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single-LLM baseline — one call, same evidence, same output schema. The thing the multi-agent system must beat.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backend/agents/technical.py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first specialist, built as the template the other three copy.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forecast.py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CLI.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Phase 2 — Data layer &amp; the leakage-free evaluation harness</w:t>
      </w:r>
    </w:p>
    <w:p>
      <w:r>
        <w:t xml:space="preserve">The academic core. Every data function takes an </w:t>
      </w:r>
      <w:r>
        <w:rPr>
          <w:rFonts w:ascii="Consolas" w:hAnsi="Consolas"/>
          <w:color w:val="2E5C8A"/>
          <w:sz w:val="19"/>
        </w:rPr>
        <w:t>as_of</w:t>
      </w:r>
      <w:r>
        <w:t xml:space="preserve"> date and cannot return anything after it; then the harness that scores forecasts is built on top.</w:t>
      </w:r>
    </w:p>
    <w:p>
      <w:pPr>
        <w:spacing w:before="160" w:after="40"/>
      </w:pPr>
      <w:r>
        <w:rPr>
          <w:b/>
          <w:color w:val="1A1A1A"/>
          <w:sz w:val="22"/>
        </w:rPr>
        <w:t>Data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20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tools/tickers.py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India boundary.</w:t>
            </w:r>
            <w:r>
              <w:rPr>
                <w:sz w:val="19"/>
              </w:rPr>
              <w:t xml:space="preserve"> Resolves a symbol to .NS/.BO or raises. Membership is checked against the real NSE symbol master — a regex alone would happily turn AAPL into AAPL.NS.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tools/calendar_nse.py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NSE trading calendar derived from bhavcopy availability: a file exists for a date </w:t>
            </w:r>
            <w:r>
              <w:rPr>
                <w:b/>
                <w:sz w:val="19"/>
              </w:rPr>
              <w:t>if and only if</w:t>
            </w:r>
            <w:r>
              <w:rPr>
                <w:sz w:val="19"/>
              </w:rPr>
              <w:t xml:space="preserve"> NSE traded that day. No hardcoded holiday list to go stale, and it is self-verifying.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tools/market_data.py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OHLCV with a hard </w:t>
            </w:r>
            <w:r>
              <w:rPr>
                <w:rFonts w:ascii="Consolas" w:hAnsi="Consolas"/>
                <w:color w:val="2E5C8A"/>
                <w:sz w:val="19"/>
              </w:rPr>
              <w:t>as_of</w:t>
            </w:r>
            <w:r>
              <w:rPr>
                <w:sz w:val="19"/>
              </w:rPr>
              <w:t xml:space="preserve"> cap, yfinance primary and an NSE bhavcopy fallback. Each frame records which source served it, because adjusted and unadjusted prices must never mix within one series.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tools/indicators.py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RSI, MACD, SMA 50/200, Bollinger, ATR, realised volatility — with plain-English readings and short-series safety.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tools/fundamentals.py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Point-in-time fundamentals under the SEBI 45-day filing rule (see §6.4).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tools/news_sentiment.py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GDELT, scoped to India, </w:t>
            </w:r>
            <w:r>
              <w:rPr>
                <w:rFonts w:ascii="Consolas" w:hAnsi="Consolas"/>
                <w:color w:val="2E5C8A"/>
                <w:sz w:val="19"/>
              </w:rPr>
              <w:t>as_of</w:t>
            </w:r>
            <w:r>
              <w:rPr>
                <w:sz w:val="19"/>
              </w:rPr>
              <w:t>-filtered, deduplicated. Handles GDELT's rate-limit-as-HTTP-200 trap (see §6.5).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tools/macro.py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RBI repo rate, USD/INR, 10Y G-sec, crude, NIFTY sectoral indices — all filtered by </w:t>
            </w:r>
            <w:r>
              <w:rPr>
                <w:b/>
                <w:sz w:val="19"/>
              </w:rPr>
              <w:t>publication</w:t>
            </w:r>
            <w:r>
              <w:rPr>
                <w:sz w:val="19"/>
              </w:rPr>
              <w:t xml:space="preserve"> date, not observation date.</w:t>
            </w:r>
          </w:p>
        </w:tc>
      </w:tr>
    </w:tbl>
    <w:p/>
    <w:p>
      <w:pPr>
        <w:spacing w:before="160" w:after="40"/>
      </w:pPr>
      <w:r>
        <w:rPr>
          <w:b/>
          <w:color w:val="1A1A1A"/>
          <w:sz w:val="22"/>
        </w:rPr>
        <w:t>The evaluation harness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20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eval/testset.py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Builds and </w:t>
            </w:r>
            <w:r>
              <w:rPr>
                <w:b/>
                <w:sz w:val="19"/>
              </w:rPr>
              <w:t>freezes</w:t>
            </w:r>
            <w:r>
              <w:rPr>
                <w:sz w:val="19"/>
              </w:rPr>
              <w:t xml:space="preserve"> the test set. Refuses to overwrite an existing one, because regenerating it after results exist would invalidate every comparison made against the old one.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eval/outcomes.py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only</w:t>
            </w:r>
            <w:r>
              <w:rPr>
                <w:sz w:val="19"/>
              </w:rPr>
              <w:t xml:space="preserve"> module allowed to look past </w:t>
            </w:r>
            <w:r>
              <w:rPr>
                <w:rFonts w:ascii="Consolas" w:hAnsi="Consolas"/>
                <w:color w:val="2E5C8A"/>
                <w:sz w:val="19"/>
              </w:rPr>
              <w:t>as_of</w:t>
            </w:r>
            <w:r>
              <w:rPr>
                <w:sz w:val="19"/>
              </w:rPr>
              <w:t>. Quarantined deliberately, and a test asserts no forecasting module imports it.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eval/metrics.py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Directional accuracy, NIFTY-relative accuracy, MAE/MAPE in rupees, Brier score, reliability table, cost per forecast.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eval/naive.py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Two non-LLM baselines: momentum persistence, and 'always up' — the buy-and-hold proxy that exposes how flattering raw directional accuracy is.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eval/recall_probe.py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Asks the model for hard, verifiable market facts on specific dates and compares them to ground truth, to locate the training cutoff empirically.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eval/harness.py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Runs </w:t>
            </w:r>
            <w:r>
              <w:rPr>
                <w:b/>
                <w:sz w:val="19"/>
              </w:rPr>
              <w:t>any</w:t>
            </w:r>
            <w:r>
              <w:rPr>
                <w:sz w:val="19"/>
              </w:rPr>
              <w:t xml:space="preserve"> forecaster over the frozen set and scores it. Knows nothing about which system produced a forecast — that is what makes the Phase 4 ablations one-liners instead of new code paths.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Phase 3 — The multi-agent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76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agents/schemas.py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Every agent's output schema, flat and with pinned field order to work around Gemini's structured-output constraints.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agents/base.py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shared specialist runner. All four specialists are the same shape by construction, so the leave-one-out ablation drops an agent by not calling it — never by editing agent code.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agents/fundamental.py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E5C8A"/>
                <w:sz w:val="19"/>
              </w:rPr>
              <w:t>sentiment.py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E5C8A"/>
                <w:sz w:val="19"/>
              </w:rPr>
              <w:t>macro.py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three remaining specialists, each exposing the same </w:t>
            </w:r>
            <w:r>
              <w:rPr>
                <w:rFonts w:ascii="Consolas" w:hAnsi="Consolas"/>
                <w:color w:val="2E5C8A"/>
                <w:sz w:val="19"/>
              </w:rPr>
              <w:t>analyse(ctx)</w:t>
            </w:r>
            <w:r>
              <w:rPr>
                <w:sz w:val="19"/>
              </w:rPr>
              <w:t xml:space="preserve"> signature.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agents/reconciliation.py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anti-hallucination gate</w:t>
            </w:r>
            <w:r>
              <w:rPr>
                <w:sz w:val="19"/>
              </w:rPr>
              <w:t xml:space="preserve"> (see §6.7).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agents/debate.py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bounded Bull/Bear exchange: 2 rounds, 4 turns, both sides seeing identical evidence.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agents/risk_officer.py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synthesiser that issues the final call.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graph/state.py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LangGraph state: distinct keys per specialist, reducers on the accumulated lists (see §6.8).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graph/pipeline.py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orchestrator: parallel fan-out, fan-in, the conditional debate edge, the SQLite checkpointer.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Phase 4 — Experiment tooling</w:t>
      </w:r>
    </w:p>
    <w:p>
      <w:r>
        <w:rPr>
          <w:rFonts w:ascii="Consolas" w:hAnsi="Consolas"/>
          <w:color w:val="2E5C8A"/>
          <w:sz w:val="19"/>
        </w:rPr>
        <w:t>backend/eval/ablation.py</w:t>
      </w:r>
      <w:r>
        <w:t xml:space="preserve"> plus </w:t>
      </w:r>
      <w:r>
        <w:rPr>
          <w:rFonts w:ascii="Consolas" w:hAnsi="Consolas"/>
          <w:color w:val="2E5C8A"/>
          <w:sz w:val="19"/>
        </w:rPr>
        <w:t>python -m evaluate ablate</w:t>
      </w:r>
      <w:r>
        <w:t xml:space="preserve"> runs the whole suite — naive baselines, single-LLM baseline, full multi-agent, no-debate, and four leave-one-out configurations — with repeats, and writes one report answering the three questions the project asked. Every row traces to a CSV and JSON file written at run time.</w:t>
      </w:r>
    </w:p>
    <w:p>
      <w:r>
        <w:t xml:space="preserve">Ablations are </w:t>
      </w:r>
      <w:r>
        <w:rPr>
          <w:b/>
        </w:rPr>
        <w:t>system names, not code paths</w:t>
      </w:r>
      <w:r>
        <w:t xml:space="preserve">: </w:t>
      </w:r>
      <w:r>
        <w:rPr>
          <w:rFonts w:ascii="Consolas" w:hAnsi="Consolas"/>
          <w:color w:val="2E5C8A"/>
          <w:sz w:val="19"/>
        </w:rPr>
        <w:t>multiagent-nodebate</w:t>
      </w:r>
      <w:r>
        <w:t xml:space="preserve">, </w:t>
      </w:r>
      <w:r>
        <w:rPr>
          <w:rFonts w:ascii="Consolas" w:hAnsi="Consolas"/>
          <w:color w:val="2E5C8A"/>
          <w:sz w:val="19"/>
        </w:rPr>
        <w:t>multiagent-no-sentiment</w:t>
      </w:r>
      <w:r>
        <w:t xml:space="preserve">, </w:t>
      </w:r>
      <w:r>
        <w:rPr>
          <w:rFonts w:ascii="Consolas" w:hAnsi="Consolas"/>
          <w:color w:val="2E5C8A"/>
          <w:sz w:val="19"/>
        </w:rPr>
        <w:t>multiagent-no-macro-technical</w:t>
      </w:r>
      <w:r>
        <w:t>. Adding a new ablation requires no new code.</w:t>
      </w:r>
    </w:p>
    <w:p>
      <w:pPr>
        <w:spacing w:before="200" w:after="80"/>
      </w:pPr>
      <w:r>
        <w:rPr>
          <w:b/>
          <w:color w:val="2E5C8A"/>
          <w:sz w:val="25"/>
        </w:rPr>
        <w:t>Phase 5 — API, dashboard, report and slides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76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backend/api/main.py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FastAPI: health, price, evidence, forecast, and a </w:t>
            </w:r>
            <w:r>
              <w:rPr>
                <w:b/>
                <w:sz w:val="19"/>
              </w:rPr>
              <w:t>WebSocket</w:t>
            </w:r>
            <w:r>
              <w:rPr>
                <w:sz w:val="19"/>
              </w:rPr>
              <w:t xml:space="preserve"> that streams each stage as it lands. The WebSocket owns the live UX because a 30-90 second POST times out on many proxies.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backend/graph/pipeline.py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2E5C8A"/>
                <w:sz w:val="19"/>
              </w:rPr>
              <w:t>stream</w:t>
            </w:r>
            <w:r>
              <w:rPr>
                <w:sz w:val="19"/>
              </w:rPr>
              <w:t>)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Yields a progress event per completed stage, derived from LangGraph's own update stream so the log cannot drift out of step with what the graph actually did.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frontend/app.py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Streamlit dashboard: evidence pack, candlestick chart with SMA overlays, live agent log, Bull-vs-Bear split view, forecast card, and the reconciliation gate shown deliberately.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scripts/make_thesis.py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Generates the thesis report, reading real numbers from </w:t>
            </w:r>
            <w:r>
              <w:rPr>
                <w:rFonts w:ascii="Consolas" w:hAnsi="Consolas"/>
                <w:color w:val="2E5C8A"/>
                <w:sz w:val="19"/>
              </w:rPr>
              <w:t>results/</w:t>
            </w:r>
            <w:r>
              <w:rPr>
                <w:sz w:val="19"/>
              </w:rPr>
              <w:t xml:space="preserve"> and marking anything unrun as PENDING rather than inventing a placeholder.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scripts/make_slides.py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Generates 20 defence slides with speaker notes, also reading from </w:t>
            </w:r>
            <w:r>
              <w:rPr>
                <w:rFonts w:ascii="Consolas" w:hAnsi="Consolas"/>
                <w:color w:val="2E5C8A"/>
                <w:sz w:val="19"/>
              </w:rPr>
              <w:t>results/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scripts/warm_demo.py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Pre-warms the demo runs and then </w:t>
            </w:r>
            <w:r>
              <w:rPr>
                <w:b/>
                <w:sz w:val="19"/>
              </w:rPr>
              <w:t>verifies</w:t>
            </w:r>
            <w:r>
              <w:rPr>
                <w:sz w:val="19"/>
              </w:rPr>
              <w:t xml:space="preserve"> that a replay makes zero fresh API calls.</w:t>
            </w:r>
          </w:p>
        </w:tc>
      </w:tr>
    </w:tbl>
    <w:p/>
    <w:p>
      <w:pPr>
        <w:spacing w:before="160" w:after="40"/>
      </w:pPr>
      <w:r>
        <w:rPr>
          <w:b/>
          <w:color w:val="1A1A1A"/>
          <w:sz w:val="22"/>
        </w:rPr>
        <w:t>Security posture at the API boundary</w:t>
      </w:r>
    </w:p>
    <w:p>
      <w:pPr>
        <w:pStyle w:val="ListBullet"/>
        <w:spacing w:after="60"/>
      </w:pPr>
      <w:r>
        <w:rPr>
          <w:b/>
        </w:rPr>
        <w:t>The India boundary is enforced here too</w:t>
      </w:r>
      <w:r>
        <w:t>, with the same error text the CLI uses, over HTTP and over the WebSocket. A boundary that holds in one entry point and not another is not a boundary.</w:t>
      </w:r>
    </w:p>
    <w:p>
      <w:pPr>
        <w:pStyle w:val="ListBullet"/>
        <w:spacing w:after="60"/>
      </w:pPr>
      <w:r>
        <w:rPr>
          <w:b/>
        </w:rPr>
        <w:t>CORS is an explicit allowlist</w:t>
      </w:r>
      <w:r>
        <w:t xml:space="preserve">, never </w:t>
      </w:r>
      <w:r>
        <w:rPr>
          <w:rFonts w:ascii="Consolas" w:hAnsi="Consolas"/>
          <w:color w:val="2E5C8A"/>
          <w:sz w:val="19"/>
        </w:rPr>
        <w:t>allow_origins=['*']</w:t>
      </w:r>
      <w:r>
        <w:t xml:space="preserve"> — with credentials enabled that is an open door, and naming the two origins costs nothing.</w:t>
      </w:r>
    </w:p>
    <w:p>
      <w:pPr>
        <w:pStyle w:val="ListBullet"/>
        <w:spacing w:after="60"/>
      </w:pPr>
      <w:r>
        <w:rPr>
          <w:b/>
        </w:rPr>
        <w:t>Per-IP rate limiting</w:t>
      </w:r>
      <w:r>
        <w:t>, tighter on forecast endpoints because those spend real quota. It is in-process and documented as protecting a single-node demo rather than as a substitute for a gateway.</w:t>
      </w:r>
    </w:p>
    <w:p>
      <w:pPr>
        <w:pStyle w:val="ListBullet"/>
        <w:spacing w:after="60"/>
      </w:pPr>
      <w:r>
        <w:rPr>
          <w:b/>
        </w:rPr>
        <w:t>No secret crosses the boundary.</w:t>
      </w:r>
      <w:r>
        <w:t xml:space="preserve"> </w:t>
      </w:r>
      <w:r>
        <w:rPr>
          <w:rFonts w:ascii="Consolas" w:hAnsi="Consolas"/>
          <w:color w:val="2E5C8A"/>
          <w:sz w:val="19"/>
        </w:rPr>
        <w:t>/api/health</w:t>
      </w:r>
      <w:r>
        <w:t xml:space="preserve"> reports whether a key is configured, never any part of it, and a test asserts the response body contains no key-like string.</w:t>
      </w:r>
    </w:p>
    <w:p>
      <w:r>
        <w:br w:type="page"/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6. The engineering that constitutes the contribution</w:t>
      </w:r>
    </w:p>
    <w:p>
      <w:r>
        <w:t>This section is the heart of the project. Each item below is a specific way that a naive implementation would silently produce invalid results, and the concrete mechanism used to prevent it.</w:t>
      </w:r>
    </w:p>
    <w:p>
      <w:pPr>
        <w:spacing w:before="200" w:after="80"/>
      </w:pPr>
      <w:r>
        <w:rPr>
          <w:b/>
          <w:color w:val="2E5C8A"/>
          <w:sz w:val="25"/>
        </w:rPr>
        <w:t>6.1  Every data function takes an `as_of` date</w:t>
      </w:r>
    </w:p>
    <w:p>
      <w:r>
        <w:t>The cutoff is enforced in the data layer, so no agent, prompt or tool can see past it even by accident. Prompting a model to 'ignore what you know after this date' is not a leakage control and is never treated as one — it is used only as a secondary measure to stop the model volunteering remembered facts.</w:t>
      </w:r>
    </w:p>
    <w:p>
      <w:pPr>
        <w:spacing w:before="200" w:after="80"/>
      </w:pPr>
      <w:r>
        <w:rPr>
          <w:b/>
          <w:color w:val="2E5C8A"/>
          <w:sz w:val="25"/>
        </w:rPr>
        <w:t>6.2  A two-class cache, with permanent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6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144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TTL</w:t>
            </w:r>
          </w:p>
        </w:tc>
        <w:tc>
          <w:tcPr>
            <w:tcW w:type="dxa" w:w="3888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Historical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(source, ticker, field, </w:t>
            </w:r>
            <w:r>
              <w:rPr>
                <w:b/>
                <w:sz w:val="19"/>
              </w:rPr>
              <w:t>as_of</w:t>
            </w:r>
            <w:r>
              <w:rPr>
                <w:sz w:val="19"/>
              </w:rPr>
              <w:t>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Permanent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past does not change. A short TTL would force constant re-fetching during ablation sweeps, triggering the exact rate-limiting the cache exists to prevent.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Live quote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(source, ticker, field)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 minutes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Demo path only.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LLM response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sha256(prompt + model + </w:t>
            </w:r>
            <w:r>
              <w:rPr>
                <w:b/>
                <w:sz w:val="19"/>
              </w:rPr>
              <w:t>nonce</w:t>
            </w:r>
            <w:r>
              <w:rPr>
                <w:sz w:val="19"/>
              </w:rPr>
              <w:t>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Permanent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Identical prompts cost nothing on re-run. The nonce is mandatory for variance runs — see §6.11.</w:t>
            </w:r>
          </w:p>
        </w:tc>
      </w:tr>
    </w:tbl>
    <w:p/>
    <w:p>
      <w:pPr>
        <w:spacing w:before="200" w:after="80"/>
      </w:pPr>
      <w:r>
        <w:rPr>
          <w:b/>
          <w:color w:val="2E5C8A"/>
          <w:sz w:val="25"/>
        </w:rPr>
        <w:t>6.3  A point-in-time universe — the survivorship-bias fix</w:t>
      </w:r>
    </w:p>
    <w:p>
      <w:r>
        <w:t xml:space="preserve">The test set is built from the stocks that </w:t>
      </w:r>
      <w:r>
        <w:rPr>
          <w:b/>
        </w:rPr>
        <w:t>actually traded on each as_of date</w:t>
      </w:r>
      <w:r>
        <w:t>, read from that day's NSE bhavcopy — not from today's NIFTY 50 membership list. Using today's list is textbook survivorship bias: it silently excludes every company that was delisted, merged or demoted, which are disproportionately the losers.</w:t>
      </w:r>
    </w:p>
    <w:p>
      <w:pPr>
        <w:spacing w:before="120" w:after="160"/>
        <w:ind w:left="216"/>
        <w:shd w:val="clear" w:fill="E8F0FA"/>
      </w:pPr>
      <w:r>
        <w:t xml:space="preserve">Because the bhavcopy is a complete daily snapshot, this project can </w:t>
      </w:r>
      <w:r>
        <w:rPr>
          <w:b/>
        </w:rPr>
        <w:t>prove</w:t>
      </w:r>
      <w:r>
        <w:t xml:space="preserve"> its universe was correct — something very few student backtests can do. The frozen test set records its exclusions: for example, TATAMOTORS is excluded from 2025-11-06 because it did not trade on NSE that day.</w:t>
      </w:r>
    </w:p>
    <w:p>
      <w:r>
        <w:t xml:space="preserve">The same rule is applied inside the ticker boundary itself: membership is verified against the bhavcopy </w:t>
      </w:r>
      <w:r>
        <w:rPr>
          <w:b/>
        </w:rPr>
        <w:t>for the date being analysed</w:t>
      </w:r>
      <w:r>
        <w:t>. Otherwise a name that traded normally in mid-2025 but is absent from a current bhavcopy would be rejected on dates when it was perfectly valid — survivorship bias smuggled in through the validation layer.</w:t>
      </w:r>
    </w:p>
    <w:p>
      <w:pPr>
        <w:spacing w:before="200" w:after="80"/>
      </w:pPr>
      <w:r>
        <w:rPr>
          <w:b/>
          <w:color w:val="2E5C8A"/>
          <w:sz w:val="25"/>
        </w:rPr>
        <w:t>6.4  The SEBI 45-day filing rule — the fundamentals leakage fix</w:t>
      </w:r>
    </w:p>
    <w:p>
      <w:r>
        <w:t xml:space="preserve">Under </w:t>
      </w:r>
      <w:r>
        <w:rPr>
          <w:b/>
        </w:rPr>
        <w:t>SEBI LODR Regulation 33</w:t>
      </w:r>
      <w:r>
        <w:t>, a listed company files quarterly results within 45 days of quarter end (60 for annual). So the numbers for a quarter ending 31 December 2024 were not public until roughly 14 February 2025. A backtest dated 20 January 2025 that can see them is reading the future.</w:t>
      </w:r>
    </w:p>
    <w:p>
      <w:r>
        <w:rPr>
          <w:b/>
        </w:rPr>
        <w:t>Rule implemented:</w:t>
      </w:r>
      <w:r>
        <w:t xml:space="preserve"> a quarter is visible only if </w:t>
      </w:r>
      <w:r>
        <w:rPr>
          <w:rFonts w:ascii="Consolas" w:hAnsi="Consolas"/>
          <w:color w:val="2E5C8A"/>
          <w:sz w:val="19"/>
        </w:rPr>
        <w:t>as_of ≥ quarter_end + 45 days</w:t>
      </w:r>
      <w:r>
        <w:t>.</w:t>
      </w:r>
    </w:p>
    <w:p>
      <w:pPr>
        <w:spacing w:before="160" w:after="40"/>
      </w:pPr>
      <w:r>
        <w:rPr>
          <w:b/>
          <w:color w:val="1A1A1A"/>
          <w:sz w:val="22"/>
        </w:rPr>
        <w:t>And a stricter rule the data forced</w:t>
      </w:r>
    </w:p>
    <w:p>
      <w:r>
        <w:t xml:space="preserve">yfinance's company info is a </w:t>
      </w:r>
      <w:r>
        <w:rPr>
          <w:b/>
        </w:rPr>
        <w:t>current</w:t>
      </w:r>
      <w:r>
        <w:t xml:space="preserve"> snapshot: today's P/E, today's market cap, today's margins. Feeding those into a forecast dated in the past is lookahead bias of the most direct kind — the model would be told today's valuation while predicting the past. So in strict point-in-time mode those fields are </w:t>
      </w:r>
      <w:r>
        <w:rPr>
          <w:b/>
        </w:rPr>
        <w:t>withheld entirely</w:t>
      </w:r>
      <w:r>
        <w:t xml:space="preserve">: they are recorded in a clearly-labelled </w:t>
      </w:r>
      <w:r>
        <w:rPr>
          <w:rFonts w:ascii="Consolas" w:hAnsi="Consolas"/>
          <w:color w:val="2E5C8A"/>
          <w:sz w:val="19"/>
        </w:rPr>
        <w:t>current_snapshot</w:t>
      </w:r>
      <w:r>
        <w:t xml:space="preserve"> for the report's data-coverage table, but they never reach a prompt.</w:t>
      </w:r>
    </w:p>
    <w:p>
      <w:pPr>
        <w:spacing w:before="120" w:after="160"/>
        <w:ind w:left="216"/>
        <w:shd w:val="clear" w:fill="E8F0FA"/>
      </w:pPr>
      <w:r>
        <w:t xml:space="preserve">The consequence is that fundamental evidence at a past date is often </w:t>
      </w:r>
      <w:r>
        <w:rPr>
          <w:b/>
        </w:rPr>
        <w:t>empty</w:t>
      </w:r>
      <w:r>
        <w:t>. That is the honest result and it is reported as such — a coverage limit of free data, not a bug. The alternative, quietly serving today's P/E, would invalidate every number in the evaluation.</w:t>
      </w:r>
    </w:p>
    <w:p>
      <w:pPr>
        <w:spacing w:before="200" w:after="80"/>
      </w:pPr>
      <w:r>
        <w:rPr>
          <w:b/>
          <w:color w:val="2E5C8A"/>
          <w:sz w:val="25"/>
        </w:rPr>
        <w:t>6.5  GDELT's rate limit arrives as HTTP 200</w:t>
      </w:r>
    </w:p>
    <w:p>
      <w:r>
        <w:t xml:space="preserve">When GDELT's rate limit is exceeded it does </w:t>
      </w:r>
      <w:r>
        <w:rPr>
          <w:b/>
        </w:rPr>
        <w:t>not</w:t>
      </w:r>
      <w:r>
        <w:t xml:space="preserve"> return HTTP 429. It returns HTTP 200 with the body text 'Please limit requests to one every 5 seconds'. A naive client stores that string as if it were an article list — and because the cache is permanent, the poisoning is permanent too.</w:t>
      </w:r>
    </w:p>
    <w:p>
      <w:r>
        <w:t xml:space="preserve">The client therefore inspects the body </w:t>
      </w:r>
      <w:r>
        <w:rPr>
          <w:b/>
        </w:rPr>
        <w:t>before</w:t>
      </w:r>
      <w:r>
        <w:t xml:space="preserve"> parsing, treats the message as a retryable error, never caches it, and spaces requests at least 5 seconds apart.</w:t>
      </w:r>
    </w:p>
    <w:p>
      <w:pPr>
        <w:spacing w:before="200" w:after="80"/>
      </w:pPr>
      <w:r>
        <w:rPr>
          <w:b/>
          <w:color w:val="2E5C8A"/>
          <w:sz w:val="25"/>
        </w:rPr>
        <w:t>6.6  Data vintage: publication date, not observation date</w:t>
      </w:r>
    </w:p>
    <w:p>
      <w:r>
        <w:t xml:space="preserve">CPI for a given month is published the following month. A macro reading dated mid-month must not see it. Every macro series therefore carries a publication lag and observations are filtered on </w:t>
      </w:r>
      <w:r>
        <w:rPr>
          <w:rFonts w:ascii="Consolas" w:hAnsi="Consolas"/>
          <w:color w:val="2E5C8A"/>
          <w:sz w:val="19"/>
        </w:rPr>
        <w:t>observation_date + lag ≤ as_of</w:t>
      </w:r>
      <w:r>
        <w:t>. Filtering on the observation date alone is the subtle version of lookahead bias, and it is easy to ship by accident.</w:t>
      </w:r>
    </w:p>
    <w:p>
      <w:r>
        <w:t>Where a series is unusable it is documented rather than substituted: India CPI, IIP and the discount rate on FRED are stale or dead, so CPI is recorded as a stated limitation and the RBI repo rate comes from a hardcoded, auditable decision calendar that flags any date beyond its verified window.</w:t>
      </w:r>
    </w:p>
    <w:p>
      <w:pPr>
        <w:spacing w:before="200" w:after="80"/>
      </w:pPr>
      <w:r>
        <w:rPr>
          <w:b/>
          <w:color w:val="2E5C8A"/>
          <w:sz w:val="25"/>
        </w:rPr>
        <w:t>6.7  The reconciliation gate — the anti-hallucination layer</w:t>
      </w:r>
    </w:p>
    <w:p>
      <w:r>
        <w:t xml:space="preserve">Every numeric claim an agent makes is re-verified against the cached source data </w:t>
      </w:r>
      <w:r>
        <w:rPr>
          <w:b/>
        </w:rPr>
        <w:t>before it propagates</w:t>
      </w:r>
      <w:r>
        <w:t xml:space="preserve"> to the next agent. This is Bloomberg's ASKB pattern.</w:t>
      </w:r>
    </w:p>
    <w:p>
      <w:pPr>
        <w:spacing w:before="120" w:after="160"/>
        <w:ind w:left="216"/>
        <w:shd w:val="clear" w:fill="E8F0FA"/>
      </w:pPr>
      <w:r>
        <w:t xml:space="preserve">A hallucinated adjective is embarrassing; a hallucinated </w:t>
      </w:r>
      <w:r>
        <w:rPr>
          <w:b/>
        </w:rPr>
        <w:t>number</w:t>
      </w:r>
      <w:r>
        <w:t xml:space="preserve"> is invisible. 'RSI is 28, deeply oversold' reads exactly like a correct reading when the true RSI is 61, and it propagates through the debate into the final price target where nobody can trace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Check class</w:t>
            </w:r>
          </w:p>
        </w:tc>
        <w:tc>
          <w:tcPr>
            <w:tcW w:type="dxa" w:w="763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catches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Value mismatch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claimed figure disagreeing with the source value beyond a 2% tolerance.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Magnitude error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figure ~100× or ~10,000,000× off — the lakh/crore parse failure (see §6.9). Checked *first*, so it is never buried as an ordinary mismatch.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Internal consistency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 above resistance, target_low above target_high, confidence outside 0–100.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Fabricated citation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An article link cited that was never supplied, or a metric asserted where the evidence pack contained none — the signature of recall leaking in through the model's weights.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Implausible target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 price target beyond 3 sigma of the stock's own realised volatility over the horizon.</w:t>
            </w:r>
          </w:p>
        </w:tc>
      </w:tr>
    </w:tbl>
    <w:p/>
    <w:p>
      <w:pPr>
        <w:spacing w:before="160" w:after="40"/>
      </w:pPr>
      <w:r>
        <w:rPr>
          <w:b/>
          <w:color w:val="1A1A1A"/>
          <w:sz w:val="22"/>
        </w:rPr>
        <w:t>Two design decisions worth defending</w:t>
      </w:r>
    </w:p>
    <w:p>
      <w:pPr>
        <w:pStyle w:val="ListBullet"/>
        <w:spacing w:after="60"/>
      </w:pPr>
      <w:r>
        <w:rPr>
          <w:b/>
        </w:rPr>
        <w:t>The gate flags; it does not silently repair.</w:t>
      </w:r>
      <w:r>
        <w:t xml:space="preserve"> Clamping a bad target would change the very quantity the evaluation measures (MAPE, target hit rate), turning a measurement of the model into a measurement of our clamp. A clamping mode exists for the live demo, is off in every scored run, and the record states which was used.</w:t>
      </w:r>
    </w:p>
    <w:p>
      <w:pPr>
        <w:pStyle w:val="ListBullet"/>
        <w:spacing w:after="60"/>
      </w:pPr>
      <w:r>
        <w:rPr>
          <w:b/>
        </w:rPr>
        <w:t>Checks that cannot be performed are recorded as 'unverifiable', not passed.</w:t>
      </w:r>
      <w:r>
        <w:t xml:space="preserve"> A gate reporting zero mismatches because it checked nothing is worse than no gate, because it buys false confidence.</w:t>
      </w:r>
    </w:p>
    <w:p>
      <w:r>
        <w:t xml:space="preserve">The gate is proven by attack, not by assertion: the test suite injects a fake RSI, a 100× crore target, an invented article URL, a fabricated P/E, an inverted support level and an impossible price move, and asserts each one is caught — plus a complement test that an honest report is </w:t>
      </w:r>
      <w:r>
        <w:rPr>
          <w:b/>
        </w:rPr>
        <w:t>not</w:t>
      </w:r>
      <w:r>
        <w:t xml:space="preserve"> flagged, so a gate that flagged everything could not pass.</w:t>
      </w:r>
    </w:p>
    <w:p>
      <w:pPr>
        <w:spacing w:before="200" w:after="80"/>
      </w:pPr>
      <w:r>
        <w:rPr>
          <w:b/>
          <w:color w:val="2E5C8A"/>
          <w:sz w:val="25"/>
        </w:rPr>
        <w:t>6.8  Parallel agents in LangGraph</w:t>
      </w:r>
    </w:p>
    <w:p>
      <w:r>
        <w:t>The four specialists run as a genuine parallel fan-out. Two details are load-bearing:</w:t>
      </w:r>
    </w:p>
    <w:p>
      <w:pPr>
        <w:pStyle w:val="ListBullet"/>
        <w:spacing w:after="60"/>
      </w:pPr>
      <w:r>
        <w:rPr>
          <w:b/>
        </w:rPr>
        <w:t>Distinct state keys per specialist.</w:t>
      </w:r>
      <w:r>
        <w:t xml:space="preserve"> If they wrote to one shared key, LangGraph would raise </w:t>
      </w:r>
      <w:r>
        <w:rPr>
          <w:rFonts w:ascii="Consolas" w:hAnsi="Consolas"/>
          <w:color w:val="2E5C8A"/>
          <w:sz w:val="19"/>
        </w:rPr>
        <w:t>INVALID_CONCURRENT_GRAPH_UPDATE</w:t>
      </w:r>
      <w:r>
        <w:t xml:space="preserve"> — two nodes returning a value for the same key in one superstep is ambiguous and the framework refuses to guess.</w:t>
      </w:r>
    </w:p>
    <w:p>
      <w:pPr>
        <w:pStyle w:val="ListBullet"/>
        <w:spacing w:after="60"/>
      </w:pPr>
      <w:r>
        <w:rPr>
          <w:b/>
        </w:rPr>
        <w:t>Reducers on accumulated lists.</w:t>
      </w:r>
      <w:r>
        <w:t xml:space="preserve"> The debate turns and the error log are written by more than one node, so they carry </w:t>
      </w:r>
      <w:r>
        <w:rPr>
          <w:rFonts w:ascii="Consolas" w:hAnsi="Consolas"/>
          <w:color w:val="2E5C8A"/>
          <w:sz w:val="19"/>
        </w:rPr>
        <w:t>operator.add</w:t>
      </w:r>
      <w:r>
        <w:t>. Without the reducer the last writer wins and earlier entries silently disappear — worse than a crash, because the run still produces a forecast and the transcript is merely short.</w:t>
      </w:r>
    </w:p>
    <w:p>
      <w:r>
        <w:t xml:space="preserve">The evidence pack is built </w:t>
      </w:r>
      <w:r>
        <w:rPr>
          <w:b/>
        </w:rPr>
        <w:t>once, before the graph starts</w:t>
      </w:r>
      <w:r>
        <w:t>, so the four parallel specialists never race to fetch the same data and every network call is complete before any concurrency begins.</w:t>
      </w:r>
    </w:p>
    <w:p>
      <w:pPr>
        <w:spacing w:before="200" w:after="80"/>
      </w:pPr>
      <w:r>
        <w:rPr>
          <w:b/>
          <w:color w:val="2E5C8A"/>
          <w:sz w:val="25"/>
        </w:rPr>
        <w:t>6.9  Lakh and crore: a live 100× hallucination risk</w:t>
      </w:r>
    </w:p>
    <w:p>
      <w:r>
        <w:t xml:space="preserve">Indian sources write 1,00,000 for one lakh and report 'revenue of ₹2,500 crore', meaning 25,000,000,000. A model asked for a number will happily return 2500. The codebase rule is that </w:t>
      </w:r>
      <w:r>
        <w:rPr>
          <w:b/>
        </w:rPr>
        <w:t>every monetary value crossing into a schema field is in plain INR units</w:t>
      </w:r>
      <w:r>
        <w:t>, with a parser to convert and a magnitude check in the reconciliation gate to catch what slips through.</w:t>
      </w:r>
    </w:p>
    <w:p>
      <w:pPr>
        <w:spacing w:before="200" w:after="80"/>
      </w:pPr>
      <w:r>
        <w:rPr>
          <w:b/>
          <w:color w:val="2E5C8A"/>
          <w:sz w:val="25"/>
        </w:rPr>
        <w:t>6.10  NIFTY-relative scoring</w:t>
      </w:r>
    </w:p>
    <w:p>
      <w:r>
        <w:t xml:space="preserve">Indian indices have trended up strongly, so a model that says 'up' every time can post around 60% raw directional accuracy and look like a forecaster. Every result table therefore reports </w:t>
      </w:r>
      <w:r>
        <w:rPr>
          <w:b/>
        </w:rPr>
        <w:t>NIFTY-relative accuracy beside raw accuracy</w:t>
      </w:r>
      <w:r>
        <w:t>, and the 'always up' naive baseline is run specifically to make the gap visible.</w:t>
      </w:r>
    </w:p>
    <w:p>
      <w:r>
        <w:t xml:space="preserve">The already-recorded naive baseline results demonstrate the effect precisely: 'always up' scores </w:t>
      </w:r>
      <w:r>
        <w:rPr>
          <w:b/>
        </w:rPr>
        <w:t>63.2% raw</w:t>
      </w:r>
      <w:r>
        <w:t xml:space="preserve"> directional accuracy but only </w:t>
      </w:r>
      <w:r>
        <w:rPr>
          <w:b/>
        </w:rPr>
        <w:t>47.4% against NIFTY</w:t>
      </w:r>
      <w:r>
        <w:t xml:space="preserve"> — near chance. An examiner will ask about this, and the answer is already in the results files.</w:t>
      </w:r>
    </w:p>
    <w:p>
      <w:pPr>
        <w:spacing w:before="200" w:after="80"/>
      </w:pPr>
      <w:r>
        <w:rPr>
          <w:b/>
          <w:color w:val="2E5C8A"/>
          <w:sz w:val="25"/>
        </w:rPr>
        <w:t>6.11  The cache nonce, and why zero variance would be a lie</w:t>
      </w:r>
    </w:p>
    <w:p>
      <w:r>
        <w:t>Phase 4 repeats each configuration to report variance. Without a unique cache nonce per repeat, the second run is served entirely from the LLM cache, reports identical numbers, and the measured variance is exactly zero — an artifact that looks like a remarkably stable system. The nonce is the difference between reporting variance and fabricating its absence.</w:t>
      </w:r>
    </w:p>
    <w:p>
      <w:r>
        <w:br w:type="page"/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7. Bugs found and fixed during this build</w:t>
      </w:r>
    </w:p>
    <w:p>
      <w:r>
        <w:t>Included because they are evidence of engineering rather than of typing, and because two of them were silently corrupting output that otherwise looked correct.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3744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331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pandas-ta-classic</w:t>
            </w:r>
            <w:r>
              <w:rPr>
                <w:sz w:val="19"/>
              </w:rPr>
              <w:t xml:space="preserve"> was listed in requirements but </w:t>
            </w:r>
            <w:r>
              <w:rPr>
                <w:b/>
                <w:sz w:val="19"/>
              </w:rPr>
              <w:t>not installed</w:t>
            </w:r>
            <w:r>
              <w:rPr>
                <w:sz w:val="19"/>
              </w:rPr>
              <w:t xml:space="preserve"> in the active interpreter.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Every indicator function caught the ImportError and returned </w:t>
            </w:r>
            <w:r>
              <w:rPr>
                <w:rFonts w:ascii="Consolas" w:hAnsi="Consolas"/>
                <w:color w:val="2E5C8A"/>
                <w:sz w:val="19"/>
              </w:rPr>
              <w:t>None</w:t>
            </w:r>
            <w:r>
              <w:rPr>
                <w:sz w:val="19"/>
              </w:rPr>
              <w:t>, so the technical agent received 'unavailable' for RSI, MACD and every moving average — while the pipeline ran normally and reported no error.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Installed and verified; the environment check now tests the import explicitly.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MACD columns read by position.</w:t>
            </w:r>
            <w:r>
              <w:rPr>
                <w:sz w:val="19"/>
              </w:rPr>
              <w:t xml:space="preserve"> pandas-ta returns [MACD, MACDh, MACDs], not [MACD, MACDs, MACDh].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signal line was being read as the histogram. The bullish/bearish bias was computed from the wrong series and was wrong for most inputs — verified: one test case flipped from 'Bullish' to 'Bearish' once fixed.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Columns are now matched by </w:t>
            </w:r>
            <w:r>
              <w:rPr>
                <w:b/>
                <w:sz w:val="19"/>
              </w:rPr>
              <w:t>name prefix</w:t>
            </w:r>
            <w:r>
              <w:rPr>
                <w:sz w:val="19"/>
              </w:rPr>
              <w:t>, never by position.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Bollinger bands read by position.</w:t>
            </w:r>
            <w:r>
              <w:rPr>
                <w:sz w:val="19"/>
              </w:rPr>
              <w:t xml:space="preserve"> pandas-ta returns [BBL, BBM, BBU] — lower, middle, upper.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Upper and lower bands were swapped, so the model was shown an upper band *below* the middle band.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Same name-based fix; a test now asserts lower &lt; middle &lt; upper.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rupee sign (U+20B9) crashed the CLI on a default Windows console (cp1252).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UnicodeEncodeError</w:t>
            </w:r>
            <w:r>
              <w:rPr>
                <w:sz w:val="19"/>
              </w:rPr>
              <w:t xml:space="preserve"> killed any run that printed a price — which is every run. It would have failed on exactly the machine the demo runs on.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CLI entry points reconfigure stdout/stderr to UTF-8.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cost tally was mutated by four parallel threads without a lock.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calls += 1</w:t>
            </w:r>
            <w:r>
              <w:rPr>
                <w:sz w:val="19"/>
              </w:rPr>
              <w:t xml:space="preserve"> is a load-add-store, not atomic. A lost update would under-report the token cost of exactly the configuration whose cost the research question is about.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Added a lock around the shared tally.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tests/test_env.py</w:t>
            </w:r>
            <w:r>
              <w:rPr>
                <w:sz w:val="19"/>
              </w:rPr>
              <w:t xml:space="preserve"> called </w:t>
            </w:r>
            <w:r>
              <w:rPr>
                <w:rFonts w:ascii="Consolas" w:hAnsi="Consolas"/>
                <w:color w:val="2E5C8A"/>
                <w:sz w:val="19"/>
              </w:rPr>
              <w:t>sys.exit()</w:t>
            </w:r>
            <w:r>
              <w:rPr>
                <w:sz w:val="19"/>
              </w:rPr>
              <w:t xml:space="preserve"> at import time.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pytest aborted the </w:t>
            </w:r>
            <w:r>
              <w:rPr>
                <w:b/>
                <w:sz w:val="19"/>
              </w:rPr>
              <w:t>entire</w:t>
            </w:r>
            <w:r>
              <w:rPr>
                <w:sz w:val="19"/>
              </w:rPr>
              <w:t xml:space="preserve"> collection run with an INTERNALERROR, taking every other test with it.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Restructured so it works both as a script and as a collected test.</w:t>
            </w:r>
          </w:p>
        </w:tc>
      </w:tr>
    </w:tbl>
    <w:p/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8. Testing</w:t>
      </w:r>
    </w:p>
    <w:p>
      <w:r>
        <w:rPr>
          <w:b/>
        </w:rPr>
        <w:t>79 tests, all passing, none requiring an API key or a network connection.</w:t>
      </w:r>
      <w:r>
        <w:t xml:space="preserve"> A test that needs the internet to tell you your code is correct is not a test, it is a monitor.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7632"/>
            <w:shd w:val="clear" w:fill="1F3864"/>
          </w:tcPr>
          <w:p>
            <w:pPr>
              <w:shd w:val="clear" w:fill="1F3864"/>
            </w:pPr>
            <w:r/>
            <w:r>
              <w:rPr>
                <w:b/>
                <w:color w:val="FFFFFF"/>
                <w:sz w:val="19"/>
              </w:rPr>
              <w:t>What it proves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test_leakage.py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forecasting side of the system never imports the realised-outcomes module; the evidence pack never contains a row after </w:t>
            </w:r>
            <w:r>
              <w:rPr>
                <w:rFonts w:ascii="Consolas" w:hAnsi="Consolas"/>
                <w:color w:val="2E5C8A"/>
                <w:sz w:val="19"/>
              </w:rPr>
              <w:t>as_of</w:t>
            </w:r>
            <w:r>
              <w:rPr>
                <w:sz w:val="19"/>
              </w:rPr>
              <w:t>; the SEBI rule hides unfiled quarters; every macro series has a publication lag; the archival news path cannot reach the live RSS path; every system prompt states the cutoff.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test_reconciliation.py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gate catches an injected fake indicator value, a crore magnitude error, a fabricated citation, a fabricated metric, an inverted range and an impossible price move — and does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flag an honest report.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test_pipeline.py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graph compiles with all seven nodes; specialists have distinct state keys; accumulated lists carry reducers; the full run makes exactly 9 model calls; the debate produces 4 turns in the right order; </w:t>
            </w:r>
            <w:r>
              <w:rPr>
                <w:rFonts w:ascii="Consolas" w:hAnsi="Consolas"/>
                <w:color w:val="2E5C8A"/>
                <w:sz w:val="19"/>
              </w:rPr>
              <w:t>--no-debate</w:t>
            </w:r>
            <w:r>
              <w:rPr>
                <w:sz w:val="19"/>
              </w:rPr>
              <w:t xml:space="preserve"> removes exactly 4 calls; each leave-one-out drops its specialist and still produces a scoreable forecast; the output matches the contract the harness scores.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2E5C8A"/>
                <w:sz w:val="19"/>
              </w:rPr>
              <w:t>test_env.py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Required packages import (including the </w:t>
            </w:r>
            <w:r>
              <w:rPr>
                <w:rFonts w:ascii="Consolas" w:hAnsi="Consolas"/>
                <w:color w:val="2E5C8A"/>
                <w:sz w:val="19"/>
              </w:rPr>
              <w:t>pandas_ta_classic</w:t>
            </w:r>
            <w:r>
              <w:rPr>
                <w:sz w:val="19"/>
              </w:rPr>
              <w:t xml:space="preserve"> name); config loads; cache opens; every phase's files are present.</w:t>
            </w:r>
          </w:p>
        </w:tc>
      </w:tr>
    </w:tbl>
    <w:p/>
    <w:p>
      <w:r>
        <w:t xml:space="preserve">The pipeline tests run against a </w:t>
      </w:r>
      <w:r>
        <w:rPr>
          <w:b/>
        </w:rPr>
        <w:t>stubbed model</w:t>
      </w:r>
      <w:r>
        <w:t xml:space="preserve"> that returns schema-valid canned reports. That is not for speed — it is so that claims about the *graph* do not depend on what a model happened to say. A failure there is always a wiring failure. It also means the entire Phase 3 architecture is verifiable before any API key exists.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9. How to run it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8"/>
        </w:rPr>
        <w:t># 1. environment check</w:t>
        <w:br/>
        <w:t>python -m tests.test_env</w:t>
        <w:br/>
        <w:t>python -m pytest tests/ -q               # 79 tests, no API key needed</w:t>
        <w:br/>
        <w:br/>
        <w:t># 2. one forecast, evidence pack only (no model calls)</w:t>
        <w:br/>
        <w:t>python -m forecast RELIANCE.NS --as-of 2025-06-02 --data-only</w:t>
        <w:br/>
        <w:br/>
        <w:t># 3. the India boundary, enforced by code</w:t>
        <w:br/>
        <w:t>python -m forecast AAPL --as-of 2025-06-02      # rejected, exit code 2</w:t>
        <w:br/>
        <w:br/>
        <w:t># 4. full multi-agent forecast  (needs GEMINI_API_KEY)</w:t>
        <w:br/>
        <w:t>python -m forecast TCS.NS --as-of 2025-06-02 --system multiagent</w:t>
        <w:br/>
        <w:t>python -m forecast TCS.NS --as-of 2025-06-02 --system multiagent --no-debate</w:t>
        <w:br/>
        <w:t>python -m forecast TCS.NS --as-of 2025-06-02 --system multiagent --drop sentiment</w:t>
        <w:br/>
        <w:br/>
        <w:t># 5. evaluation</w:t>
        <w:br/>
        <w:t>python -m evaluate run --system naive-momentum   # runs today, no key</w:t>
        <w:br/>
        <w:t>python -m evaluate recall-probe --start 2024-01-01 --end 2026-01-01</w:t>
        <w:br/>
        <w:t>python -m evaluate ablate --repeats 3            # Phase 4, one command</w:t>
        <w:br/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10. Current status and what remains</w:t>
      </w:r>
    </w:p>
    <w:p>
      <w:pPr>
        <w:spacing w:before="200" w:after="80"/>
      </w:pPr>
      <w:r>
        <w:rPr>
          <w:b/>
          <w:color w:val="2E5C8A"/>
          <w:sz w:val="25"/>
        </w:rPr>
        <w:t>Runs today, with no API key</w:t>
      </w:r>
    </w:p>
    <w:p>
      <w:pPr>
        <w:pStyle w:val="ListBullet"/>
        <w:spacing w:after="60"/>
      </w:pPr>
      <w:r>
        <w:t>The complete data layer: prices, NSE calendar, indicators, fundamentals, news, macro.</w:t>
      </w:r>
    </w:p>
    <w:p>
      <w:pPr>
        <w:pStyle w:val="ListBullet"/>
        <w:spacing w:after="60"/>
      </w:pPr>
      <w:r>
        <w:t>The frozen, point-in-time test set (20 cases, verified against the bhavcopy).</w:t>
      </w:r>
    </w:p>
    <w:p>
      <w:pPr>
        <w:pStyle w:val="ListBullet"/>
        <w:spacing w:after="60"/>
      </w:pPr>
      <w:r>
        <w:t>Both naive baselines, fully scored, with results committed.</w:t>
      </w:r>
    </w:p>
    <w:p>
      <w:pPr>
        <w:pStyle w:val="ListBullet"/>
        <w:spacing w:after="60"/>
      </w:pPr>
      <w:r>
        <w:t>The reconciliation gate and the entire agent graph, verified end to end.</w:t>
      </w:r>
    </w:p>
    <w:p>
      <w:pPr>
        <w:pStyle w:val="ListBullet"/>
        <w:spacing w:after="60"/>
      </w:pPr>
      <w:r>
        <w:t>All 79 tests.</w:t>
      </w:r>
    </w:p>
    <w:p>
      <w:pPr>
        <w:pStyle w:val="ListBullet"/>
        <w:spacing w:after="60"/>
      </w:pPr>
      <w:r>
        <w:t>The FastAPI backend and the Streamlit dashboard, including the evidence pack, the chart and the leakage controls.</w:t>
      </w:r>
    </w:p>
    <w:p>
      <w:pPr>
        <w:spacing w:before="200" w:after="80"/>
      </w:pPr>
      <w:r>
        <w:rPr>
          <w:b/>
          <w:color w:val="2E5C8A"/>
          <w:sz w:val="25"/>
        </w:rPr>
        <w:t>Waiting on the Gemini API key</w:t>
      </w:r>
    </w:p>
    <w:p>
      <w:pPr>
        <w:pStyle w:val="ListBullet"/>
        <w:spacing w:after="60"/>
      </w:pPr>
      <w:r>
        <w:rPr>
          <w:b/>
        </w:rPr>
        <w:t>The recall probe</w:t>
      </w:r>
      <w:r>
        <w:t xml:space="preserve"> — locating the training cutoff empirically. Until it runs, the test window's post-cutoff status is argued rather than demonstrated, and it is a figure the report needs.</w:t>
      </w:r>
    </w:p>
    <w:p>
      <w:pPr>
        <w:pStyle w:val="ListBullet"/>
        <w:spacing w:after="60"/>
      </w:pPr>
      <w:r>
        <w:rPr>
          <w:b/>
        </w:rPr>
        <w:t>Scored runs</w:t>
      </w:r>
      <w:r>
        <w:t xml:space="preserve"> for the single-LLM baseline and every multi-agent configuration.</w:t>
      </w:r>
    </w:p>
    <w:p>
      <w:pPr>
        <w:pStyle w:val="ListBullet"/>
        <w:spacing w:after="60"/>
      </w:pPr>
      <w:r>
        <w:rPr>
          <w:b/>
        </w:rPr>
        <w:t>The Phase 4 ablation tables</w:t>
      </w:r>
      <w:r>
        <w:t xml:space="preserve"> — the tooling is complete and the command is one line.</w:t>
      </w:r>
    </w:p>
    <w:p>
      <w:pPr>
        <w:spacing w:before="120" w:after="160"/>
        <w:ind w:left="216"/>
        <w:shd w:val="clear" w:fill="E8F0FA"/>
      </w:pPr>
      <w:r>
        <w:t xml:space="preserve">Nothing about the architecture changes when the key arrives. Add </w:t>
      </w:r>
      <w:r>
        <w:rPr>
          <w:rFonts w:ascii="Consolas" w:hAnsi="Consolas"/>
          <w:color w:val="2E5C8A"/>
          <w:sz w:val="19"/>
        </w:rPr>
        <w:t>GEMINI_API_KEY</w:t>
      </w:r>
      <w:r>
        <w:t xml:space="preserve"> to </w:t>
      </w:r>
      <w:r>
        <w:rPr>
          <w:rFonts w:ascii="Consolas" w:hAnsi="Consolas"/>
          <w:color w:val="2E5C8A"/>
          <w:sz w:val="19"/>
        </w:rPr>
        <w:t>.env</w:t>
      </w:r>
      <w:r>
        <w:t xml:space="preserve"> and the same commands run for real.</w:t>
      </w:r>
    </w:p>
    <w:p>
      <w:pPr>
        <w:spacing w:before="200" w:after="80"/>
      </w:pPr>
      <w:r>
        <w:rPr>
          <w:b/>
          <w:color w:val="2E5C8A"/>
          <w:sz w:val="25"/>
        </w:rPr>
        <w:t>Phase 5 deliverables, all built</w:t>
      </w:r>
    </w:p>
    <w:p>
      <w:pPr>
        <w:pStyle w:val="ListBullet"/>
        <w:spacing w:after="60"/>
      </w:pPr>
      <w:r>
        <w:rPr>
          <w:b/>
        </w:rPr>
        <w:t>FastAPI backend</w:t>
      </w:r>
      <w:r>
        <w:t xml:space="preserve"> with a WebSocket that streams each agent stage as it completes, plus REST endpoints for prices, the evidence pack and a forecast.</w:t>
      </w:r>
    </w:p>
    <w:p>
      <w:pPr>
        <w:pStyle w:val="ListBullet"/>
        <w:spacing w:after="60"/>
      </w:pPr>
      <w:r>
        <w:rPr>
          <w:b/>
        </w:rPr>
        <w:t>Streamlit dashboard</w:t>
      </w:r>
      <w:r>
        <w:t xml:space="preserve"> — evidence pack, candlestick chart, live agent log, Bull-vs-Bear split view, forecast card and the reconciliation gate.</w:t>
      </w:r>
    </w:p>
    <w:p>
      <w:pPr>
        <w:pStyle w:val="ListBullet"/>
        <w:spacing w:after="60"/>
      </w:pPr>
      <w:r>
        <w:rPr>
          <w:b/>
        </w:rPr>
        <w:t>Thesis report</w:t>
      </w:r>
      <w:r>
        <w:t xml:space="preserve"> (</w:t>
      </w:r>
      <w:r>
        <w:rPr>
          <w:rFonts w:ascii="Consolas" w:hAnsi="Consolas"/>
          <w:color w:val="2E5C8A"/>
          <w:sz w:val="19"/>
        </w:rPr>
        <w:t>docs/BTP_Thesis_Report.docx</w:t>
      </w:r>
      <w:r>
        <w:t>), generated from the committed results so its tables cannot drift from the evidence.</w:t>
      </w:r>
    </w:p>
    <w:p>
      <w:pPr>
        <w:pStyle w:val="ListBullet"/>
        <w:spacing w:after="60"/>
      </w:pPr>
      <w:r>
        <w:rPr>
          <w:b/>
        </w:rPr>
        <w:t>Defence slides</w:t>
      </w:r>
      <w:r>
        <w:t xml:space="preserve"> (</w:t>
      </w:r>
      <w:r>
        <w:rPr>
          <w:rFonts w:ascii="Consolas" w:hAnsi="Consolas"/>
          <w:color w:val="2E5C8A"/>
          <w:sz w:val="19"/>
        </w:rPr>
        <w:t>docs/BTP_Defence_Slides.pptx</w:t>
      </w:r>
      <w:r>
        <w:t>) — 20 slides with speaker notes.</w:t>
      </w:r>
    </w:p>
    <w:p>
      <w:pPr>
        <w:pStyle w:val="ListBullet"/>
        <w:spacing w:after="60"/>
      </w:pPr>
      <w:r>
        <w:rPr>
          <w:b/>
        </w:rPr>
        <w:t>Demo cache verifier</w:t>
      </w:r>
      <w:r>
        <w:t xml:space="preserve"> (</w:t>
      </w:r>
      <w:r>
        <w:rPr>
          <w:rFonts w:ascii="Consolas" w:hAnsi="Consolas"/>
          <w:color w:val="2E5C8A"/>
          <w:sz w:val="19"/>
        </w:rPr>
        <w:t>python -m scripts.warm_demo</w:t>
      </w:r>
      <w:r>
        <w:t>) so no live API call can decide whether the defence succeeds.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11. Honest limitations</w:t>
      </w:r>
    </w:p>
    <w:p>
      <w:pPr>
        <w:pStyle w:val="ListBullet"/>
        <w:spacing w:after="60"/>
      </w:pPr>
      <w:r>
        <w:rPr>
          <w:b/>
        </w:rPr>
        <w:t>Restatement leakage remains.</w:t>
      </w:r>
      <w:r>
        <w:t xml:space="preserve"> The 45-day SEBI rule fixes *timing* leakage. yfinance still serves restated financials, so if a company later restated a figure we see the restated version, not what the market saw. True point-in-time fundamentals are an institutional product and are out of scope for a free-data project. Saying so plainly is worth more than pretending otherwise.</w:t>
      </w:r>
    </w:p>
    <w:p>
      <w:pPr>
        <w:pStyle w:val="ListBullet"/>
        <w:spacing w:after="60"/>
      </w:pPr>
      <w:r>
        <w:rPr>
          <w:b/>
        </w:rPr>
        <w:t>India CPI is unavailable</w:t>
      </w:r>
      <w:r>
        <w:t xml:space="preserve"> from the free source (the FRED series is stale). It is documented as a limitation, not estimated or fabricated.</w:t>
      </w:r>
    </w:p>
    <w:p>
      <w:pPr>
        <w:pStyle w:val="ListBullet"/>
        <w:spacing w:after="60"/>
      </w:pPr>
      <w:r>
        <w:rPr>
          <w:b/>
        </w:rPr>
        <w:t>The RBI repo rate comes from a hardcoded decision calendar.</w:t>
      </w:r>
      <w:r>
        <w:t xml:space="preserve"> It is public and trivially auditable, and any date beyond the verified window is flagged in the output rather than quietly served.</w:t>
      </w:r>
    </w:p>
    <w:p>
      <w:pPr>
        <w:pStyle w:val="ListBullet"/>
        <w:spacing w:after="60"/>
      </w:pPr>
      <w:r>
        <w:rPr>
          <w:b/>
        </w:rPr>
        <w:t>GDELT provides headline metadata and tone, not full article text.</w:t>
      </w:r>
      <w:r>
        <w:t xml:space="preserve"> Adequate for sentiment; stated as a limitation. Coverage of smaller Indian outlets is uneven.</w:t>
      </w:r>
    </w:p>
    <w:p>
      <w:pPr>
        <w:pStyle w:val="ListBullet"/>
        <w:spacing w:after="60"/>
      </w:pPr>
      <w:r>
        <w:rPr>
          <w:b/>
        </w:rPr>
        <w:t>Bhavcopy prices are unadjusted</w:t>
      </w:r>
      <w:r>
        <w:t xml:space="preserve"> for splits and bonuses while yfinance prices are adjusted. Each frame records its source and the two are never mixed within one series.</w:t>
      </w:r>
    </w:p>
    <w:p>
      <w:pPr>
        <w:pStyle w:val="ListBullet"/>
        <w:spacing w:after="60"/>
      </w:pPr>
      <w:r>
        <w:rPr>
          <w:b/>
        </w:rPr>
        <w:t>The test set is small</w:t>
      </w:r>
      <w:r>
        <w:t xml:space="preserve"> (20 cases). Accuracy differences of a few points will sit inside sampling noise, which is exactly why repeat runs and standard deviations are reported alongside every headline number.</w:t>
      </w:r>
    </w:p>
    <w:p/>
    <w:p>
      <w:pPr>
        <w:pBdr>
          <w:top w:val="single" w:sz="8" w:space="2" w:color="1F3864"/>
        </w:pBdr>
        <w:spacing w:before="200" w:after="160"/>
      </w:pPr>
      <w:r>
        <w:rPr>
          <w:b/>
          <w:color w:val="1F3864"/>
          <w:sz w:val="32"/>
        </w:rPr>
        <w:t>12. References</w:t>
      </w:r>
    </w:p>
    <w:p>
      <w:pPr>
        <w:pStyle w:val="ListBullet"/>
        <w:spacing w:after="60"/>
      </w:pPr>
      <w:r>
        <w:t xml:space="preserve">TradingAgents: Multi-Agents LLM Financial Trading Framework — </w:t>
      </w:r>
      <w:r>
        <w:rPr>
          <w:b/>
        </w:rPr>
        <w:t>arXiv:2412.20138</w:t>
      </w:r>
    </w:p>
    <w:p>
      <w:pPr>
        <w:pStyle w:val="ListBullet"/>
        <w:spacing w:after="60"/>
      </w:pPr>
      <w:r>
        <w:t xml:space="preserve">Detecting Lookahead Bias in LLM Forecasts — </w:t>
      </w:r>
      <w:r>
        <w:rPr>
          <w:b/>
        </w:rPr>
        <w:t>arXiv:2512.23847</w:t>
      </w:r>
    </w:p>
    <w:p>
      <w:pPr>
        <w:pStyle w:val="ListBullet"/>
        <w:spacing w:after="60"/>
      </w:pPr>
      <w:r>
        <w:t xml:space="preserve">Mitigating Look-Ahead Bias in Financial Backtesting with LLMs — </w:t>
      </w:r>
      <w:r>
        <w:rPr>
          <w:b/>
        </w:rPr>
        <w:t>arXiv:2605.24564</w:t>
      </w:r>
    </w:p>
    <w:p>
      <w:pPr>
        <w:pStyle w:val="ListBullet"/>
        <w:spacing w:after="60"/>
      </w:pPr>
      <w:r>
        <w:t>SEBI LODR Regulation 33 — quarterly results within 45 days, annual within 60</w:t>
      </w:r>
    </w:p>
    <w:p>
      <w:pPr>
        <w:pStyle w:val="ListBullet"/>
        <w:spacing w:after="60"/>
      </w:pPr>
      <w:r>
        <w:t xml:space="preserve">NSE daily bhavcopy archive — </w:t>
      </w:r>
      <w:r>
        <w:rPr>
          <w:rFonts w:ascii="Consolas" w:hAnsi="Consolas"/>
          <w:color w:val="2E5C8A"/>
          <w:sz w:val="19"/>
        </w:rPr>
        <w:t>nsearchives.nseindia.com/content/cm/</w:t>
      </w:r>
      <w:r>
        <w:t xml:space="preserve"> (UDiFF CSV, keyless, browser User-Agent required)</w:t>
      </w:r>
    </w:p>
    <w:p>
      <w:pPr>
        <w:pStyle w:val="ListBullet"/>
        <w:spacing w:after="60"/>
      </w:pPr>
      <w:r>
        <w:t>RBI Database on Indian Economy (DBIE) — repo rate, CPI, G-sec yields</w:t>
      </w:r>
    </w:p>
    <w:p>
      <w:pPr>
        <w:pStyle w:val="ListBullet"/>
        <w:spacing w:after="60"/>
      </w:pPr>
      <w:r>
        <w:t xml:space="preserve">FRED India series — </w:t>
      </w:r>
      <w:r>
        <w:rPr>
          <w:rFonts w:ascii="Consolas" w:hAnsi="Consolas"/>
          <w:color w:val="2E5C8A"/>
          <w:sz w:val="19"/>
        </w:rPr>
        <w:t>DEXINUS</w:t>
      </w:r>
      <w:r>
        <w:t xml:space="preserve">, </w:t>
      </w:r>
      <w:r>
        <w:rPr>
          <w:rFonts w:ascii="Consolas" w:hAnsi="Consolas"/>
          <w:color w:val="2E5C8A"/>
          <w:sz w:val="19"/>
        </w:rPr>
        <w:t>INDIRLTLT01STM</w:t>
      </w:r>
      <w:r>
        <w:t xml:space="preserve">, </w:t>
      </w:r>
      <w:r>
        <w:rPr>
          <w:rFonts w:ascii="Consolas" w:hAnsi="Consolas"/>
          <w:color w:val="2E5C8A"/>
          <w:sz w:val="19"/>
        </w:rPr>
        <w:t>IRSTCI01INM156N</w:t>
      </w:r>
    </w:p>
    <w:p>
      <w:pPr>
        <w:pStyle w:val="ListBullet"/>
        <w:spacing w:after="60"/>
      </w:pPr>
      <w:r>
        <w:t>The GDELT Project — gdeltproject.org</w:t>
      </w:r>
    </w:p>
    <w:p>
      <w:pPr>
        <w:pStyle w:val="ListBullet"/>
        <w:spacing w:after="60"/>
      </w:pPr>
      <w:r>
        <w:t xml:space="preserve">LangGraph documentation — </w:t>
      </w:r>
      <w:r>
        <w:rPr>
          <w:rFonts w:ascii="Consolas" w:hAnsi="Consolas"/>
          <w:color w:val="2E5C8A"/>
          <w:sz w:val="19"/>
        </w:rPr>
        <w:t>INVALID_CONCURRENT_GRAPH_UPDATE</w:t>
      </w:r>
      <w:r>
        <w:t>, state reducers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