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Calibri" w:hAnsi="Calibri" w:eastAsia="Calibri"/>
          <w:b/>
          <w:i w:val="0"/>
          <w:color w:val="0A2744"/>
          <w:sz w:val="24"/>
        </w:rPr>
        <w:t>FUTURE ONWARD OPC</w:t>
      </w:r>
    </w:p>
    <w:p>
      <w:pPr>
        <w:spacing w:after="240" w:before="0" w:line="276" w:lineRule="auto"/>
        <w:jc w:val="center"/>
      </w:pPr>
      <w:r>
        <w:rPr>
          <w:rFonts w:ascii="Calibri" w:hAnsi="Calibri" w:eastAsia="Calibri"/>
          <w:b w:val="0"/>
          <w:i w:val="0"/>
          <w:color w:val="505A64"/>
          <w:sz w:val="20"/>
        </w:rPr>
        <w:t>Registration No. C-193816</w:t>
      </w:r>
    </w:p>
    <w:p>
      <w:pPr>
        <w:spacing w:after="120" w:before="0" w:line="276" w:lineRule="auto"/>
        <w:jc w:val="center"/>
      </w:pPr>
      <w:r>
        <w:rPr>
          <w:rFonts w:ascii="Calibri" w:hAnsi="Calibri" w:eastAsia="Calibri"/>
          <w:b/>
          <w:i w:val="0"/>
          <w:color w:val="0A2744"/>
          <w:sz w:val="40"/>
        </w:rPr>
        <w:t>PRESENTER SCRIPT (UPDATED)</w:t>
      </w:r>
    </w:p>
    <w:p>
      <w:pPr>
        <w:spacing w:after="200" w:before="0" w:line="276" w:lineRule="auto"/>
        <w:jc w:val="center"/>
      </w:pPr>
      <w:r>
        <w:rPr>
          <w:rFonts w:ascii="Calibri" w:hAnsi="Calibri" w:eastAsia="Calibri"/>
          <w:b w:val="0"/>
          <w:i w:val="0"/>
          <w:color w:val="0A2744"/>
          <w:sz w:val="22"/>
        </w:rPr>
        <w:t>Expression of Interest — Integrated Electric Buses, Huawei Charging &amp;</w:t>
        <w:br/>
        <w:t>Depot Infrastructure · BSEC clarification points (no pricing)</w:t>
      </w:r>
    </w:p>
    <w:p>
      <w:pPr>
        <w:spacing w:after="40" w:before="0" w:line="276" w:lineRule="auto"/>
        <w:jc w:val="center"/>
      </w:pPr>
      <w:r>
        <w:rPr>
          <w:rFonts w:ascii="Calibri" w:hAnsi="Calibri" w:eastAsia="Calibri"/>
          <w:b/>
          <w:i w:val="0"/>
          <w:sz w:val="22"/>
        </w:rPr>
        <w:t>Presented to: Pragoti Industries Limited</w:t>
      </w:r>
    </w:p>
    <w:p>
      <w:pPr>
        <w:spacing w:after="200" w:before="0" w:line="276" w:lineRule="auto"/>
        <w:jc w:val="center"/>
      </w:pPr>
      <w:r>
        <w:rPr>
          <w:rFonts w:ascii="Calibri" w:hAnsi="Calibri" w:eastAsia="Calibri"/>
          <w:b w:val="0"/>
          <w:i w:val="0"/>
          <w:sz w:val="20"/>
        </w:rPr>
        <w:t>In the presence of: BRTC · Ministry of Industries · Chairman, BSEC</w:t>
      </w:r>
    </w:p>
    <w:p>
      <w:pPr>
        <w:spacing w:after="120" w:before="0" w:line="276" w:lineRule="auto"/>
        <w:jc w:val="center"/>
      </w:pPr>
      <w:r>
        <w:rPr>
          <w:rFonts w:ascii="Calibri" w:hAnsi="Calibri" w:eastAsia="Calibri"/>
          <w:b w:val="0"/>
          <w:i/>
          <w:color w:val="505A64"/>
          <w:sz w:val="18"/>
        </w:rPr>
        <w:t>Companion deck: index.html (19 slides)  ·  Spoken length ≈ 23–28 minutes (+ videos &amp; Q&amp;A)</w:t>
      </w:r>
    </w:p>
    <w:p>
      <w:pPr>
        <w:spacing w:before="80" w:after="160"/>
        <w:pBdr>
          <w:bottom w:val="single" w:sz="12" w:space="1" w:color="1A4A6B"/>
        </w:pBdr>
      </w:pPr>
    </w:p>
    <w:p>
      <w:pPr>
        <w:spacing w:after="80" w:before="0" w:line="276" w:lineRule="auto"/>
      </w:pPr>
      <w:r>
        <w:rPr>
          <w:rFonts w:ascii="Calibri" w:hAnsi="Calibri" w:eastAsia="Calibri"/>
          <w:b/>
          <w:i w:val="0"/>
          <w:color w:val="0A2744"/>
          <w:sz w:val="26"/>
        </w:rPr>
        <w:t>How to use this script</w:t>
      </w:r>
    </w:p>
    <w:p>
      <w:pPr>
        <w:spacing w:after="200" w:before="0" w:line="276" w:lineRule="auto"/>
      </w:pPr>
      <w:r>
        <w:rPr>
          <w:rFonts w:ascii="Calibri" w:hAnsi="Calibri" w:eastAsia="Calibri"/>
          <w:b w:val="0"/>
          <w:i w:val="0"/>
          <w:sz w:val="20"/>
        </w:rPr>
        <w:t>Aligned to the updated 19-slide deck. [Bracketed lines] are stage directions. Play KINWIN video on Slide 7 and Huawei YouTube on Slide 14 when connectivity allows. Do not quote vehicle prices, FOB figures, payment percentages, or FX terms in this presentation. If asked about price, defer politely to a subsequent commercial discussion after technical baseline. On KD/investment, speak with conviction: BSEC specifically asked this.</w:t>
      </w:r>
    </w:p>
    <w:p>
      <w:pPr>
        <w:spacing w:after="80" w:before="0" w:line="276" w:lineRule="auto"/>
      </w:pPr>
      <w:r>
        <w:rPr>
          <w:rFonts w:ascii="Calibri" w:hAnsi="Calibri" w:eastAsia="Calibri"/>
          <w:b/>
          <w:i w:val="0"/>
          <w:color w:val="0A2744"/>
          <w:sz w:val="24"/>
        </w:rPr>
        <w:t>Opening (before Slide 1)</w:t>
      </w:r>
    </w:p>
    <w:p>
      <w:pPr>
        <w:spacing w:after="80" w:before="0" w:line="276" w:lineRule="auto"/>
      </w:pPr>
      <w:r>
        <w:rPr>
          <w:rFonts w:ascii="Calibri" w:hAnsi="Calibri" w:eastAsia="Calibri"/>
          <w:b w:val="0"/>
          <w:i/>
          <w:color w:val="505A64"/>
          <w:sz w:val="20"/>
        </w:rPr>
        <w:t>[Acknowledge the chair and dignitaries. Begin calmly.]</w:t>
      </w:r>
    </w:p>
    <w:p>
      <w:pPr>
        <w:spacing w:after="120" w:before="0" w:line="276" w:lineRule="auto"/>
      </w:pPr>
      <w:r>
        <w:rPr>
          <w:rFonts w:ascii="Calibri" w:hAnsi="Calibri" w:eastAsia="Calibri"/>
          <w:b w:val="0"/>
          <w:i w:val="0"/>
          <w:sz w:val="22"/>
        </w:rPr>
        <w:t>Bismillahir Rahmanir Rahim. Assalamu alaikum, and good [morning / afternoon].</w:t>
      </w:r>
    </w:p>
    <w:p>
      <w:pPr>
        <w:spacing w:after="120" w:before="0" w:line="276" w:lineRule="auto"/>
      </w:pPr>
      <w:r>
        <w:rPr>
          <w:rFonts w:ascii="Calibri" w:hAnsi="Calibri" w:eastAsia="Calibri"/>
          <w:b w:val="0"/>
          <w:i w:val="0"/>
          <w:sz w:val="22"/>
        </w:rPr>
        <w:t>Honourable Managing Director of Pragoti Industries Limited; distinguished representatives of BRTC; respected officials of the Ministry of Industries; Honourable Chairman of BSEC; and esteemed colleagues —</w:t>
      </w:r>
    </w:p>
    <w:p>
      <w:pPr>
        <w:spacing w:after="200" w:before="0" w:line="276" w:lineRule="auto"/>
      </w:pPr>
      <w:r>
        <w:rPr>
          <w:rFonts w:ascii="Calibri" w:hAnsi="Calibri" w:eastAsia="Calibri"/>
          <w:b w:val="0"/>
          <w:i w:val="0"/>
          <w:sz w:val="22"/>
        </w:rPr>
        <w:t>On behalf of Future Onward OPC and our technology partners, thank you for this opportunity. I am Shaikh Firdous Mahmood, Director of Future Onward OPC. Today I present our Expression of Interest for an integrated electric bus solution for BRTC through Pragoti — updated with warranty, product strengths, including warranty and aftersales, KINWIN technical strengths, model specifications, partner media, and our long-term interest in KD and local assembly investment. Commercial pricing is reserved for detailed discussion after technical alignment.</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1 — Title</w:t>
      </w:r>
      <w:r>
        <w:rPr>
          <w:rFonts w:ascii="Calibri" w:hAnsi="Calibri" w:eastAsia="Calibri"/>
          <w:b w:val="0"/>
          <w:i/>
          <w:color w:val="0D7882"/>
          <w:sz w:val="20"/>
        </w:rPr>
        <w:t xml:space="preserve">   ≈ 1 min</w:t>
      </w:r>
    </w:p>
    <w:p>
      <w:pPr>
        <w:spacing w:after="100" w:before="0" w:line="276" w:lineRule="auto"/>
      </w:pPr>
      <w:r>
        <w:rPr>
          <w:rFonts w:ascii="Calibri" w:hAnsi="Calibri" w:eastAsia="Calibri"/>
          <w:b w:val="0"/>
          <w:i/>
          <w:color w:val="505A64"/>
          <w:sz w:val="20"/>
        </w:rPr>
        <w:t>[Title slide visible.]</w:t>
      </w:r>
    </w:p>
    <w:p>
      <w:pPr>
        <w:spacing w:after="140" w:before="0" w:line="276" w:lineRule="auto"/>
      </w:pPr>
      <w:r>
        <w:rPr>
          <w:rFonts w:ascii="Calibri" w:hAnsi="Calibri" w:eastAsia="Calibri"/>
          <w:b w:val="0"/>
          <w:i w:val="0"/>
          <w:sz w:val="22"/>
        </w:rPr>
        <w:t>The subject is an integrated electric public-transport ecosystem: KINWIN buses, Huawei charging, and WIETC depot works — engineered as one operating system.</w:t>
      </w:r>
    </w:p>
    <w:p>
      <w:pPr>
        <w:spacing w:after="140" w:before="0" w:line="276" w:lineRule="auto"/>
      </w:pPr>
      <w:r>
        <w:rPr>
          <w:rFonts w:ascii="Calibri" w:hAnsi="Calibri" w:eastAsia="Calibri"/>
          <w:b w:val="0"/>
          <w:i w:val="0"/>
          <w:sz w:val="22"/>
        </w:rPr>
        <w:t>This updated presentation places on record the clarifications BSEC sought on warranty and aftersales, product strengths and application cases, detailed model specifications with photographs, media from KINWIN and Huawei, and — importantly — our interest in a long-term KD and assembly investment pathway with Pragoti.</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2 — Agenda</w:t>
      </w:r>
      <w:r>
        <w:rPr>
          <w:rFonts w:ascii="Calibri" w:hAnsi="Calibri" w:eastAsia="Calibri"/>
          <w:b w:val="0"/>
          <w:i/>
          <w:color w:val="0D7882"/>
          <w:sz w:val="20"/>
        </w:rPr>
        <w:t xml:space="preserve">   ≈ 45 sec</w:t>
      </w:r>
    </w:p>
    <w:p>
      <w:pPr>
        <w:spacing w:after="140" w:before="0" w:line="276" w:lineRule="auto"/>
      </w:pPr>
      <w:r>
        <w:rPr>
          <w:rFonts w:ascii="Calibri" w:hAnsi="Calibri" w:eastAsia="Calibri"/>
          <w:b w:val="0"/>
          <w:i w:val="0"/>
          <w:sz w:val="22"/>
        </w:rPr>
        <w:t>We will move from context and partners, to KINWIN strengths and video, to the HTK6121 and HTK6901 specifications, then warranty and aftersales, then charging and depot delivery, and finally the KD investment roadmap and next steps.</w:t>
      </w:r>
    </w:p>
    <w:p>
      <w:pPr>
        <w:spacing w:after="140" w:before="0" w:line="276" w:lineRule="auto"/>
      </w:pPr>
      <w:r>
        <w:rPr>
          <w:rFonts w:ascii="Calibri" w:hAnsi="Calibri" w:eastAsia="Calibri"/>
          <w:b w:val="0"/>
          <w:i w:val="0"/>
          <w:sz w:val="22"/>
        </w:rPr>
        <w:t>This remains an Expression of Interest and technical dialogue. Pricing will not be presented in this session.</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3 — Strategic Context</w:t>
      </w:r>
      <w:r>
        <w:rPr>
          <w:rFonts w:ascii="Calibri" w:hAnsi="Calibri" w:eastAsia="Calibri"/>
          <w:b w:val="0"/>
          <w:i/>
          <w:color w:val="0D7882"/>
          <w:sz w:val="20"/>
        </w:rPr>
        <w:t xml:space="preserve">   ≈ 1.5 min</w:t>
      </w:r>
    </w:p>
    <w:p>
      <w:pPr>
        <w:spacing w:after="140" w:before="0" w:line="276" w:lineRule="auto"/>
      </w:pPr>
      <w:r>
        <w:rPr>
          <w:rFonts w:ascii="Calibri" w:hAnsi="Calibri" w:eastAsia="Calibri"/>
          <w:b w:val="0"/>
          <w:i w:val="0"/>
          <w:sz w:val="22"/>
        </w:rPr>
        <w:t>Electrification succeeds only when bus, charger and depot are designed together. The end user is BRTC; the procuring entity is Pragoti; oversight interfaces include BSEC and the Ministry of Industries.</w:t>
      </w:r>
    </w:p>
    <w:p>
      <w:pPr>
        <w:spacing w:after="140" w:before="0" w:line="276" w:lineRule="auto"/>
      </w:pPr>
      <w:r>
        <w:rPr>
          <w:rFonts w:ascii="Calibri" w:hAnsi="Calibri" w:eastAsia="Calibri"/>
          <w:b w:val="0"/>
          <w:i w:val="0"/>
          <w:sz w:val="22"/>
        </w:rPr>
        <w:t>The model class we bring today offers cruise ranges in the two-hundred-and-twenty to two-hundred-and-fifty kilometre band, CCS2 dual-gun DC charging, and CATL water-cooled LFP packs — subject to validation against BRTC duty cycles.</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4 — Future Onward</w:t>
      </w:r>
      <w:r>
        <w:rPr>
          <w:rFonts w:ascii="Calibri" w:hAnsi="Calibri" w:eastAsia="Calibri"/>
          <w:b w:val="0"/>
          <w:i/>
          <w:color w:val="0D7882"/>
          <w:sz w:val="20"/>
        </w:rPr>
        <w:t xml:space="preserve">   ≈ 1 min</w:t>
      </w:r>
    </w:p>
    <w:p>
      <w:pPr>
        <w:spacing w:after="140" w:before="0" w:line="276" w:lineRule="auto"/>
      </w:pPr>
      <w:r>
        <w:rPr>
          <w:rFonts w:ascii="Calibri" w:hAnsi="Calibri" w:eastAsia="Calibri"/>
          <w:b w:val="0"/>
          <w:i w:val="0"/>
          <w:sz w:val="22"/>
        </w:rPr>
        <w:t>Future Onward OPC is the Bangladesh system integrator and single point of contact: authorized local partner for CHTC KINWIN, sales partner of Huawei International Pte. Ltd., and coordinator with WIETC for depot EPC.</w:t>
      </w:r>
    </w:p>
    <w:p>
      <w:pPr>
        <w:spacing w:after="140" w:before="0" w:line="276" w:lineRule="auto"/>
      </w:pPr>
      <w:r>
        <w:rPr>
          <w:rFonts w:ascii="Calibri" w:hAnsi="Calibri" w:eastAsia="Calibri"/>
          <w:b w:val="0"/>
          <w:i w:val="0"/>
          <w:sz w:val="22"/>
        </w:rPr>
        <w:t>My contact remains director@futureonward.com.</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5 — Partners</w:t>
      </w:r>
      <w:r>
        <w:rPr>
          <w:rFonts w:ascii="Calibri" w:hAnsi="Calibri" w:eastAsia="Calibri"/>
          <w:b w:val="0"/>
          <w:i/>
          <w:color w:val="0D7882"/>
          <w:sz w:val="20"/>
        </w:rPr>
        <w:t xml:space="preserve">   ≈ 1 min</w:t>
      </w:r>
    </w:p>
    <w:p>
      <w:pPr>
        <w:spacing w:after="100" w:before="0" w:line="276" w:lineRule="auto"/>
      </w:pPr>
      <w:r>
        <w:rPr>
          <w:rFonts w:ascii="Calibri" w:hAnsi="Calibri" w:eastAsia="Calibri"/>
          <w:b w:val="0"/>
          <w:i/>
          <w:color w:val="505A64"/>
          <w:sz w:val="20"/>
        </w:rPr>
        <w:t>[Indicate logos.]</w:t>
      </w:r>
    </w:p>
    <w:p>
      <w:pPr>
        <w:spacing w:after="140" w:before="0" w:line="276" w:lineRule="auto"/>
      </w:pPr>
      <w:r>
        <w:rPr>
          <w:rFonts w:ascii="Calibri" w:hAnsi="Calibri" w:eastAsia="Calibri"/>
          <w:b w:val="0"/>
          <w:i w:val="0"/>
          <w:sz w:val="22"/>
        </w:rPr>
        <w:t>KINWIN for vehicles and core electrification technology; Huawei for high-power charging; WIETC for depot construction and upgrade — including their Bangladesh BRT corridor experience.</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6 — KINWIN Strengths</w:t>
      </w:r>
      <w:r>
        <w:rPr>
          <w:rFonts w:ascii="Calibri" w:hAnsi="Calibri" w:eastAsia="Calibri"/>
          <w:b w:val="0"/>
          <w:i/>
          <w:color w:val="0D7882"/>
          <w:sz w:val="20"/>
        </w:rPr>
        <w:t xml:space="preserve">   ≈ 2 min</w:t>
      </w:r>
    </w:p>
    <w:p>
      <w:pPr>
        <w:spacing w:after="140" w:before="0" w:line="276" w:lineRule="auto"/>
      </w:pPr>
      <w:r>
        <w:rPr>
          <w:rFonts w:ascii="Calibri" w:hAnsi="Calibri" w:eastAsia="Calibri"/>
          <w:b w:val="0"/>
          <w:i w:val="0"/>
          <w:sz w:val="22"/>
        </w:rPr>
        <w:t>On corporate and product advantages: KINWIN is among the few Chinese enterprises with full independent R&amp;D of motors, motor control units, vehicle control units, and four-in-one integrated powertrain units. Because core components are self-developed, fault diagnosis and resolution are faster.</w:t>
      </w:r>
    </w:p>
    <w:p>
      <w:pPr>
        <w:spacing w:after="140" w:before="0" w:line="276" w:lineRule="auto"/>
      </w:pPr>
      <w:r>
        <w:rPr>
          <w:rFonts w:ascii="Calibri" w:hAnsi="Calibri" w:eastAsia="Calibri"/>
          <w:b w:val="0"/>
          <w:i w:val="0"/>
          <w:sz w:val="22"/>
        </w:rPr>
        <w:t>KINWIN is a High-Tech Enterprise and a national-level Specialized, Refined, Differential and Innovative enterprise. Body corrosion protection uses Chemetall eco-friendly silane pretreatment and PPG electrophoretic paint.</w:t>
      </w:r>
    </w:p>
    <w:p>
      <w:pPr>
        <w:spacing w:after="140" w:before="0" w:line="276" w:lineRule="auto"/>
      </w:pPr>
      <w:r>
        <w:rPr>
          <w:rFonts w:ascii="Calibri" w:hAnsi="Calibri" w:eastAsia="Calibri"/>
          <w:b w:val="0"/>
          <w:i w:val="0"/>
          <w:sz w:val="22"/>
        </w:rPr>
        <w:t>On applications: deployments across China; exports to more than fifty countries and regions; twelve-metre buses and coaches supplied to India as KD kits for local assembly; and leading electric commercial-vehicle export volume to South Korea — with hundreds of units already in Korean operation.</w:t>
      </w:r>
    </w:p>
    <w:p>
      <w:pPr>
        <w:spacing w:after="140" w:before="0" w:line="276" w:lineRule="auto"/>
      </w:pPr>
      <w:r>
        <w:rPr>
          <w:rFonts w:ascii="Calibri" w:hAnsi="Calibri" w:eastAsia="Calibri"/>
          <w:b w:val="0"/>
          <w:i w:val="0"/>
          <w:sz w:val="22"/>
        </w:rPr>
        <w:t>This KD experience in India is directly relevant to the long-term Bangladesh discussion we will come to.</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7 — KINWIN Video</w:t>
      </w:r>
      <w:r>
        <w:rPr>
          <w:rFonts w:ascii="Calibri" w:hAnsi="Calibri" w:eastAsia="Calibri"/>
          <w:b w:val="0"/>
          <w:i/>
          <w:color w:val="0D7882"/>
          <w:sz w:val="20"/>
        </w:rPr>
        <w:t xml:space="preserve">   ≈ 2 min (incl. play)</w:t>
      </w:r>
    </w:p>
    <w:p>
      <w:pPr>
        <w:spacing w:after="100" w:before="0" w:line="276" w:lineRule="auto"/>
      </w:pPr>
      <w:r>
        <w:rPr>
          <w:rFonts w:ascii="Calibri" w:hAnsi="Calibri" w:eastAsia="Calibri"/>
          <w:b w:val="0"/>
          <w:i/>
          <w:color w:val="505A64"/>
          <w:sz w:val="20"/>
        </w:rPr>
        <w:t>[Click play on the embedded KINWIN video. Do not talk over it. After it ends:]</w:t>
      </w:r>
    </w:p>
    <w:p>
      <w:pPr>
        <w:spacing w:after="140" w:before="0" w:line="276" w:lineRule="auto"/>
      </w:pPr>
      <w:r>
        <w:rPr>
          <w:rFonts w:ascii="Calibri" w:hAnsi="Calibri" w:eastAsia="Calibri"/>
          <w:b w:val="0"/>
          <w:i w:val="0"/>
          <w:sz w:val="22"/>
        </w:rPr>
        <w:t>That is a brief introduction to KINWIN’s platform and product scope. Detailed certification and overseas cases are available in the corporate English presentation if the committee wishes a deeper working session.</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8 — Models Overview</w:t>
      </w:r>
      <w:r>
        <w:rPr>
          <w:rFonts w:ascii="Calibri" w:hAnsi="Calibri" w:eastAsia="Calibri"/>
          <w:b w:val="0"/>
          <w:i/>
          <w:color w:val="0D7882"/>
          <w:sz w:val="20"/>
        </w:rPr>
        <w:t xml:space="preserve">   ≈ 1.5 min</w:t>
      </w:r>
    </w:p>
    <w:p>
      <w:pPr>
        <w:spacing w:after="100" w:before="0" w:line="276" w:lineRule="auto"/>
      </w:pPr>
      <w:r>
        <w:rPr>
          <w:rFonts w:ascii="Calibri" w:hAnsi="Calibri" w:eastAsia="Calibri"/>
          <w:b w:val="0"/>
          <w:i/>
          <w:color w:val="505A64"/>
          <w:sz w:val="20"/>
        </w:rPr>
        <w:t>[Gesture to the photographs.]</w:t>
      </w:r>
    </w:p>
    <w:p>
      <w:pPr>
        <w:spacing w:after="140" w:before="0" w:line="276" w:lineRule="auto"/>
      </w:pPr>
      <w:r>
        <w:rPr>
          <w:rFonts w:ascii="Calibri" w:hAnsi="Calibri" w:eastAsia="Calibri"/>
          <w:b w:val="0"/>
          <w:i w:val="0"/>
          <w:sz w:val="22"/>
        </w:rPr>
        <w:t>We present two right-hand-drive, low-entry electric city bus configurations: HTK6121GBEV in the twelve-metre class, and HTK6901GBEV in the nine-metre class.</w:t>
      </w:r>
    </w:p>
    <w:p>
      <w:pPr>
        <w:spacing w:after="140" w:before="0" w:line="276" w:lineRule="auto"/>
      </w:pPr>
      <w:r>
        <w:rPr>
          <w:rFonts w:ascii="Calibri" w:hAnsi="Calibri" w:eastAsia="Calibri"/>
          <w:b w:val="0"/>
          <w:i w:val="0"/>
          <w:sz w:val="22"/>
        </w:rPr>
        <w:t>At a glance: the twelve-metre offers about seventy-five total passengers with thirty-six seats, at least two hundred and fifty kilometres cruise rating, and a three-hundred-and-fifty-two kilowatt-hour CATL pack. The nine-metre offers about fifty-eight passengers with twenty-one seats, at least two hundred and twenty kilometres cruise rating, and approximately two hundred and fifty-five kilowatt-hours.</w:t>
      </w:r>
    </w:p>
    <w:p>
      <w:pPr>
        <w:spacing w:after="140" w:before="0" w:line="276" w:lineRule="auto"/>
      </w:pPr>
      <w:r>
        <w:rPr>
          <w:rFonts w:ascii="Calibri" w:hAnsi="Calibri" w:eastAsia="Calibri"/>
          <w:b w:val="0"/>
          <w:i w:val="0"/>
          <w:sz w:val="22"/>
        </w:rPr>
        <w:t>Both use CHTC permanent-magnet synchronous motors, CCS2 dual-gun charging, air suspension with ECAS kneeling, and wheelchair accessibility with ramp.</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9 — HTK6121 Specs</w:t>
      </w:r>
      <w:r>
        <w:rPr>
          <w:rFonts w:ascii="Calibri" w:hAnsi="Calibri" w:eastAsia="Calibri"/>
          <w:b w:val="0"/>
          <w:i/>
          <w:color w:val="0D7882"/>
          <w:sz w:val="20"/>
        </w:rPr>
        <w:t xml:space="preserve">   ≈ 1.5 min</w:t>
      </w:r>
    </w:p>
    <w:p>
      <w:pPr>
        <w:spacing w:after="140" w:before="0" w:line="276" w:lineRule="auto"/>
      </w:pPr>
      <w:r>
        <w:rPr>
          <w:rFonts w:ascii="Calibri" w:hAnsi="Calibri" w:eastAsia="Calibri"/>
          <w:b w:val="0"/>
          <w:i w:val="0"/>
          <w:sz w:val="22"/>
        </w:rPr>
        <w:t>For the twelve-metre HTK6121GBEV: length twelve thousand one hundred thirty-five millimetres; curb thirteen thousand five hundred kilograms; GVW nineteen thousand; motor one hundred seventy-five kilowatt continuous / three hundred fifty peak; ZF axles with disc brakes and ABS, ASR and EBS; dual inner-swing doors with anti-jam protection.</w:t>
      </w:r>
    </w:p>
    <w:p>
      <w:pPr>
        <w:spacing w:after="140" w:before="0" w:line="276" w:lineRule="auto"/>
      </w:pPr>
      <w:r>
        <w:rPr>
          <w:rFonts w:ascii="Calibri" w:hAnsi="Calibri" w:eastAsia="Calibri"/>
          <w:b w:val="0"/>
          <w:i w:val="0"/>
          <w:sz w:val="22"/>
        </w:rPr>
        <w:t>Full configuration sheets dated fifth September twenty twenty-six are available for the technical committee.</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10 — HTK6901 Specs</w:t>
      </w:r>
      <w:r>
        <w:rPr>
          <w:rFonts w:ascii="Calibri" w:hAnsi="Calibri" w:eastAsia="Calibri"/>
          <w:b w:val="0"/>
          <w:i/>
          <w:color w:val="0D7882"/>
          <w:sz w:val="20"/>
        </w:rPr>
        <w:t xml:space="preserve">   ≈ 1.5 min</w:t>
      </w:r>
    </w:p>
    <w:p>
      <w:pPr>
        <w:spacing w:after="140" w:before="0" w:line="276" w:lineRule="auto"/>
      </w:pPr>
      <w:r>
        <w:rPr>
          <w:rFonts w:ascii="Calibri" w:hAnsi="Calibri" w:eastAsia="Calibri"/>
          <w:b w:val="0"/>
          <w:i w:val="0"/>
          <w:sz w:val="22"/>
        </w:rPr>
        <w:t>For the nine-metre HTK6901GBEV: length eight thousand nine hundred ninety millimetres; turning radius not more than nine metres — well suited to denser urban and branch routes; motor one hundred twenty / two hundred forty kilowatt; two hundred fifty-five kilowatt-hour pack; same accessibility and CCS2 dual-gun approach.</w:t>
      </w:r>
    </w:p>
    <w:p>
      <w:pPr>
        <w:spacing w:after="140" w:before="0" w:line="276" w:lineRule="auto"/>
      </w:pPr>
      <w:r>
        <w:rPr>
          <w:rFonts w:ascii="Calibri" w:hAnsi="Calibri" w:eastAsia="Calibri"/>
          <w:b w:val="0"/>
          <w:i w:val="0"/>
          <w:sz w:val="22"/>
        </w:rPr>
        <w:t>Final mix of nine-metre and twelve-metre units should follow BRTC route analysis with Pragoti.</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11 — Warranty &amp; Aftersales</w:t>
      </w:r>
      <w:r>
        <w:rPr>
          <w:rFonts w:ascii="Calibri" w:hAnsi="Calibri" w:eastAsia="Calibri"/>
          <w:b w:val="0"/>
          <w:i/>
          <w:color w:val="0D7882"/>
          <w:sz w:val="20"/>
        </w:rPr>
        <w:t xml:space="preserve">   ≈ 2 min</w:t>
      </w:r>
    </w:p>
    <w:p>
      <w:pPr>
        <w:spacing w:after="140" w:before="0" w:line="276" w:lineRule="auto"/>
      </w:pPr>
      <w:r>
        <w:rPr>
          <w:rFonts w:ascii="Calibri" w:hAnsi="Calibri" w:eastAsia="Calibri"/>
          <w:b w:val="0"/>
          <w:i w:val="0"/>
          <w:sz w:val="22"/>
        </w:rPr>
        <w:t>On maintenance services:</w:t>
      </w:r>
    </w:p>
    <w:p>
      <w:pPr>
        <w:spacing w:after="140" w:before="0" w:line="276" w:lineRule="auto"/>
      </w:pPr>
      <w:r>
        <w:rPr>
          <w:rFonts w:ascii="Calibri" w:hAnsi="Calibri" w:eastAsia="Calibri"/>
          <w:b w:val="0"/>
          <w:i w:val="0"/>
          <w:sz w:val="22"/>
        </w:rPr>
        <w:t>Battery warranty: eight years or six hundred thousand kilometres, whichever comes first, with degradation not exceeding twenty percent.</w:t>
      </w:r>
    </w:p>
    <w:p>
      <w:pPr>
        <w:spacing w:after="140" w:before="0" w:line="276" w:lineRule="auto"/>
      </w:pPr>
      <w:r>
        <w:rPr>
          <w:rFonts w:ascii="Calibri" w:hAnsi="Calibri" w:eastAsia="Calibri"/>
          <w:b w:val="0"/>
          <w:i w:val="0"/>
          <w:sz w:val="22"/>
        </w:rPr>
        <w:t>Motor and controller: five years or three hundred thousand kilometres, whichever comes first.</w:t>
      </w:r>
    </w:p>
    <w:p>
      <w:pPr>
        <w:spacing w:after="140" w:before="0" w:line="276" w:lineRule="auto"/>
      </w:pPr>
      <w:r>
        <w:rPr>
          <w:rFonts w:ascii="Calibri" w:hAnsi="Calibri" w:eastAsia="Calibri"/>
          <w:b w:val="0"/>
          <w:i w:val="0"/>
          <w:sz w:val="22"/>
        </w:rPr>
        <w:t>Complete vehicle: two years or one hundred fifty thousand kilometres, whichever comes first.</w:t>
      </w:r>
    </w:p>
    <w:p>
      <w:pPr>
        <w:spacing w:after="140" w:before="0" w:line="276" w:lineRule="auto"/>
      </w:pPr>
      <w:r>
        <w:rPr>
          <w:rFonts w:ascii="Calibri" w:hAnsi="Calibri" w:eastAsia="Calibri"/>
          <w:b w:val="0"/>
          <w:i w:val="0"/>
          <w:sz w:val="22"/>
        </w:rPr>
        <w:t>After warranty expiry, the customer bears maintenance costs. KINWIN may set up local aftersales stations or authorize local workshops. Upon contract signing, aftersales agreements, spare-parts lists and consumable terms will be specified in the contract.</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12 — Integration</w:t>
      </w:r>
      <w:r>
        <w:rPr>
          <w:rFonts w:ascii="Calibri" w:hAnsi="Calibri" w:eastAsia="Calibri"/>
          <w:b w:val="0"/>
          <w:i/>
          <w:color w:val="0D7882"/>
          <w:sz w:val="20"/>
        </w:rPr>
        <w:t xml:space="preserve">   ≈ 1 min</w:t>
      </w:r>
    </w:p>
    <w:p>
      <w:pPr>
        <w:spacing w:after="140" w:before="0" w:line="276" w:lineRule="auto"/>
      </w:pPr>
      <w:r>
        <w:rPr>
          <w:rFonts w:ascii="Calibri" w:hAnsi="Calibri" w:eastAsia="Calibri"/>
          <w:b w:val="0"/>
          <w:i w:val="0"/>
          <w:sz w:val="22"/>
        </w:rPr>
        <w:t>Again: buses, charging and depots must be one framework — interoperability, capital efficiency, and clear accountability under Future Onward’s local coordination.</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13 — Huawei Charging</w:t>
      </w:r>
      <w:r>
        <w:rPr>
          <w:rFonts w:ascii="Calibri" w:hAnsi="Calibri" w:eastAsia="Calibri"/>
          <w:b w:val="0"/>
          <w:i/>
          <w:color w:val="0D7882"/>
          <w:sz w:val="20"/>
        </w:rPr>
        <w:t xml:space="preserve">   ≈ 1.5 min</w:t>
      </w:r>
    </w:p>
    <w:p>
      <w:pPr>
        <w:spacing w:after="140" w:before="0" w:line="276" w:lineRule="auto"/>
      </w:pPr>
      <w:r>
        <w:rPr>
          <w:rFonts w:ascii="Calibri" w:hAnsi="Calibri" w:eastAsia="Calibri"/>
          <w:b w:val="0"/>
          <w:i w:val="0"/>
          <w:sz w:val="22"/>
        </w:rPr>
        <w:t>Huawei high-power DC charging: intelligent power allocation, central monitoring, dispatch-aligned schedules, scalable for expansion, and optional renewable or storage where justified. Charger sizing will be modelled on BRTC schedules in the workshop — not guessed today.</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14 — Huawei Video</w:t>
      </w:r>
      <w:r>
        <w:rPr>
          <w:rFonts w:ascii="Calibri" w:hAnsi="Calibri" w:eastAsia="Calibri"/>
          <w:b w:val="0"/>
          <w:i/>
          <w:color w:val="0D7882"/>
          <w:sz w:val="20"/>
        </w:rPr>
        <w:t xml:space="preserve">   ≈ 2–3 min (incl. play)</w:t>
      </w:r>
    </w:p>
    <w:p>
      <w:pPr>
        <w:spacing w:after="100" w:before="0" w:line="276" w:lineRule="auto"/>
      </w:pPr>
      <w:r>
        <w:rPr>
          <w:rFonts w:ascii="Calibri" w:hAnsi="Calibri" w:eastAsia="Calibri"/>
          <w:b w:val="0"/>
          <w:i/>
          <w:color w:val="505A64"/>
          <w:sz w:val="20"/>
        </w:rPr>
        <w:t>[Play the embedded YouTube video if network is available. If offline, open the prepared link on a secondary device: youtu.be/OXsaxX6lFwU?si=Dq2Q_TXrvuvdg4Qr.]</w:t>
      </w:r>
    </w:p>
    <w:p>
      <w:pPr>
        <w:spacing w:after="140" w:before="0" w:line="276" w:lineRule="auto"/>
      </w:pPr>
      <w:r>
        <w:rPr>
          <w:rFonts w:ascii="Calibri" w:hAnsi="Calibri" w:eastAsia="Calibri"/>
          <w:b w:val="0"/>
          <w:i w:val="0"/>
          <w:sz w:val="22"/>
        </w:rPr>
        <w:t>This illustrates the charging and energy infrastructure capability we intend to bring into the BRTC depot design conversation.</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15 — WIETC Depots</w:t>
      </w:r>
      <w:r>
        <w:rPr>
          <w:rFonts w:ascii="Calibri" w:hAnsi="Calibri" w:eastAsia="Calibri"/>
          <w:b w:val="0"/>
          <w:i/>
          <w:color w:val="0D7882"/>
          <w:sz w:val="20"/>
        </w:rPr>
        <w:t xml:space="preserve">   ≈ 1.5 min</w:t>
      </w:r>
    </w:p>
    <w:p>
      <w:pPr>
        <w:spacing w:after="140" w:before="0" w:line="276" w:lineRule="auto"/>
      </w:pPr>
      <w:r>
        <w:rPr>
          <w:rFonts w:ascii="Calibri" w:hAnsi="Calibri" w:eastAsia="Calibri"/>
          <w:b w:val="0"/>
          <w:i w:val="0"/>
          <w:sz w:val="22"/>
        </w:rPr>
        <w:t>WIETC covers depot planning, electrical infrastructure including eleven and thirty-three kilovolt systems, charger civil works, EV workshops and safety systems — with direct Bangladesh experience on the Greater Dhaka BRT corridor.</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16 — Long-term KD &amp; Investment</w:t>
      </w:r>
      <w:r>
        <w:rPr>
          <w:rFonts w:ascii="Calibri" w:hAnsi="Calibri" w:eastAsia="Calibri"/>
          <w:b w:val="0"/>
          <w:i/>
          <w:color w:val="0D7882"/>
          <w:sz w:val="20"/>
        </w:rPr>
        <w:t xml:space="preserve">   ≈ 2.5 min</w:t>
      </w:r>
    </w:p>
    <w:p>
      <w:pPr>
        <w:spacing w:after="100" w:before="0" w:line="276" w:lineRule="auto"/>
      </w:pPr>
      <w:r>
        <w:rPr>
          <w:rFonts w:ascii="Calibri" w:hAnsi="Calibri" w:eastAsia="Calibri"/>
          <w:b w:val="0"/>
          <w:i/>
          <w:color w:val="505A64"/>
          <w:sz w:val="20"/>
        </w:rPr>
        <w:t>[This is a priority slide for BSEC. Stand tall; be unambiguous.]</w:t>
      </w:r>
    </w:p>
    <w:p>
      <w:pPr>
        <w:spacing w:after="140" w:before="0" w:line="276" w:lineRule="auto"/>
      </w:pPr>
      <w:r>
        <w:rPr>
          <w:rFonts w:ascii="Calibri" w:hAnsi="Calibri" w:eastAsia="Calibri"/>
          <w:b w:val="0"/>
          <w:i w:val="0"/>
          <w:sz w:val="22"/>
        </w:rPr>
        <w:t>Honourable colleagues: we wish to place on record our interest in a long-term plan and investment for KD.</w:t>
      </w:r>
    </w:p>
    <w:p>
      <w:pPr>
        <w:spacing w:after="140" w:before="0" w:line="276" w:lineRule="auto"/>
      </w:pPr>
      <w:r>
        <w:rPr>
          <w:rFonts w:ascii="Calibri" w:hAnsi="Calibri" w:eastAsia="Calibri"/>
          <w:b w:val="0"/>
          <w:i w:val="0"/>
          <w:sz w:val="22"/>
        </w:rPr>
        <w:t>KINWIN and partners are prepared to pursue this pathway with Pragoti.</w:t>
      </w:r>
    </w:p>
    <w:p>
      <w:pPr>
        <w:spacing w:after="140" w:before="0" w:line="276" w:lineRule="auto"/>
      </w:pPr>
      <w:r>
        <w:rPr>
          <w:rFonts w:ascii="Calibri" w:hAnsi="Calibri" w:eastAsia="Calibri"/>
          <w:b w:val="0"/>
          <w:i w:val="0"/>
          <w:sz w:val="22"/>
        </w:rPr>
        <w:t>KINWIN and partners are thinking in phases. Phase one — establish footprint now: supply through Pragoti for BRTC, set up aftersales, training and spare-parts pipelines, and begin localization planning.</w:t>
      </w:r>
    </w:p>
    <w:p>
      <w:pPr>
        <w:spacing w:after="140" w:before="0" w:line="276" w:lineRule="auto"/>
      </w:pPr>
      <w:r>
        <w:rPr>
          <w:rFonts w:ascii="Calibri" w:hAnsi="Calibri" w:eastAsia="Calibri"/>
          <w:b w:val="0"/>
          <w:i w:val="0"/>
          <w:sz w:val="22"/>
        </w:rPr>
        <w:t>Phase two — as volumes grow, ramp CKD and SKD kits for local assembly, drawing on KINWIN’s proven KD supply experience, including India.</w:t>
      </w:r>
    </w:p>
    <w:p>
      <w:pPr>
        <w:spacing w:after="140" w:before="0" w:line="276" w:lineRule="auto"/>
      </w:pPr>
      <w:r>
        <w:rPr>
          <w:rFonts w:ascii="Calibri" w:hAnsi="Calibri" w:eastAsia="Calibri"/>
          <w:b w:val="0"/>
          <w:i w:val="0"/>
          <w:sz w:val="22"/>
        </w:rPr>
        <w:t>Phase three — when market demand is established, invest in a dedicated assembly or KD plant in partnership with Pragoti and the relevant authorities — creating jobs, technology transfer and lasting industrial capability in Bangladesh.</w:t>
      </w:r>
    </w:p>
    <w:p>
      <w:pPr>
        <w:spacing w:after="140" w:before="0" w:line="276" w:lineRule="auto"/>
      </w:pPr>
      <w:r>
        <w:rPr>
          <w:rFonts w:ascii="Calibri" w:hAnsi="Calibri" w:eastAsia="Calibri"/>
          <w:b w:val="0"/>
          <w:i w:val="0"/>
          <w:sz w:val="22"/>
        </w:rPr>
        <w:t>We are not seeking only a one-off import transaction. We seek a long-term industrial partnership anchored here.</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17 — Stakeholder Value</w:t>
      </w:r>
      <w:r>
        <w:rPr>
          <w:rFonts w:ascii="Calibri" w:hAnsi="Calibri" w:eastAsia="Calibri"/>
          <w:b w:val="0"/>
          <w:i/>
          <w:color w:val="0D7882"/>
          <w:sz w:val="20"/>
        </w:rPr>
        <w:t xml:space="preserve">   ≈ 1 min</w:t>
      </w:r>
    </w:p>
    <w:p>
      <w:pPr>
        <w:spacing w:after="140" w:before="0" w:line="276" w:lineRule="auto"/>
      </w:pPr>
      <w:r>
        <w:rPr>
          <w:rFonts w:ascii="Calibri" w:hAnsi="Calibri" w:eastAsia="Calibri"/>
          <w:b w:val="0"/>
          <w:i w:val="0"/>
          <w:sz w:val="22"/>
        </w:rPr>
        <w:t>For Pragoti: a real industrial pathway from CBU to KD and assembly. For BRTC: reliable operations with clear warranty. For BSEC: enterprise delivery plus a credible investment narrative. For the Ministry: green mobility with industrial capability building.</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18 — Next Steps</w:t>
      </w:r>
      <w:r>
        <w:rPr>
          <w:rFonts w:ascii="Calibri" w:hAnsi="Calibri" w:eastAsia="Calibri"/>
          <w:b w:val="0"/>
          <w:i/>
          <w:color w:val="0D7882"/>
          <w:sz w:val="20"/>
        </w:rPr>
        <w:t xml:space="preserve">   ≈ 1 min</w:t>
      </w:r>
    </w:p>
    <w:p>
      <w:pPr>
        <w:spacing w:after="140" w:before="0" w:line="276" w:lineRule="auto"/>
      </w:pPr>
      <w:r>
        <w:rPr>
          <w:rFonts w:ascii="Calibri" w:hAnsi="Calibri" w:eastAsia="Calibri"/>
          <w:b w:val="0"/>
          <w:i w:val="0"/>
          <w:sz w:val="22"/>
        </w:rPr>
        <w:t>We recommend: one, a joint technical workshop; two, depot and grid surveys; three, lock the technical baseline on fleet mix, charging and depot packages — then proceed to structured commercial discussion — while opening a parallel KD feasibility track with Pragoti.</w:t>
      </w:r>
    </w:p>
    <w:p>
      <w:pPr>
        <w:spacing w:before="80" w:after="160"/>
        <w:pBdr>
          <w:bottom w:val="single" w:sz="12" w:space="1" w:color="1A4A6B"/>
        </w:pBdr>
      </w:pPr>
    </w:p>
    <w:p>
      <w:pPr>
        <w:spacing w:after="120" w:before="0" w:line="276" w:lineRule="auto"/>
      </w:pPr>
      <w:r>
        <w:rPr>
          <w:rFonts w:ascii="Calibri" w:hAnsi="Calibri" w:eastAsia="Calibri"/>
          <w:b/>
          <w:i w:val="0"/>
          <w:color w:val="0A2744"/>
          <w:sz w:val="24"/>
        </w:rPr>
        <w:t>SLIDE 19 — Closing</w:t>
      </w:r>
      <w:r>
        <w:rPr>
          <w:rFonts w:ascii="Calibri" w:hAnsi="Calibri" w:eastAsia="Calibri"/>
          <w:b w:val="0"/>
          <w:i/>
          <w:color w:val="0D7882"/>
          <w:sz w:val="20"/>
        </w:rPr>
        <w:t xml:space="preserve">   ≈ 1.5 min</w:t>
      </w:r>
    </w:p>
    <w:p>
      <w:pPr>
        <w:spacing w:after="140" w:before="0" w:line="276" w:lineRule="auto"/>
      </w:pPr>
      <w:r>
        <w:rPr>
          <w:rFonts w:ascii="Calibri" w:hAnsi="Calibri" w:eastAsia="Calibri"/>
          <w:b w:val="0"/>
          <w:i w:val="0"/>
          <w:sz w:val="22"/>
        </w:rPr>
        <w:t>Future Onward OPC, with KINWIN, Huawei and WIETC, stands ready to work with Pragoti, BRTC, BSEC and the Ministry of Industries to deliver a modern electric public-transport system — and to invest for the long term as demand grows.</w:t>
      </w:r>
    </w:p>
    <w:p>
      <w:pPr>
        <w:spacing w:after="140" w:before="0" w:line="276" w:lineRule="auto"/>
      </w:pPr>
      <w:r>
        <w:rPr>
          <w:rFonts w:ascii="Calibri" w:hAnsi="Calibri" w:eastAsia="Calibri"/>
          <w:b w:val="0"/>
          <w:i w:val="0"/>
          <w:sz w:val="22"/>
        </w:rPr>
        <w:t>Thank you for your time and guidance. I welcome your questions.</w:t>
      </w:r>
    </w:p>
    <w:p>
      <w:pPr>
        <w:spacing w:after="100" w:before="0" w:line="276" w:lineRule="auto"/>
      </w:pPr>
      <w:r>
        <w:rPr>
          <w:rFonts w:ascii="Calibri" w:hAnsi="Calibri" w:eastAsia="Calibri"/>
          <w:b w:val="0"/>
          <w:i/>
          <w:color w:val="505A64"/>
          <w:sz w:val="20"/>
        </w:rPr>
        <w:t>[Remain standing for Q&amp;A.]</w:t>
      </w:r>
    </w:p>
    <w:p>
      <w:pPr>
        <w:spacing w:before="80" w:after="160"/>
        <w:pBdr>
          <w:bottom w:val="single" w:sz="12" w:space="1" w:color="1A4A6B"/>
        </w:pBdr>
      </w:pPr>
    </w:p>
    <w:p>
      <w:pPr>
        <w:spacing w:after="160" w:before="0" w:line="276" w:lineRule="auto"/>
      </w:pPr>
      <w:r>
        <w:rPr>
          <w:rFonts w:ascii="Calibri" w:hAnsi="Calibri" w:eastAsia="Calibri"/>
          <w:b/>
          <w:i w:val="0"/>
          <w:color w:val="0A2744"/>
          <w:sz w:val="26"/>
        </w:rPr>
        <w:t>APPENDIX — Anticipated Q&amp;A (updated)</w:t>
      </w:r>
    </w:p>
    <w:p>
      <w:pPr>
        <w:spacing w:after="40" w:before="100" w:line="276" w:lineRule="auto"/>
      </w:pPr>
      <w:r>
        <w:rPr>
          <w:rFonts w:ascii="Calibri" w:hAnsi="Calibri" w:eastAsia="Calibri"/>
          <w:b/>
          <w:i w:val="0"/>
          <w:sz w:val="22"/>
        </w:rPr>
        <w:t>Q: Can you share the bus price / FOB / landed cost today?</w:t>
      </w:r>
    </w:p>
    <w:p>
      <w:pPr>
        <w:spacing w:after="120" w:before="0" w:line="276" w:lineRule="auto"/>
      </w:pPr>
      <w:r>
        <w:rPr>
          <w:rFonts w:ascii="Calibri" w:hAnsi="Calibri" w:eastAsia="Calibri"/>
          <w:b w:val="0"/>
          <w:i w:val="0"/>
          <w:sz w:val="20"/>
        </w:rPr>
        <w:t>A: We are not presenting pricing in this session. Once fleet mix, configuration options, charging architecture and depot scope are aligned with Pragoti and BRTC, we will open a structured commercial discussion. That protects a fair, like-for-like evaluation.</w:t>
      </w:r>
    </w:p>
    <w:p>
      <w:pPr>
        <w:spacing w:after="40" w:before="100" w:line="276" w:lineRule="auto"/>
      </w:pPr>
      <w:r>
        <w:rPr>
          <w:rFonts w:ascii="Calibri" w:hAnsi="Calibri" w:eastAsia="Calibri"/>
          <w:b/>
          <w:i w:val="0"/>
          <w:sz w:val="22"/>
        </w:rPr>
        <w:t>Q: Will you really invest in a KD plant?</w:t>
      </w:r>
    </w:p>
    <w:p>
      <w:pPr>
        <w:spacing w:after="120" w:before="0" w:line="276" w:lineRule="auto"/>
      </w:pPr>
      <w:r>
        <w:rPr>
          <w:rFonts w:ascii="Calibri" w:hAnsi="Calibri" w:eastAsia="Calibri"/>
          <w:b w:val="0"/>
          <w:i w:val="0"/>
          <w:sz w:val="20"/>
        </w:rPr>
        <w:t>A: Yes — contingent on market demand growth and partnership with Pragoti. Footprint first; KD ramp; then plant investment. KINWIN already supplies KD kits for local assembly in other markets, including India.</w:t>
      </w:r>
    </w:p>
    <w:p>
      <w:pPr>
        <w:spacing w:after="40" w:before="100" w:line="276" w:lineRule="auto"/>
      </w:pPr>
      <w:r>
        <w:rPr>
          <w:rFonts w:ascii="Calibri" w:hAnsi="Calibri" w:eastAsia="Calibri"/>
          <w:b/>
          <w:i w:val="0"/>
          <w:sz w:val="22"/>
        </w:rPr>
        <w:t>Q: What warranty applies?</w:t>
      </w:r>
    </w:p>
    <w:p>
      <w:pPr>
        <w:spacing w:after="120" w:before="0" w:line="276" w:lineRule="auto"/>
      </w:pPr>
      <w:r>
        <w:rPr>
          <w:rFonts w:ascii="Calibri" w:hAnsi="Calibri" w:eastAsia="Calibri"/>
          <w:b w:val="0"/>
          <w:i w:val="0"/>
          <w:sz w:val="20"/>
        </w:rPr>
        <w:t>A: Warranty framework: battery 8 years or 600,000 km (whichever first), degradation not exceeding 20%; motor and controller 5 years or 300,000 km; complete vehicle 2 years or 150,000 km. Contract will lock the governing schedule, spare-parts list and consumables.</w:t>
      </w:r>
    </w:p>
    <w:p>
      <w:pPr>
        <w:spacing w:after="40" w:before="100" w:line="276" w:lineRule="auto"/>
      </w:pPr>
      <w:r>
        <w:rPr>
          <w:rFonts w:ascii="Calibri" w:hAnsi="Calibri" w:eastAsia="Calibri"/>
          <w:b/>
          <w:i w:val="0"/>
          <w:sz w:val="22"/>
        </w:rPr>
        <w:t>Q: How do HTK6121 / HTK6901 relate to other model codes?</w:t>
      </w:r>
    </w:p>
    <w:p>
      <w:pPr>
        <w:spacing w:after="120" w:before="0" w:line="276" w:lineRule="auto"/>
      </w:pPr>
      <w:r>
        <w:rPr>
          <w:rFonts w:ascii="Calibri" w:hAnsi="Calibri" w:eastAsia="Calibri"/>
          <w:b w:val="0"/>
          <w:i w:val="0"/>
          <w:sz w:val="20"/>
        </w:rPr>
        <w:t>A: The configuration packages and photographs presented are HTK6121GBEV and HTK6901GBEV. Final homologation and config mapping will be confirmed in the technical workshop.</w:t>
      </w:r>
    </w:p>
    <w:p>
      <w:pPr>
        <w:spacing w:before="80" w:after="160"/>
        <w:pBdr>
          <w:bottom w:val="single" w:sz="12" w:space="1" w:color="1A4A6B"/>
        </w:pBdr>
      </w:pPr>
    </w:p>
    <w:p>
      <w:pPr>
        <w:spacing w:after="80" w:before="0" w:line="276" w:lineRule="auto"/>
      </w:pPr>
      <w:r>
        <w:rPr>
          <w:rFonts w:ascii="Calibri" w:hAnsi="Calibri" w:eastAsia="Calibri"/>
          <w:b/>
          <w:i w:val="0"/>
          <w:color w:val="0A2744"/>
          <w:sz w:val="24"/>
        </w:rPr>
        <w:t>Delivery notes</w:t>
      </w:r>
    </w:p>
    <w:p>
      <w:pPr>
        <w:spacing w:after="60" w:before="0" w:line="276" w:lineRule="auto"/>
      </w:pPr>
      <w:r>
        <w:rPr>
          <w:rFonts w:ascii="Calibri" w:hAnsi="Calibri" w:eastAsia="Calibri"/>
          <w:b w:val="0"/>
          <w:i w:val="0"/>
          <w:sz w:val="20"/>
        </w:rPr>
        <w:t>• Do not display or verbalize any USD/FOB figures, payment splits, or FX notes.</w:t>
      </w:r>
    </w:p>
    <w:p>
      <w:pPr>
        <w:spacing w:after="60" w:before="0" w:line="276" w:lineRule="auto"/>
      </w:pPr>
      <w:r>
        <w:rPr>
          <w:rFonts w:ascii="Calibri" w:hAnsi="Calibri" w:eastAsia="Calibri"/>
          <w:b w:val="0"/>
          <w:i w:val="0"/>
          <w:sz w:val="20"/>
        </w:rPr>
        <w:t>• Test videos before the meeting; keep Huawei URL on a phone hotspot backup.</w:t>
      </w:r>
    </w:p>
    <w:p>
      <w:pPr>
        <w:spacing w:after="60" w:before="0" w:line="276" w:lineRule="auto"/>
      </w:pPr>
      <w:r>
        <w:rPr>
          <w:rFonts w:ascii="Calibri" w:hAnsi="Calibri" w:eastAsia="Calibri"/>
          <w:b w:val="0"/>
          <w:i w:val="0"/>
          <w:sz w:val="20"/>
        </w:rPr>
        <w:t>• Print or PDF the two Excel configuration sheets as technical handouts (redact any price cells if present).</w:t>
      </w:r>
    </w:p>
    <w:p>
      <w:pPr>
        <w:spacing w:after="60" w:before="0" w:line="276" w:lineRule="auto"/>
      </w:pPr>
      <w:r>
        <w:rPr>
          <w:rFonts w:ascii="Calibri" w:hAnsi="Calibri" w:eastAsia="Calibri"/>
          <w:b w:val="0"/>
          <w:i w:val="0"/>
          <w:sz w:val="20"/>
        </w:rPr>
        <w:t>• If time is short: prioritize Slides 6, 8, 11, 16 and 19.</w:t>
      </w:r>
    </w:p>
    <w:p>
      <w:pPr>
        <w:spacing w:after="60" w:before="0" w:line="276" w:lineRule="auto"/>
      </w:pPr>
      <w:r>
        <w:rPr>
          <w:rFonts w:ascii="Calibri" w:hAnsi="Calibri" w:eastAsia="Calibri"/>
          <w:b w:val="0"/>
          <w:i w:val="0"/>
          <w:sz w:val="20"/>
        </w:rPr>
        <w:t>• Never invent depot or charger prices in the room.</w:t>
      </w:r>
    </w:p>
    <w:p>
      <w:pPr>
        <w:spacing w:before="80" w:after="160"/>
        <w:pBdr>
          <w:bottom w:val="single" w:sz="12" w:space="1" w:color="1A4A6B"/>
        </w:pBdr>
      </w:pPr>
    </w:p>
    <w:p>
      <w:pPr>
        <w:spacing w:after="80" w:before="0" w:line="276" w:lineRule="auto"/>
        <w:jc w:val="center"/>
      </w:pPr>
      <w:r>
        <w:rPr>
          <w:rFonts w:ascii="Calibri" w:hAnsi="Calibri" w:eastAsia="Calibri"/>
          <w:b/>
          <w:i w:val="0"/>
          <w:color w:val="0A2744"/>
          <w:sz w:val="22"/>
        </w:rPr>
        <w:t>END OF UPDATED SCRIPT</w:t>
      </w:r>
    </w:p>
    <w:p>
      <w:pPr>
        <w:spacing w:after="160" w:before="0" w:line="276" w:lineRule="auto"/>
        <w:jc w:val="center"/>
      </w:pPr>
      <w:r>
        <w:rPr>
          <w:rFonts w:ascii="Calibri" w:hAnsi="Calibri" w:eastAsia="Calibri"/>
          <w:b w:val="0"/>
          <w:i w:val="0"/>
          <w:color w:val="505A64"/>
          <w:sz w:val="18"/>
        </w:rPr>
        <w:t>Future Onward OPC · Shaikh Firdous Mahmood, Director · director@futureonward.com</w:t>
      </w:r>
    </w:p>
    <w:sectPr w:rsidR="00FC693F" w:rsidRPr="0006063C" w:rsidSect="00034616">
      <w:pgSz w:w="12240" w:h="15840"/>
      <w:pgMar w:top="1296"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