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31EF8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1. Maintenance Services</w:t>
      </w:r>
    </w:p>
    <w:p w14:paraId="723D1B1D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(1) Within the warranty period, the following warranty services shall be provided in accordance with project requirements:</w:t>
      </w:r>
    </w:p>
    <w:p w14:paraId="7C68FC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Battery warranty: 8 years or 600,000 km, whichever comes first. Battery degradation shall not exceed 20%.</w:t>
      </w:r>
    </w:p>
    <w:p w14:paraId="0A69CE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Motor and controller warranty: 5 years or 300,000 km, whichever comes first.</w:t>
      </w:r>
    </w:p>
    <w:p w14:paraId="042132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CBU warranty: 2 years or 150,000 km, whichever comes first.</w:t>
      </w:r>
    </w:p>
    <w:p w14:paraId="42601CE7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(2) After the warranty expires, the customer shall bear the after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sales maintenance costs.</w:t>
      </w:r>
    </w:p>
    <w:p w14:paraId="326A9DD0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KINWIN may set up local after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sales service stations, or authorize local service stations / auto repair shops to deliver required vehicle repair and maintenance services for customers.</w:t>
      </w:r>
    </w:p>
    <w:p w14:paraId="4F372050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(3) Upon signing of the procurement contract, our company and the customer shall specify relevant after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sales service agreements, spare parts lists, and specific terms for wearing and consumable parts in the contract. Our company shall provide after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sales services in compliance with contractual terms.</w:t>
      </w:r>
    </w:p>
    <w:p w14:paraId="56B50750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2. Vehicle Prices</w:t>
      </w:r>
    </w:p>
    <w:p w14:paraId="775275FC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 w:eastAsiaTheme="minorEastAsia"/>
          <w:sz w:val="20"/>
          <w:szCs w:val="20"/>
          <w:lang w:val="en-US" w:eastAsia="zh-CN"/>
        </w:rPr>
      </w:pPr>
      <w:r>
        <w:rPr>
          <w:rFonts w:hint="eastAsia" w:ascii="Arial" w:hAnsi="Arial" w:cs="Arial"/>
          <w:sz w:val="20"/>
          <w:szCs w:val="20"/>
          <w:lang w:val="en-US" w:eastAsia="zh-CN"/>
        </w:rPr>
        <w:t>12m bus (</w:t>
      </w:r>
      <w:r>
        <w:rPr>
          <w:rFonts w:hint="default" w:ascii="Arial" w:hAnsi="Arial" w:cs="Arial"/>
          <w:sz w:val="20"/>
          <w:szCs w:val="20"/>
        </w:rPr>
        <w:t>HTK6120GBEV</w:t>
      </w:r>
      <w:r>
        <w:rPr>
          <w:rFonts w:hint="eastAsia" w:ascii="Arial" w:hAnsi="Arial" w:cs="Arial"/>
          <w:sz w:val="20"/>
          <w:szCs w:val="20"/>
          <w:lang w:val="en-US" w:eastAsia="zh-CN"/>
        </w:rPr>
        <w:t>)</w:t>
      </w:r>
      <w:r>
        <w:rPr>
          <w:rFonts w:hint="default" w:ascii="Arial" w:hAnsi="Arial" w:cs="Arial"/>
          <w:sz w:val="20"/>
          <w:szCs w:val="20"/>
        </w:rPr>
        <w:t xml:space="preserve"> 165</w:t>
      </w:r>
      <w:r>
        <w:rPr>
          <w:rFonts w:hint="eastAsia" w:ascii="Arial" w:hAnsi="Arial" w:cs="Arial"/>
          <w:sz w:val="20"/>
          <w:szCs w:val="20"/>
          <w:lang w:val="en-US" w:eastAsia="zh-CN"/>
        </w:rPr>
        <w:t>,</w:t>
      </w:r>
      <w:r>
        <w:rPr>
          <w:rFonts w:hint="default" w:ascii="Arial" w:hAnsi="Arial" w:cs="Arial"/>
          <w:sz w:val="20"/>
          <w:szCs w:val="20"/>
        </w:rPr>
        <w:t>000</w:t>
      </w:r>
      <w:r>
        <w:rPr>
          <w:rFonts w:hint="eastAsia" w:ascii="Arial" w:hAnsi="Arial" w:cs="Arial"/>
          <w:sz w:val="20"/>
          <w:szCs w:val="20"/>
          <w:lang w:val="en-US" w:eastAsia="zh-CN"/>
        </w:rPr>
        <w:t xml:space="preserve"> USD  FOB Shanghai</w:t>
      </w:r>
    </w:p>
    <w:p w14:paraId="5CF89889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 w:eastAsiaTheme="minorEastAsia"/>
          <w:sz w:val="20"/>
          <w:szCs w:val="20"/>
          <w:lang w:val="en-US" w:eastAsia="zh-CN"/>
        </w:rPr>
      </w:pPr>
      <w:r>
        <w:rPr>
          <w:rFonts w:hint="eastAsia" w:ascii="Arial" w:hAnsi="Arial" w:cs="Arial"/>
          <w:sz w:val="20"/>
          <w:szCs w:val="20"/>
          <w:lang w:val="en-US" w:eastAsia="zh-CN"/>
        </w:rPr>
        <w:t>9m bus (</w:t>
      </w:r>
      <w:r>
        <w:rPr>
          <w:rFonts w:hint="default" w:ascii="Arial" w:hAnsi="Arial" w:cs="Arial"/>
          <w:sz w:val="20"/>
          <w:szCs w:val="20"/>
        </w:rPr>
        <w:t>HTK6900GBEV</w:t>
      </w:r>
      <w:r>
        <w:rPr>
          <w:rFonts w:hint="eastAsia" w:ascii="Arial" w:hAnsi="Arial" w:cs="Arial"/>
          <w:sz w:val="20"/>
          <w:szCs w:val="20"/>
          <w:lang w:val="en-US" w:eastAsia="zh-CN"/>
        </w:rPr>
        <w:t>)</w:t>
      </w:r>
      <w:bookmarkStart w:id="0" w:name="_GoBack"/>
      <w:bookmarkEnd w:id="0"/>
      <w:r>
        <w:rPr>
          <w:rFonts w:hint="eastAsia" w:ascii="Arial" w:hAnsi="Arial" w:cs="Arial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sz w:val="20"/>
          <w:szCs w:val="20"/>
        </w:rPr>
        <w:t>1</w:t>
      </w:r>
      <w:r>
        <w:rPr>
          <w:rFonts w:hint="eastAsia" w:ascii="Arial" w:hAnsi="Arial" w:cs="Arial"/>
          <w:sz w:val="20"/>
          <w:szCs w:val="20"/>
          <w:lang w:val="en-US" w:eastAsia="zh-CN"/>
        </w:rPr>
        <w:t>00,</w:t>
      </w:r>
      <w:r>
        <w:rPr>
          <w:rFonts w:hint="default" w:ascii="Arial" w:hAnsi="Arial" w:cs="Arial"/>
          <w:sz w:val="20"/>
          <w:szCs w:val="20"/>
        </w:rPr>
        <w:t>000</w:t>
      </w:r>
      <w:r>
        <w:rPr>
          <w:rFonts w:hint="eastAsia" w:ascii="Arial" w:hAnsi="Arial" w:cs="Arial"/>
          <w:sz w:val="20"/>
          <w:szCs w:val="20"/>
          <w:lang w:val="en-US" w:eastAsia="zh-CN"/>
        </w:rPr>
        <w:t xml:space="preserve"> USD  FOB Shanghai</w:t>
      </w:r>
    </w:p>
    <w:p w14:paraId="09D386CC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Note: The quoted prices for products HTK6120GBEV and HTK6900GBEV are FOB prices. The prices cover warranty services required by the project, but exclude transportation fees, import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 xml:space="preserve"> and sales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related taxes and duties in Bangladesh, product accessories, and value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added after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sales maintenance services for extended periods beyond the warranty scope.</w:t>
      </w:r>
    </w:p>
    <w:p w14:paraId="32C153E1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3. Corporate Technical and Product Advantages</w:t>
      </w:r>
    </w:p>
    <w:p w14:paraId="2066A133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(1) Our company is among the few enterprises in China with full independent R&amp;D capabilities for core components including motors, Motor Control Units (MCU), Vehicle Control Units (VCU), and four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in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one integrated powertrain units. All aforementioned core components installed on our vehicles are self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developed, enabling us to master core technologies for electric vehicles.</w:t>
      </w:r>
    </w:p>
    <w:p w14:paraId="4BC43F6D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(2) Given that all core components are self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developed in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house, we can identify and resolve vehicle faults faster than other manufacturers in the event of vehicle malfunctions.</w:t>
      </w:r>
    </w:p>
    <w:p w14:paraId="39F3C545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(3) Our products cover full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scenario commercial vehicle applications with outstanding three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electric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system performance. Complete electrification solutions are available from system level to complete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vehicle level.</w:t>
      </w:r>
    </w:p>
    <w:p w14:paraId="0B68EC5A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(4) We are a High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Tech Enterprise and a national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level Specialized, Refined, Differential and Innovative Enterprise in China. Our product portfolio includes electrification platforms, complete vehicles, motors, electric controls and vehicle control systems.</w:t>
      </w:r>
    </w:p>
    <w:p w14:paraId="68A83C0A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(5) Environment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friendly pretreatment and electrophoretic coating processes are adopted for vehicle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body anti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corrosion painting. Internationally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renowned Chemetall (Germany) is specified for pretreatment materials, applying advanced eco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friendly phosphorus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free silane film process. Electrophoretic paint is sourced from PPG (United States), delivering superior anti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corrosion performance for vehicles.</w:t>
      </w:r>
    </w:p>
    <w:p w14:paraId="10144672">
      <w:pPr>
        <w:pStyle w:val="2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4. Product Application Cases</w:t>
      </w:r>
    </w:p>
    <w:p w14:paraId="20DF2090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(1) In China’s domestic market, business is deployed across southern, central, northern and south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 xml:space="preserve">western regions. We have completed vehicle deliveries for </w:t>
      </w:r>
      <w:r>
        <w:rPr>
          <w:rFonts w:hint="eastAsia" w:ascii="Arial" w:hAnsi="Arial" w:cs="Arial"/>
          <w:sz w:val="20"/>
          <w:szCs w:val="20"/>
          <w:lang w:val="en-US" w:eastAsia="zh-CN"/>
        </w:rPr>
        <w:t>many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Fonts w:hint="eastAsia" w:ascii="Arial" w:hAnsi="Arial" w:cs="Arial"/>
          <w:sz w:val="20"/>
          <w:szCs w:val="20"/>
          <w:lang w:val="en-US" w:eastAsia="zh-CN"/>
        </w:rPr>
        <w:t>cities</w:t>
      </w:r>
      <w:r>
        <w:rPr>
          <w:rFonts w:hint="default" w:ascii="Arial" w:hAnsi="Arial" w:cs="Arial"/>
          <w:sz w:val="20"/>
          <w:szCs w:val="20"/>
          <w:lang w:val="en-US" w:eastAsia="zh-CN"/>
        </w:rPr>
        <w:t>’</w:t>
      </w:r>
      <w:r>
        <w:rPr>
          <w:rFonts w:hint="default" w:ascii="Arial" w:hAnsi="Arial" w:cs="Arial"/>
          <w:sz w:val="20"/>
          <w:szCs w:val="20"/>
        </w:rPr>
        <w:t xml:space="preserve"> public transport operators, such as Lishui Public Transport, Changning Public Transport, Leshan Public Transport, etc.</w:t>
      </w:r>
    </w:p>
    <w:p w14:paraId="3014E650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(2) Our products are exported to more than 50 countries and regions worldwide, including but not limited to Saudi Arabia, India, South Korea, Japan and multiple EU member states.</w:t>
      </w:r>
    </w:p>
    <w:p w14:paraId="436F2A89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(3) 12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meter buses and 12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meter touring coaches have been exported to India (KD kits supplied for local assembly by local buyers), supporting local commercial</w:t>
      </w:r>
      <w:r>
        <w:rPr>
          <w:rFonts w:hint="default" w:ascii="Arial" w:hAnsi="Arial" w:cs="Arial"/>
          <w:sz w:val="20"/>
          <w:szCs w:val="20"/>
        </w:rPr>
        <w:noBreakHyphen/>
      </w:r>
      <w:r>
        <w:rPr>
          <w:rFonts w:hint="default" w:ascii="Arial" w:hAnsi="Arial" w:cs="Arial"/>
          <w:sz w:val="20"/>
          <w:szCs w:val="20"/>
        </w:rPr>
        <w:t>vehicle brands and OEMs.</w:t>
      </w:r>
    </w:p>
    <w:p w14:paraId="2BF28606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(4) The volume of our commercial vehicles exported to South Korea ranks first among all electric commercial vehicles in South Korea.</w:t>
      </w:r>
    </w:p>
    <w:p w14:paraId="7DCCAC44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(5) For more cases, please refer to our corporate introduction PPT.</w:t>
      </w:r>
    </w:p>
    <w:p w14:paraId="2B09A6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8D27BF"/>
    <w:multiLevelType w:val="multilevel"/>
    <w:tmpl w:val="EC8D2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03FFC"/>
    <w:rsid w:val="1B59213E"/>
    <w:rsid w:val="35175D15"/>
    <w:rsid w:val="7B25444A"/>
    <w:rsid w:val="7BCA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509</Words>
  <Characters>3259</Characters>
  <Lines>0</Lines>
  <Paragraphs>0</Paragraphs>
  <TotalTime>1</TotalTime>
  <ScaleCrop>false</ScaleCrop>
  <LinksUpToDate>false</LinksUpToDate>
  <CharactersWithSpaces>3746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2026-09-08T14:27:00Z</dcterms:created>
  <dc:creator>lxt</dc:creator>
  <cp:lastModifiedBy>Harry</cp:lastModifiedBy>
  <dcterms:modified xsi:type="dcterms:W3CDTF">2026-09-08T14:45:12Z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eyJoZGlkIjoiZTllY2M1YWJjMzViOWEyYzY2ZDk3ZTNlMTcwZmE2ZTYiLCJ1c2VySWQiOiIyMzg5Mzk3NTYifQ==</vt:lpwstr>
  </property>
  <property fmtid="{D5CDD505-2E9C-101B-9397-08002B2CF9AE}" pid="4" name="ICV">
    <vt:lpwstr>8984554A55914AE8AE2854BA8CF4A11D_12</vt:lpwstr>
  </property>
</Properties>
</file>