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2023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1134"/>
              <w:jc w:val="center"/>
            </w:pPr>
            <w:r>
              <w:t>Москва</w:t>
              <w:br/>
              <w:t>2023</w:t>
            </w:r>
          </w:p>
        </w:tc>
        <w:tc>
          <w:tcPr>
            <w:tcW w:type="dxa" w:w="5084"/>
          </w:tcPr>
          <w:p/>
        </w:tc>
      </w:tr>
    </w:tbl>
    <w:p>
      <w:pPr>
        <w:sectPr>
          <w:footerReference w:type="default" r:id="rId10"/>
          <w:pgSz w:w="16838" w:h="11906" w:orient="landscape"/>
          <w:pgMar w:top="850" w:right="737" w:bottom="737" w:left="850" w:header="720" w:footer="720" w:gutter="0"/>
          <w:cols w:space="720"/>
          <w:docGrid w:linePitch="360"/>
        </w:sectPr>
      </w:pPr>
    </w:p>
    <w:p>
      <w:r>
        <w:br w:type="page"/>
      </w:r>
    </w:p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Нижний колонтитул для первой секции</w:t>
    </w:r>
    <w:r>
      <w:t>Нижний колонтитул для второй секции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