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</w:tcPr>
          <w:p/>
        </w:tc>
        <w:tc>
          <w:tcPr>
            <w:tcW w:type="dxa" w:w="13039"/>
            <w:tcBorders>
              <w:bottom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8"/>
              </w:rPr>
              <w:br/>
              <w:t>ИСПЫТАТЕЛЬНЫЙ ЦЕНТР ООО НПП «СПЕЦКАБЕЛЬ»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028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S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84"/>
          </w:tcPr>
          <w:p/>
        </w:tc>
        <w:tc>
          <w:tcPr>
            <w:tcW w:type="dxa" w:w="5084"/>
            <w:vMerge w:val="restart"/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t>Начальник лаборатории</w:t>
              <w:br/>
              <w:t>ООО НПП «Спецкабель»</w:t>
              <w:br/>
              <w:t>___________ Н.Е.Молчанов</w:t>
              <w:br/>
              <w:br/>
            </w:r>
            <w:r>
              <w:t>«___» _____________ 2024</w:t>
            </w:r>
          </w:p>
        </w:tc>
      </w:tr>
      <w:tr>
        <w:tc>
          <w:tcPr>
            <w:tcW w:type="dxa" w:w="8504"/>
            <w:gridSpan w:val="2"/>
          </w:tcPr>
          <w:p>
            <w:pPr>
              <w:spacing w:line="240" w:lineRule="exact"/>
              <w:jc w:val="left"/>
            </w:pPr>
            <w:r>
              <w:t>Адрес места осуществления деятельности:</w:t>
              <w:br/>
              <w:t>107497, г. Москва, ул. Бирюсинка, д. 6 корп. 1-5, 7, 9А</w:t>
            </w:r>
          </w:p>
        </w:tc>
        <w:tc>
          <w:tcPr>
            <w:tcW w:type="dxa" w:w="5084"/>
            <w:vMerge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17008"/>
          </w:tcPr>
          <w:p>
            <w:pPr>
              <w:spacing w:line="240" w:lineRule="exact" w:after="12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15252"/>
            <w:gridSpan w:val="3"/>
          </w:tcPr>
          <w:p>
            <w:pPr>
              <w:spacing w:before="1134"/>
            </w:pPr>
            <w:r>
              <w:t xml:space="preserve">1 Листов всего: </w:t>
            </w:r>
            <w:r>
              <w:fldChar w:fldCharType="begin"/>
              <w:instrText xml:separate="preserve">NUMPAGES</w:instrText>
              <w:fldChar w:fldCharType="end"/>
            </w:r>
            <w:r>
              <w:br/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центра."</w:t>
            </w:r>
          </w:p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before="567"/>
              <w:jc w:val="center"/>
            </w:pPr>
            <w:r>
              <w:t>Москва</w:t>
              <w:br/>
              <w:t>2024</w:t>
            </w:r>
          </w:p>
        </w:tc>
        <w:tc>
          <w:tcPr>
            <w:tcW w:type="dxa" w:w="5084"/>
          </w:tcPr>
          <w:p/>
        </w:tc>
      </w:tr>
    </w:tbl>
    <w:p>
      <w:pPr>
        <w:sectPr>
          <w:headerReference w:type="default" r:id="rId10"/>
          <w:pgSz w:w="16838" w:h="11906" w:orient="landscape"/>
          <w:pgMar w:top="850" w:right="737" w:bottom="737" w:left="850" w:header="720" w:footer="720" w:gutter="0"/>
          <w:cols w:space="720"/>
          <w:titlePg/>
          <w:docGrid w:linePitch="360"/>
        </w:sectPr>
      </w:pPr>
    </w:p>
    <w:p>
      <w:r>
        <w:rPr>
          <w:b/>
        </w:rPr>
        <w:t>1</w:t>
      </w:r>
      <w:r>
        <w:t xml:space="preserve"> </w:t>
      </w:r>
      <w:r>
        <w:rPr>
          <w:b/>
        </w:rPr>
        <w:t>Основание для проведения испытаний</w:t>
      </w:r>
      <w:r>
        <w:br/>
      </w:r>
      <w:r>
        <w:t>Документы на проведение сертификационных испытаний ООО «ФаерЛаб» № 0002-2 стр/э/зн от 28.06.2024.</w:t>
      </w:r>
      <w:r>
        <w:br/>
      </w:r>
    </w:p>
    <w:p>
      <w:r>
        <w:rPr>
          <w:b/>
        </w:rPr>
        <w:t>2</w:t>
      </w:r>
      <w:r>
        <w:t xml:space="preserve"> </w:t>
      </w:r>
      <w:r>
        <w:rPr>
          <w:b/>
        </w:rPr>
        <w:t>Информация о заказчике</w:t>
      </w:r>
      <w:r>
        <w:br/>
      </w:r>
      <w:r>
        <w:t xml:space="preserve">юридический адрес: </w:t>
      </w:r>
      <w:r>
        <w:t xml:space="preserve"> </w:t>
      </w:r>
      <w:r>
        <w:t>143985, Московская область, г. Балашиха, мкр. Железнодорожный, ул. Автозаводская, д. 50а, пом. 16, 16а</w:t>
      </w:r>
      <w:r>
        <w:br/>
      </w:r>
      <w:r>
        <w:t xml:space="preserve">адрес места осуществления деятельности: </w:t>
      </w:r>
      <w:r>
        <w:t xml:space="preserve"> </w:t>
      </w:r>
      <w:r>
        <w:t>143985, Московская область, г. Балашиха, мкр. Железнодорожный, ул. Автозаводская, д. 50в, этаж 1, пом. 33</w:t>
      </w:r>
      <w:r>
        <w:br/>
      </w:r>
      <w:r>
        <w:t xml:space="preserve">наименование: </w:t>
      </w:r>
      <w:r>
        <w:t xml:space="preserve"> </w:t>
      </w:r>
      <w:r>
        <w:t>ООО «ФаерЛаб»</w:t>
      </w:r>
      <w:r>
        <w:br/>
      </w:r>
      <w:r>
        <w:t xml:space="preserve">телефон: </w:t>
      </w:r>
      <w:r>
        <w:t xml:space="preserve"> </w:t>
      </w:r>
      <w:r>
        <w:t>+7 (495) 112-01-93</w:t>
      </w:r>
      <w:r>
        <w:br/>
      </w:r>
      <w:r>
        <w:t xml:space="preserve">e-mail: </w:t>
      </w:r>
      <w:r>
        <w:t xml:space="preserve"> </w:t>
      </w:r>
      <w:r>
        <w:t>info@firelab.su</w:t>
      </w:r>
      <w:r>
        <w:br/>
      </w:r>
      <w:r>
        <w:t xml:space="preserve">номер в реестре аккредитованных лиц: </w:t>
      </w:r>
      <w:r>
        <w:t xml:space="preserve"> </w:t>
      </w:r>
      <w:r>
        <w:t>RA.RU.11НК07</w:t>
      </w:r>
      <w:r>
        <w:br/>
      </w:r>
    </w:p>
    <w:p>
      <w:r>
        <w:rPr>
          <w:b/>
        </w:rPr>
        <w:t>3</w:t>
      </w:r>
      <w:r>
        <w:t xml:space="preserve"> </w:t>
      </w:r>
      <w:r>
        <w:rPr>
          <w:b/>
        </w:rPr>
        <w:t>Информация об объекте испытаний</w:t>
      </w:r>
      <w:r>
        <w:br/>
      </w:r>
      <w:r>
        <w:t xml:space="preserve">ID: </w:t>
      </w:r>
      <w:r>
        <w:t xml:space="preserve"> </w:t>
      </w:r>
      <w:r>
        <w:t>3926</w:t>
      </w:r>
      <w:r>
        <w:br/>
      </w:r>
      <w:r>
        <w:t xml:space="preserve">Образец представлен на испытания: </w:t>
      </w:r>
      <w:r>
        <w:t xml:space="preserve"> </w:t>
      </w:r>
      <w:r>
        <w:t>19.07.2024</w:t>
      </w:r>
      <w:r>
        <w:br/>
      </w:r>
      <w:r>
        <w:t xml:space="preserve">Марка: </w:t>
      </w:r>
      <w:r>
        <w:t xml:space="preserve"> </w:t>
      </w:r>
      <w:r>
        <w:t>КПпЭфнг(A)-HF 1х2х0,98</w:t>
      </w:r>
      <w:r>
        <w:br/>
      </w:r>
      <w:r>
        <w:t xml:space="preserve">Партия: </w:t>
      </w:r>
      <w:r>
        <w:t xml:space="preserve"> </w:t>
      </w:r>
      <w:r/>
      <w:r>
        <w:br/>
      </w:r>
      <w:r>
        <w:t xml:space="preserve">Папка с фото образца: </w:t>
      </w:r>
      <w:r>
        <w:t xml:space="preserve"> </w:t>
      </w:r>
      <w:r/>
      <w:r>
        <w:br/>
      </w:r>
    </w:p>
    <w:p>
      <w:r>
        <w:rPr>
          <w:b/>
        </w:rPr>
        <w:t>4</w:t>
      </w:r>
      <w:r>
        <w:t xml:space="preserve"> </w:t>
      </w:r>
      <w:r>
        <w:rPr>
          <w:b/>
        </w:rPr>
        <w:t>Даты проведения испытаний</w:t>
      </w:r>
      <w:r>
        <w:br/>
      </w:r>
      <w:r>
        <w:t>Дата начала</w:t>
      </w:r>
      <w:r>
        <w:t xml:space="preserve"> </w:t>
      </w:r>
      <w:r>
        <w:t>14.07.2024</w:t>
      </w:r>
      <w:r>
        <w:br/>
      </w:r>
      <w:r>
        <w:t>Дата окончания</w:t>
      </w:r>
      <w:r>
        <w:t xml:space="preserve"> </w:t>
      </w:r>
      <w:r>
        <w:t>25.07.2024</w:t>
      </w:r>
      <w:r>
        <w:br/>
      </w:r>
    </w:p>
    <w:p>
      <w:r>
        <w:rPr>
          <w:b/>
        </w:rPr>
        <w:t>5</w:t>
      </w:r>
      <w:r>
        <w:t xml:space="preserve"> </w:t>
      </w:r>
      <w:r>
        <w:rPr>
          <w:b/>
        </w:rPr>
        <w:t>Цель испытаний</w:t>
      </w:r>
      <w:r>
        <w:br/>
      </w:r>
      <w:r>
        <w:t>Определение соответствия кабеля марки КПпЭфнг(A)-HF 1х2х0,98 требованиям ГОСТ 31565-2012"Кабельные изделия. Требования пожарной безопасности" (п. 5.3, 5.5), ТУ 16.К99-027-2005"КАБЕЛИ СИММЕТРИЧНЫЕ ДЛЯ СЕТЕЙ ПРОМЫШЛЕННОЙ АВТОМАТИЗАЦИИ С НИЗКИМ ДЫМО- И ГАЗОВЫДЕЛЕНИЕМ" (п. 1.2.2, 1.2.2, 2.2.1, 1.3.1, 1.3.2, 1.3.3, 1.3.5, 1.3.7, 1.3.8, 1.4.7, 1.5.1, 1.5.2, 1.5.3, 1.6.2, 1.3.14, 1.4.1, табл. 5, п. 1, 1.4.1, табл. 5, п. 2, 1.4.1, табл. 5, п. 3, 1.4.1, табл. 5, п. 4, 1.4.1, табл. 5, п. 5, 1.4.1, табл. 5, п. 6, 1.4.1, табл. 5, п. 7, 1.4.1, табл. 5, п. 7)</w:t>
      </w:r>
      <w:r>
        <w:br/>
      </w:r>
    </w:p>
    <w:p>
      <w:r>
        <w:rPr>
          <w:b/>
        </w:rPr>
        <w:t>6</w:t>
      </w:r>
      <w:r>
        <w:t xml:space="preserve"> </w:t>
      </w:r>
      <w:r>
        <w:rPr>
          <w:b/>
        </w:rPr>
        <w:t>Условия окружающей среды</w:t>
      </w:r>
      <w:r>
        <w:br/>
      </w:r>
      <w:r>
        <w:t>Температура</w:t>
      </w:r>
      <w:r>
        <w:t xml:space="preserve"> </w:t>
      </w:r>
      <w:r>
        <w:t>(21,0 - 24,0) °C</w:t>
      </w:r>
      <w:r>
        <w:br/>
      </w:r>
      <w:r>
        <w:t>Относительная влажность воздуха</w:t>
      </w:r>
      <w:r>
        <w:t xml:space="preserve"> </w:t>
      </w:r>
      <w:r>
        <w:t>(44,0 - 56,0) %</w:t>
      </w:r>
      <w:r>
        <w:br/>
      </w:r>
      <w:r>
        <w:t>Атмосферное давление</w:t>
      </w:r>
      <w:r>
        <w:t xml:space="preserve"> </w:t>
      </w:r>
      <w:r>
        <w:t>(97,5 - 97,5) кПа</w:t>
      </w:r>
      <w:r>
        <w:br/>
      </w:r>
    </w:p>
    <w:p>
      <w:r>
        <w:rPr>
          <w:b/>
        </w:rPr>
        <w:t>7</w:t>
      </w:r>
      <w:r>
        <w:t xml:space="preserve"> </w:t>
      </w:r>
      <w:r>
        <w:rPr>
          <w:b/>
        </w:rPr>
        <w:t>Методы испытаний</w:t>
      </w:r>
      <w:r>
        <w:br/>
      </w:r>
      <w:r>
        <w:t>ГОСТ 12177-79</w:t>
      </w:r>
      <w:r>
        <w:t xml:space="preserve"> </w:t>
      </w:r>
      <w:r>
        <w:t>Кабели, провода и шнуры. Методы проверки конструкции</w:t>
      </w:r>
      <w:r>
        <w:br/>
      </w:r>
      <w:r>
        <w:t>ГОСТ 20.57.406-81</w:t>
      </w:r>
      <w:r>
        <w:t xml:space="preserve"> </w:t>
      </w:r>
      <w:r>
        <w:t>Комплексная система контроля качества. Изделия электронной техники, квантовой электроники и электротехнические методы испытаний</w:t>
      </w:r>
      <w:r>
        <w:br/>
      </w:r>
      <w:r>
        <w:t>ГОСТ 27893-88</w:t>
      </w:r>
      <w:r>
        <w:t xml:space="preserve"> </w:t>
      </w:r>
      <w:r>
        <w:t>Кабели связи. Методы испытаний</w:t>
      </w:r>
      <w:r>
        <w:br/>
      </w:r>
      <w:r>
        <w:t>ГОСТ 2990-78</w:t>
      </w:r>
      <w:r>
        <w:t xml:space="preserve"> </w:t>
      </w:r>
      <w:r>
        <w:t>Кабели,провода и шнуры. Методы испытания напряжением</w:t>
      </w:r>
      <w:r>
        <w:br/>
      </w:r>
      <w:r>
        <w:t>ГОСТ 3345-76</w:t>
      </w:r>
      <w:r>
        <w:t xml:space="preserve"> </w:t>
      </w:r>
      <w:r>
        <w:t>Кабели,провода и шнуры. Метод определения эллектрического сопротивления изоляции</w:t>
      </w:r>
      <w:r>
        <w:br/>
      </w:r>
      <w:r>
        <w:t>ГОСТ 7229-76</w:t>
      </w:r>
      <w:r>
        <w:t xml:space="preserve"> </w:t>
      </w:r>
      <w:r>
        <w:t>Кабели,провода и шнуры. Метод определения эллектрического сопротивления токопроводящих жили проводов</w:t>
      </w:r>
      <w:r>
        <w:br/>
      </w:r>
      <w:r>
        <w:t>ГОСТ IEC 60332-3-22-2011</w:t>
      </w:r>
      <w:r>
        <w:t xml:space="preserve"> </w:t>
      </w:r>
      <w:r>
        <w:t>Испытания электрических и оптических кабелей в условиях воздействия пламени. Часть 3-22. Распространение пламени по вертикально расположенный пучкам проводов или кабеля. категория A</w:t>
      </w:r>
      <w:r>
        <w:br/>
      </w:r>
      <w:r>
        <w:t>ГОСТ IEC 60811-501-2015</w:t>
      </w:r>
      <w:r>
        <w:t xml:space="preserve"> </w:t>
      </w:r>
      <w:r>
        <w:t>Кабели электрические и волоконно-оптические. Методы испытаний неметаллических материалов. Часть 501. Механические испытания испытания для определения механических свойств композиций изоляции и оболочки</w:t>
      </w:r>
      <w:r>
        <w:br/>
      </w:r>
      <w:r>
        <w:t>ГОСТ IEC 61034-2-2011</w:t>
      </w:r>
      <w:r>
        <w:t xml:space="preserve"> </w:t>
      </w:r>
      <w:r>
        <w:t>Измерение плотности дыма при горении кабелей в заданных условиях. Часть 2. Метод испытания и требования к нему</w:t>
      </w:r>
      <w:r>
        <w:br/>
      </w:r>
      <w:r>
        <w:t>ГОСТ Р 54429-2011</w:t>
      </w:r>
      <w:r>
        <w:t xml:space="preserve"> </w:t>
      </w:r>
      <w:r>
        <w:t>Кабели связи симметричные для цифровых систем передачи. Общие технические условия</w:t>
      </w:r>
      <w:r>
        <w:br/>
      </w:r>
    </w:p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Протокол №</w:t>
    </w:r>
  </w:p>
  <w:p>
    <w:pPr>
      <w:spacing w:after="0"/>
      <w:jc w:val="right"/>
    </w:pPr>
    <w:r>
      <w:t xml:space="preserve">Лист </w:t>
    </w:r>
    <w:r>
      <w:fldChar w:fldCharType="begin"/>
      <w:instrText xml:separate="preserve">PAGE</w:instrText>
      <w:fldChar w:fldCharType="end"/>
    </w:r>
  </w:p>
  <w:p>
    <w:pPr>
      <w:jc w:val="right"/>
    </w:pPr>
    <w:r>
      <w:t xml:space="preserve">Всего листов </w:t>
    </w:r>
    <w:r>
      <w:fldChar w:fldCharType="begin"/>
      <w:instrText xml:separate="preserve">NUMPAGES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