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4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Методы испытаний</w:t>
      </w:r>
    </w:p>
    <w:p>
      <w:r>
        <w:t>Методы испытаний в соответствии с требованиями:</w:t>
        <w:br/>
      </w:r>
    </w:p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