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5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  <w:vMerge w:val="restart"/>
            <w:tcBorders>
              <w:top w:sz="6" w:val="double" w:color="black" w:space="0"/>
              <w:start w:sz="6" w:val="double" w:color="black" w:space="0"/>
            </w:tcBorders>
          </w:tcPr>
          <w:p>
            <w:pPr>
              <w:jc w:val="center"/>
            </w:pPr>
            <w: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Номера пунктов НД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Согласно НД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bottom w:sz="9" w:val="double" w:color="black" w:space="0"/>
              <w:start w:sz="6" w:val="double" w:color="black" w:space="0"/>
            </w:tcBorders>
          </w:tcPr>
          <w:p/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технических требований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методов испытаний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Значение показателя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Допуск</w:t>
            </w:r>
          </w:p>
        </w:tc>
        <w:tc>
          <w:tcPr>
            <w:tcW w:type="dxa" w:w="2179"/>
            <w:vMerge/>
            <w:tcBorders>
              <w:bottom w:sz="9" w:val="double" w:color="black" w:space="0"/>
            </w:tcBorders>
          </w:tcPr>
          <w:p/>
        </w:tc>
        <w:tc>
          <w:tcPr>
            <w:tcW w:type="dxa" w:w="2179"/>
            <w:vMerge/>
            <w:tcBorders>
              <w:bottom w:sz="9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Проверка внешнего вида маркировки, ее разборчивости и содержания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4.2.1.4, 4.7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7.7.2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Испытание маркировки на прочность к воздействию влаги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4.7.3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7.7.3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Проверка внешнего вида кабеля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электрического сопротивления изоляции токопроводящих жил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4)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7.3.1.2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напряжением постоянного тока между токопроводящими жилами пары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14)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7.3.1.3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напряжением постоянного тока между всеми токопроводящими жилами и экраном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15)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7.3.1.4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отсутствия обрывов жил, экранов, контактов между токопроводящими жилами, между токопроводящими жилами и экраном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4.2.1.10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7.3.1.7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Проверка внешнего вида маркировки, ее разборчивости и содержания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4.2.1.4, 4.7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7.7.2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электрического сопротивления токопроводящих жил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1)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омической асимметрии изолированных токопроводящих жил в паре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4. 3.1</w:t>
              <w:br/>
              <w:t>(таблица 4.1, параметр 2)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7.3.1.5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электрической емкости пары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4)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7.3.1.5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емкостной асимметрии пар по отношению к экрану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5)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7.3.1.5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максимальной разности времени задержки сигнала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7)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коэффициента затухания пар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8)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переходного затухания суммарной мощности влияния на ближнем конце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10)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переходного затухания на ближнем конце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11)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защищенности пар на дальнем конце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12)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волнового сопротивления пар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13)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Проверка общего вида, элементов конструкции и основных размеров кабеля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3.3; 4.2.1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7.2.1</w:t>
              <w:br/>
              <w:t>7.2.4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продольному гидростатическому давлению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параметр11)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7.4.1.23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безотказность (кратковременные) продолжительностью 500 (1000) ч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4.5.1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7.5.2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Контроль относительного удлинения при разрыве токопроводящей жилы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16)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7.3.1.10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Контроль относительного удлинения при разрыве изоляции токопроводящей жилы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17)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7.3.1.11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Контроль относительного удлинения при разрыве оболочки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18)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7.3.1.12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прочности при растяжении изоляции токопроводящей жилы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19)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7.3.1.13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Контроль прочности при растяжении оболочки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</w:t>
              <w:br/>
              <w:t>(таблица 4.1, параметр 20)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7.3.1.14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стойкости к многократным изгибам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4.3.1.1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усадки линейных размеров изоляции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4.3.1.2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7.2.7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 стойкость к воздействию повышенной температуры среды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5)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 стойкость к воздействию пониженной температуры среды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6)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7.4.1.2</w:t>
              <w:br/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 стойкость к воздействию изменения температуры среды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7)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 стойкость к воздействию повышенной влажности воздуха (кратковременное)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8)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Испытание маркировки на сохранение разборчивости </w:t>
              <w:br/>
              <w:t>и прочности при эксплуатации, транспортировании и хранении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4.7.4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7.7.4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Проверка массы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Проверка возможности вертикальной прокладки кабеля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7.2.12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безотказность (длительные) продолжительностью 2000 ч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4.5.1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7.5.3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Испытание на нераспространение горения при групповой прокладке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4.2.5.1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7.2.8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 xml:space="preserve">Испытание на дымообразование 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4.2.5.2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7.2.9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сопротивления связи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6)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7.3.1.8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температурного коэффициента затухания пар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4.3.1 </w:t>
              <w:br/>
              <w:t>(таблица 4.1, параметр 9)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7.3.1.9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 стойкость к воздействию солнечного излучения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16)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повышенному атмосферному давлению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12)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7.4.1.18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пониженному атмосферному давлению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13)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7.4.1.19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Проверка коррозийной активности продуктов дымо и газовыделения при горении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4.2.5.4 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7.2.11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гидростатическому радиальному давлению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10)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горючесмазочным материалам (ГСМ)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20, 21)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морской воде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18)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раствору щавелевой кислоты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параметр1 9)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7.4.1.17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кабеля на воздействие предельной повышенной температуры среды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4.3.3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7.4.1.21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Испытание на воздействие атмосферных конденсированных осадков (инея и росы)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 xml:space="preserve"> (таблица 4.3, параметр 9)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7.4.1.22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относительного удлинения при разрыве оболочки из композиции, не содержащей галогенов после теплового старения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4.3.2 </w:t>
              <w:br/>
              <w:t>(таблица 4.2, параметр 6)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Контроль прочности при растяжении оболочки из композиции, не содержащей галогенов после теплового старения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 xml:space="preserve">4.3.2 </w:t>
              <w:br/>
              <w:t>(таблица 4.2, параметр 7)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7.3.1.17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  <w:tr>
        <w:tc>
          <w:tcPr>
            <w:tcW w:type="dxa" w:w="2179"/>
          </w:tcPr>
          <w:p>
            <w:pPr>
              <w:jc w:val="both"/>
            </w:pPr>
            <w:r>
              <w:t>Испытания на стойкость к продольному гидростатическому давлению в течение 24 ч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4.4.1</w:t>
              <w:br/>
              <w:t>(таблица 4.3, параметр 24)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7.4.1.24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/>
        </w:tc>
        <w:tc>
          <w:tcPr>
            <w:tcW w:type="dxa" w:w="2179"/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