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2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start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  <w:tcBorders>
              <w:end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1 Внешние факторы</w:t>
            </w:r>
          </w:p>
        </w:tc>
      </w:tr>
      <w:tr>
        <w:tc>
          <w:tcPr>
            <w:tcW w:type="dxa" w:w="2179"/>
            <w:tcBorders>
              <w:end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1.1Электрическое сопротивление токопроводящих жил, пересчитанное на 1 км длины и температуру 20 С, Ом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5.2.2.1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8.2.2.1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25.0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start w:sz="6" w:val="double" w:space="0"/>
            </w:tcBorders>
          </w:tcPr>
          <w:p>
            <w:pPr>
              <w:spacing w:after="0" w:before="0"/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 xml:space="preserve"> Параметры образцов и условия испытания:</w:t>
            </w:r>
          </w:p>
          <w:p>
            <w:pPr>
              <w:spacing w:after="0" w:before="0"/>
            </w:pPr>
            <w:r>
              <w:rPr>
                <w:sz w:val="20"/>
              </w:rPr>
              <w:t>- длина образца: 2,5 м;</w:t>
            </w:r>
          </w:p>
          <w:p>
            <w:pPr>
              <w:spacing w:after="0" w:before="0"/>
            </w:pPr>
            <w:r>
              <w:rPr>
                <w:sz w:val="20"/>
              </w:rPr>
              <w:t>- температура выдержки в камере: 80 С;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pPr>
              <w:spacing w:after="0" w:before="0"/>
            </w:pPr>
            <w:r>
              <w:rPr>
                <w:sz w:val="20"/>
              </w:rPr>
              <w:t>12.1</w:t>
            </w:r>
            <w:r>
              <w:rPr>
                <w:sz w:val="20"/>
              </w:rPr>
              <w:t xml:space="preserve"> Критерии годности:</w:t>
            </w:r>
          </w:p>
          <w:p>
            <w:pPr>
              <w:spacing w:after="0" w:before="0"/>
            </w:pPr>
            <w:r>
              <w:rPr>
                <w:sz w:val="20"/>
              </w:rPr>
              <w:t>- внешний вид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spacing w:after="0" w:before="0"/>
            </w:pPr>
          </w:p>
          <w:p>
            <w:pPr>
              <w:spacing w:after="0" w:before="0"/>
            </w:pPr>
            <w:r>
              <w:rPr>
                <w:sz w:val="20"/>
              </w:rPr>
              <w:t>На поверхности оболочки не должно быть трещин.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