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71430" w14:textId="77777777" w:rsidR="001E3539" w:rsidRPr="001E3539" w:rsidRDefault="001E3539" w:rsidP="001E3539">
      <w:r w:rsidRPr="001E3539">
        <w:rPr>
          <w:b/>
          <w:bCs/>
        </w:rPr>
        <w:t xml:space="preserve">Stage 3 – Predictive </w:t>
      </w:r>
      <w:proofErr w:type="spellStart"/>
      <w:r w:rsidRPr="001E3539">
        <w:rPr>
          <w:b/>
          <w:bCs/>
        </w:rPr>
        <w:t>Modeling</w:t>
      </w:r>
      <w:proofErr w:type="spellEnd"/>
      <w:r w:rsidRPr="001E3539">
        <w:rPr>
          <w:b/>
          <w:bCs/>
        </w:rPr>
        <w:t xml:space="preserve"> and Customer Churn Analysis</w:t>
      </w:r>
    </w:p>
    <w:p w14:paraId="743E3EB7" w14:textId="77777777" w:rsidR="001E3539" w:rsidRPr="001E3539" w:rsidRDefault="001E3539" w:rsidP="001E3539">
      <w:r w:rsidRPr="001E3539">
        <w:pict w14:anchorId="709E61AB">
          <v:rect id="_x0000_i1061" style="width:0;height:1.5pt" o:hralign="center" o:hrstd="t" o:hr="t" fillcolor="#a0a0a0" stroked="f"/>
        </w:pict>
      </w:r>
    </w:p>
    <w:p w14:paraId="12F8E50D" w14:textId="77777777" w:rsidR="001E3539" w:rsidRPr="001E3539" w:rsidRDefault="001E3539" w:rsidP="001E3539">
      <w:r w:rsidRPr="001E3539">
        <w:rPr>
          <w:b/>
          <w:bCs/>
        </w:rPr>
        <w:t>Overview</w:t>
      </w:r>
    </w:p>
    <w:p w14:paraId="7177CCDB" w14:textId="77777777" w:rsidR="001E3539" w:rsidRPr="001E3539" w:rsidRDefault="001E3539" w:rsidP="001E3539">
      <w:r w:rsidRPr="001E3539">
        <w:t xml:space="preserve">In Stage 3, we focused on building a robust predictive model to identify customers likely to churn. After completing data preprocessing and exploratory analysis in earlier stages, we transitioned to predictive </w:t>
      </w:r>
      <w:proofErr w:type="spellStart"/>
      <w:r w:rsidRPr="001E3539">
        <w:t>modeling</w:t>
      </w:r>
      <w:proofErr w:type="spellEnd"/>
      <w:r w:rsidRPr="001E3539">
        <w:t xml:space="preserve"> using an Artificial Neural Network (ANN). This stage involved defining the ANN architecture, training it on scaled and encoded data, evaluating its performance, and interpreting key findings.</w:t>
      </w:r>
    </w:p>
    <w:p w14:paraId="1BFAE30C" w14:textId="77777777" w:rsidR="001E3539" w:rsidRPr="001E3539" w:rsidRDefault="001E3539" w:rsidP="001E3539">
      <w:r w:rsidRPr="001E3539">
        <w:pict w14:anchorId="0715DB87">
          <v:rect id="_x0000_i1062" style="width:0;height:1.5pt" o:hralign="center" o:hrstd="t" o:hr="t" fillcolor="#a0a0a0" stroked="f"/>
        </w:pict>
      </w:r>
    </w:p>
    <w:p w14:paraId="02E51602" w14:textId="77777777" w:rsidR="001E3539" w:rsidRPr="001E3539" w:rsidRDefault="001E3539" w:rsidP="001E3539">
      <w:r w:rsidRPr="001E3539">
        <w:rPr>
          <w:b/>
          <w:bCs/>
        </w:rPr>
        <w:t>1. Artificial Neural Network (ANN) Architecture</w:t>
      </w:r>
    </w:p>
    <w:p w14:paraId="298A0B9E" w14:textId="77777777" w:rsidR="001E3539" w:rsidRPr="001E3539" w:rsidRDefault="001E3539" w:rsidP="001E3539">
      <w:r w:rsidRPr="001E3539">
        <w:t>We used a feedforward neural network, tailored to capture the complex relationships within our customer data. The ANN model comprises the following layers:</w:t>
      </w:r>
    </w:p>
    <w:p w14:paraId="2FEC6B6B" w14:textId="77777777" w:rsidR="001E3539" w:rsidRPr="001E3539" w:rsidRDefault="001E3539" w:rsidP="001E3539">
      <w:r w:rsidRPr="001E3539">
        <w:rPr>
          <w:b/>
          <w:bCs/>
        </w:rPr>
        <w:t>Input Layer</w:t>
      </w:r>
    </w:p>
    <w:p w14:paraId="1BE1A923" w14:textId="77777777" w:rsidR="001E3539" w:rsidRPr="001E3539" w:rsidRDefault="001E3539" w:rsidP="001E3539">
      <w:pPr>
        <w:numPr>
          <w:ilvl w:val="0"/>
          <w:numId w:val="1"/>
        </w:numPr>
      </w:pPr>
      <w:r w:rsidRPr="001E3539">
        <w:t xml:space="preserve">Contains 20 neurons, each representing a distinct input feature (e.g., tenure, </w:t>
      </w:r>
      <w:proofErr w:type="spellStart"/>
      <w:r w:rsidRPr="001E3539">
        <w:t>MonthlyCharges</w:t>
      </w:r>
      <w:proofErr w:type="spellEnd"/>
      <w:r w:rsidRPr="001E3539">
        <w:t>, Contract type, etc.).</w:t>
      </w:r>
    </w:p>
    <w:p w14:paraId="3B225F35" w14:textId="77777777" w:rsidR="001E3539" w:rsidRPr="001E3539" w:rsidRDefault="001E3539" w:rsidP="001E3539">
      <w:pPr>
        <w:numPr>
          <w:ilvl w:val="0"/>
          <w:numId w:val="1"/>
        </w:numPr>
      </w:pPr>
      <w:r w:rsidRPr="001E3539">
        <w:t>No activation function is applied here; it serves to pass the scaled inputs to the next layer.</w:t>
      </w:r>
    </w:p>
    <w:p w14:paraId="30AB56A3" w14:textId="77777777" w:rsidR="001E3539" w:rsidRPr="001E3539" w:rsidRDefault="001E3539" w:rsidP="001E3539">
      <w:r w:rsidRPr="001E3539">
        <w:rPr>
          <w:b/>
          <w:bCs/>
        </w:rPr>
        <w:t>Hidden Layer 1</w:t>
      </w:r>
    </w:p>
    <w:p w14:paraId="382771A6" w14:textId="77777777" w:rsidR="001E3539" w:rsidRPr="001E3539" w:rsidRDefault="001E3539" w:rsidP="001E3539">
      <w:pPr>
        <w:numPr>
          <w:ilvl w:val="0"/>
          <w:numId w:val="2"/>
        </w:numPr>
      </w:pPr>
      <w:r w:rsidRPr="001E3539">
        <w:t>Consists of 64 neurons.</w:t>
      </w:r>
    </w:p>
    <w:p w14:paraId="5C3FBD40" w14:textId="77777777" w:rsidR="001E3539" w:rsidRPr="001E3539" w:rsidRDefault="001E3539" w:rsidP="001E3539">
      <w:pPr>
        <w:numPr>
          <w:ilvl w:val="0"/>
          <w:numId w:val="2"/>
        </w:numPr>
      </w:pPr>
      <w:r w:rsidRPr="001E3539">
        <w:t>Uses the ReLU (Rectified Linear Unit) activation function, which introduces non-linearity and avoids the vanishing gradient problem common in deep networks.</w:t>
      </w:r>
    </w:p>
    <w:p w14:paraId="144C3930" w14:textId="77777777" w:rsidR="001E3539" w:rsidRPr="001E3539" w:rsidRDefault="001E3539" w:rsidP="001E3539">
      <w:pPr>
        <w:numPr>
          <w:ilvl w:val="0"/>
          <w:numId w:val="2"/>
        </w:numPr>
      </w:pPr>
      <w:r w:rsidRPr="001E3539">
        <w:t>Includes a Dropout layer (30%) to randomly deactivate neurons during training. This regularization technique helps prevent overfitting by forcing the network to learn multiple independent representations.</w:t>
      </w:r>
    </w:p>
    <w:p w14:paraId="4B3AA05B" w14:textId="77777777" w:rsidR="001E3539" w:rsidRPr="001E3539" w:rsidRDefault="001E3539" w:rsidP="001E3539">
      <w:r w:rsidRPr="001E3539">
        <w:rPr>
          <w:b/>
          <w:bCs/>
        </w:rPr>
        <w:t>Hidden Layer 2</w:t>
      </w:r>
    </w:p>
    <w:p w14:paraId="2326AC8F" w14:textId="77777777" w:rsidR="001E3539" w:rsidRPr="001E3539" w:rsidRDefault="001E3539" w:rsidP="001E3539">
      <w:pPr>
        <w:numPr>
          <w:ilvl w:val="0"/>
          <w:numId w:val="3"/>
        </w:numPr>
      </w:pPr>
      <w:r w:rsidRPr="001E3539">
        <w:t>Contains 32 neurons with ReLU activation.</w:t>
      </w:r>
    </w:p>
    <w:p w14:paraId="1DB6BA33" w14:textId="77777777" w:rsidR="001E3539" w:rsidRPr="001E3539" w:rsidRDefault="001E3539" w:rsidP="001E3539">
      <w:pPr>
        <w:numPr>
          <w:ilvl w:val="0"/>
          <w:numId w:val="3"/>
        </w:numPr>
      </w:pPr>
      <w:r w:rsidRPr="001E3539">
        <w:t>Another Dropout layer (30%) is used to continue regularization as model depth increases.</w:t>
      </w:r>
    </w:p>
    <w:p w14:paraId="0611FE9D" w14:textId="77777777" w:rsidR="001E3539" w:rsidRPr="001E3539" w:rsidRDefault="001E3539" w:rsidP="001E3539">
      <w:r w:rsidRPr="001E3539">
        <w:rPr>
          <w:b/>
          <w:bCs/>
        </w:rPr>
        <w:t>Output Layer</w:t>
      </w:r>
    </w:p>
    <w:p w14:paraId="7B617678" w14:textId="77777777" w:rsidR="001E3539" w:rsidRPr="001E3539" w:rsidRDefault="001E3539" w:rsidP="001E3539">
      <w:pPr>
        <w:numPr>
          <w:ilvl w:val="0"/>
          <w:numId w:val="4"/>
        </w:numPr>
      </w:pPr>
      <w:r w:rsidRPr="001E3539">
        <w:t>Contains 1 neuron.</w:t>
      </w:r>
    </w:p>
    <w:p w14:paraId="650AC497" w14:textId="77777777" w:rsidR="001E3539" w:rsidRPr="001E3539" w:rsidRDefault="001E3539" w:rsidP="001E3539">
      <w:pPr>
        <w:numPr>
          <w:ilvl w:val="0"/>
          <w:numId w:val="4"/>
        </w:numPr>
      </w:pPr>
      <w:r w:rsidRPr="001E3539">
        <w:t>Uses a Sigmoid activation to produce a probability between 0 and 1, indicating the likelihood of customer churn.</w:t>
      </w:r>
    </w:p>
    <w:p w14:paraId="6924BD61" w14:textId="77777777" w:rsidR="001E3539" w:rsidRPr="001E3539" w:rsidRDefault="001E3539" w:rsidP="001E3539">
      <w:r w:rsidRPr="001E3539">
        <w:t xml:space="preserve">The chosen architecture balances depth and complexity to avoid overfitting while enabling accurate classification of churn </w:t>
      </w:r>
      <w:proofErr w:type="spellStart"/>
      <w:r w:rsidRPr="001E3539">
        <w:t>behavior</w:t>
      </w:r>
      <w:proofErr w:type="spellEnd"/>
      <w:r w:rsidRPr="001E3539">
        <w:t>.</w:t>
      </w:r>
    </w:p>
    <w:p w14:paraId="41821AFD" w14:textId="77777777" w:rsidR="001E3539" w:rsidRPr="001E3539" w:rsidRDefault="001E3539" w:rsidP="001E3539">
      <w:r w:rsidRPr="001E3539">
        <w:pict w14:anchorId="6C938E00">
          <v:rect id="_x0000_i1063" style="width:0;height:1.5pt" o:hralign="center" o:hrstd="t" o:hr="t" fillcolor="#a0a0a0" stroked="f"/>
        </w:pict>
      </w:r>
    </w:p>
    <w:p w14:paraId="37523334" w14:textId="77777777" w:rsidR="001E3539" w:rsidRPr="001E3539" w:rsidRDefault="001E3539" w:rsidP="001E3539">
      <w:r w:rsidRPr="001E3539">
        <w:rPr>
          <w:b/>
          <w:bCs/>
        </w:rPr>
        <w:t>2. Optimization and Training Details</w:t>
      </w:r>
    </w:p>
    <w:p w14:paraId="67831CD1" w14:textId="77777777" w:rsidR="001E3539" w:rsidRPr="001E3539" w:rsidRDefault="001E3539" w:rsidP="001E3539">
      <w:r w:rsidRPr="001E3539">
        <w:lastRenderedPageBreak/>
        <w:t>To ensure the model learns efficiently and generalizes well, we applied several strategies during training:</w:t>
      </w:r>
    </w:p>
    <w:p w14:paraId="2BF57058" w14:textId="77777777" w:rsidR="001E3539" w:rsidRPr="001E3539" w:rsidRDefault="001E3539" w:rsidP="001E3539">
      <w:r w:rsidRPr="001E3539">
        <w:rPr>
          <w:b/>
          <w:bCs/>
        </w:rPr>
        <w:t>Loss Function</w:t>
      </w:r>
    </w:p>
    <w:p w14:paraId="01E3A176" w14:textId="77777777" w:rsidR="001E3539" w:rsidRPr="001E3539" w:rsidRDefault="001E3539" w:rsidP="001E3539">
      <w:pPr>
        <w:numPr>
          <w:ilvl w:val="0"/>
          <w:numId w:val="5"/>
        </w:numPr>
      </w:pPr>
      <w:r w:rsidRPr="001E3539">
        <w:t xml:space="preserve">We used Binary </w:t>
      </w:r>
      <w:proofErr w:type="spellStart"/>
      <w:r w:rsidRPr="001E3539">
        <w:t>Crossentropy</w:t>
      </w:r>
      <w:proofErr w:type="spellEnd"/>
      <w:r w:rsidRPr="001E3539">
        <w:t>, ideal for binary classification tasks. This function penalizes incorrect predictions more as they deviate from the true class probability.</w:t>
      </w:r>
    </w:p>
    <w:p w14:paraId="14B5D5E8" w14:textId="77777777" w:rsidR="001E3539" w:rsidRPr="001E3539" w:rsidRDefault="001E3539" w:rsidP="001E3539">
      <w:r w:rsidRPr="001E3539">
        <w:rPr>
          <w:b/>
          <w:bCs/>
        </w:rPr>
        <w:t>Optimizer</w:t>
      </w:r>
    </w:p>
    <w:p w14:paraId="1EDBD4F1" w14:textId="77777777" w:rsidR="001E3539" w:rsidRPr="001E3539" w:rsidRDefault="001E3539" w:rsidP="001E3539">
      <w:pPr>
        <w:numPr>
          <w:ilvl w:val="0"/>
          <w:numId w:val="6"/>
        </w:numPr>
      </w:pPr>
      <w:r w:rsidRPr="001E3539">
        <w:t xml:space="preserve">The Adam (Adaptive Moment Estimation) optimizer was used. It combines the strengths of both </w:t>
      </w:r>
      <w:proofErr w:type="spellStart"/>
      <w:r w:rsidRPr="001E3539">
        <w:t>RMSProp</w:t>
      </w:r>
      <w:proofErr w:type="spellEnd"/>
      <w:r w:rsidRPr="001E3539">
        <w:t xml:space="preserve"> and SGD with momentum, adjusting learning rates dynamically based on the gradient’s first and second moments.</w:t>
      </w:r>
    </w:p>
    <w:p w14:paraId="7284D9BF" w14:textId="77777777" w:rsidR="001E3539" w:rsidRPr="001E3539" w:rsidRDefault="001E3539" w:rsidP="001E3539">
      <w:r w:rsidRPr="001E3539">
        <w:rPr>
          <w:b/>
          <w:bCs/>
        </w:rPr>
        <w:t>Training Configuration</w:t>
      </w:r>
    </w:p>
    <w:p w14:paraId="6DA25711" w14:textId="77777777" w:rsidR="001E3539" w:rsidRPr="001E3539" w:rsidRDefault="001E3539" w:rsidP="001E3539">
      <w:pPr>
        <w:numPr>
          <w:ilvl w:val="0"/>
          <w:numId w:val="7"/>
        </w:numPr>
      </w:pPr>
      <w:r w:rsidRPr="001E3539">
        <w:t>Batch Size: 32 – offering a balance between noise (which helps generalization) and computational efficiency.</w:t>
      </w:r>
    </w:p>
    <w:p w14:paraId="07F3098F" w14:textId="77777777" w:rsidR="001E3539" w:rsidRPr="001E3539" w:rsidRDefault="001E3539" w:rsidP="001E3539">
      <w:pPr>
        <w:numPr>
          <w:ilvl w:val="0"/>
          <w:numId w:val="7"/>
        </w:numPr>
      </w:pPr>
      <w:r w:rsidRPr="001E3539">
        <w:t xml:space="preserve">Epochs: Capped at 100, but we used </w:t>
      </w:r>
      <w:proofErr w:type="spellStart"/>
      <w:r w:rsidRPr="001E3539">
        <w:t>EarlyStopping</w:t>
      </w:r>
      <w:proofErr w:type="spellEnd"/>
      <w:r w:rsidRPr="001E3539">
        <w:t xml:space="preserve"> to monitor validation loss. Training was halted if no improvement was observed after 5 consecutive epochs, reducing the risk of overfitting.</w:t>
      </w:r>
    </w:p>
    <w:p w14:paraId="11C27976" w14:textId="77777777" w:rsidR="001E3539" w:rsidRPr="001E3539" w:rsidRDefault="001E3539" w:rsidP="001E3539">
      <w:pPr>
        <w:numPr>
          <w:ilvl w:val="0"/>
          <w:numId w:val="7"/>
        </w:numPr>
      </w:pPr>
      <w:r w:rsidRPr="001E3539">
        <w:t>Validation Split: A small portion (typically 20%) of the training set was reserved for validation during training to assess performance and trigger early stopping.</w:t>
      </w:r>
    </w:p>
    <w:p w14:paraId="6CBA546B" w14:textId="77777777" w:rsidR="001E3539" w:rsidRPr="001E3539" w:rsidRDefault="001E3539" w:rsidP="001E3539">
      <w:r w:rsidRPr="001E3539">
        <w:rPr>
          <w:b/>
          <w:bCs/>
        </w:rPr>
        <w:t>Class Imbalance Handling</w:t>
      </w:r>
    </w:p>
    <w:p w14:paraId="434581AF" w14:textId="77777777" w:rsidR="001E3539" w:rsidRPr="001E3539" w:rsidRDefault="001E3539" w:rsidP="001E3539">
      <w:pPr>
        <w:numPr>
          <w:ilvl w:val="0"/>
          <w:numId w:val="8"/>
        </w:numPr>
      </w:pPr>
      <w:r w:rsidRPr="001E3539">
        <w:t>Churned customers were underrepresented in the dataset. We addressed this imbalance by assigning class weights, giving more importance to churn cases to reduce bias in learning.</w:t>
      </w:r>
    </w:p>
    <w:p w14:paraId="5C8CF74E" w14:textId="77777777" w:rsidR="001E3539" w:rsidRPr="001E3539" w:rsidRDefault="001E3539" w:rsidP="001E3539">
      <w:r w:rsidRPr="001E3539">
        <w:pict w14:anchorId="73BB8C89">
          <v:rect id="_x0000_i1064" style="width:0;height:1.5pt" o:hralign="center" o:hrstd="t" o:hr="t" fillcolor="#a0a0a0" stroked="f"/>
        </w:pict>
      </w:r>
    </w:p>
    <w:p w14:paraId="26F85849" w14:textId="77777777" w:rsidR="001E3539" w:rsidRPr="001E3539" w:rsidRDefault="001E3539" w:rsidP="001E3539">
      <w:r w:rsidRPr="001E3539">
        <w:rPr>
          <w:b/>
          <w:bCs/>
        </w:rPr>
        <w:t>3. Evaluation and Performance Analysis</w:t>
      </w:r>
    </w:p>
    <w:p w14:paraId="205FA00B" w14:textId="77777777" w:rsidR="001E3539" w:rsidRPr="001E3539" w:rsidRDefault="001E3539" w:rsidP="001E3539">
      <w:r w:rsidRPr="001E3539">
        <w:t>Once the model was trained, we assessed its performance using the test dataset. Evaluation was done using both confusion matrix metrics and classification reports.</w:t>
      </w:r>
    </w:p>
    <w:p w14:paraId="0F8B9054" w14:textId="77777777" w:rsidR="001E3539" w:rsidRPr="001E3539" w:rsidRDefault="001E3539" w:rsidP="001E3539">
      <w:r w:rsidRPr="001E3539">
        <w:rPr>
          <w:b/>
          <w:bCs/>
        </w:rPr>
        <w:t>Confusion Matrix Output:</w:t>
      </w:r>
      <w:r w:rsidRPr="001E3539">
        <w:t xml:space="preserve"> [[707 284] [ 76 282]]</w:t>
      </w:r>
    </w:p>
    <w:p w14:paraId="782CA12E" w14:textId="77777777" w:rsidR="001E3539" w:rsidRPr="001E3539" w:rsidRDefault="001E3539" w:rsidP="001E3539">
      <w:pPr>
        <w:numPr>
          <w:ilvl w:val="0"/>
          <w:numId w:val="9"/>
        </w:numPr>
      </w:pPr>
      <w:r w:rsidRPr="001E3539">
        <w:t>True Negatives (707): Non-churners correctly classified</w:t>
      </w:r>
    </w:p>
    <w:p w14:paraId="63306A87" w14:textId="77777777" w:rsidR="001E3539" w:rsidRPr="001E3539" w:rsidRDefault="001E3539" w:rsidP="001E3539">
      <w:pPr>
        <w:numPr>
          <w:ilvl w:val="0"/>
          <w:numId w:val="9"/>
        </w:numPr>
      </w:pPr>
      <w:r w:rsidRPr="001E3539">
        <w:t>False Positives (284): Non-churners incorrectly classified as churners</w:t>
      </w:r>
    </w:p>
    <w:p w14:paraId="5373B0F5" w14:textId="77777777" w:rsidR="001E3539" w:rsidRPr="001E3539" w:rsidRDefault="001E3539" w:rsidP="001E3539">
      <w:pPr>
        <w:numPr>
          <w:ilvl w:val="0"/>
          <w:numId w:val="9"/>
        </w:numPr>
      </w:pPr>
      <w:r w:rsidRPr="001E3539">
        <w:t>False Negatives (76): Churners missed by the model</w:t>
      </w:r>
    </w:p>
    <w:p w14:paraId="185880C5" w14:textId="77777777" w:rsidR="001E3539" w:rsidRPr="001E3539" w:rsidRDefault="001E3539" w:rsidP="001E3539">
      <w:pPr>
        <w:numPr>
          <w:ilvl w:val="0"/>
          <w:numId w:val="9"/>
        </w:numPr>
      </w:pPr>
      <w:r w:rsidRPr="001E3539">
        <w:t>True Positives (282): Churners correctly identified</w:t>
      </w:r>
    </w:p>
    <w:p w14:paraId="1650D046" w14:textId="77777777" w:rsidR="001E3539" w:rsidRPr="001E3539" w:rsidRDefault="001E3539" w:rsidP="001E3539">
      <w:r w:rsidRPr="001E3539">
        <w:rPr>
          <w:b/>
          <w:bCs/>
        </w:rPr>
        <w:t>Performance Metrics:</w:t>
      </w:r>
    </w:p>
    <w:p w14:paraId="3552C494" w14:textId="77777777" w:rsidR="001E3539" w:rsidRPr="001E3539" w:rsidRDefault="001E3539" w:rsidP="001E3539">
      <w:pPr>
        <w:numPr>
          <w:ilvl w:val="0"/>
          <w:numId w:val="10"/>
        </w:numPr>
      </w:pPr>
      <w:r w:rsidRPr="001E3539">
        <w:t>Accuracy: 73%</w:t>
      </w:r>
      <w:r w:rsidRPr="001E3539">
        <w:br/>
        <w:t>Indicates the overall percentage of correctly predicted cases.</w:t>
      </w:r>
    </w:p>
    <w:p w14:paraId="434C2F9E" w14:textId="77777777" w:rsidR="001E3539" w:rsidRPr="001E3539" w:rsidRDefault="001E3539" w:rsidP="001E3539">
      <w:pPr>
        <w:numPr>
          <w:ilvl w:val="0"/>
          <w:numId w:val="10"/>
        </w:numPr>
      </w:pPr>
      <w:r w:rsidRPr="001E3539">
        <w:t>Precision (Churn): 0.50</w:t>
      </w:r>
      <w:r w:rsidRPr="001E3539">
        <w:br/>
        <w:t xml:space="preserve">Reflects how many predicted churns were correct. Lower precision suggests the model </w:t>
      </w:r>
      <w:r w:rsidRPr="001E3539">
        <w:lastRenderedPageBreak/>
        <w:t>errs on the side of over-predicting churn, which may be acceptable in a retention-focused context.</w:t>
      </w:r>
    </w:p>
    <w:p w14:paraId="5CCB8FAC" w14:textId="77777777" w:rsidR="001E3539" w:rsidRPr="001E3539" w:rsidRDefault="001E3539" w:rsidP="001E3539">
      <w:pPr>
        <w:numPr>
          <w:ilvl w:val="0"/>
          <w:numId w:val="10"/>
        </w:numPr>
      </w:pPr>
      <w:r w:rsidRPr="001E3539">
        <w:t>Recall (Churn): 0.79</w:t>
      </w:r>
      <w:r w:rsidRPr="001E3539">
        <w:br/>
        <w:t>Indicates the model caught 79% of all actual churners. This high recall is critical because missing a churner is more costly than mistakenly targeting a non-churner.</w:t>
      </w:r>
    </w:p>
    <w:p w14:paraId="08539A12" w14:textId="77777777" w:rsidR="001E3539" w:rsidRPr="001E3539" w:rsidRDefault="001E3539" w:rsidP="001E3539">
      <w:pPr>
        <w:numPr>
          <w:ilvl w:val="0"/>
          <w:numId w:val="10"/>
        </w:numPr>
      </w:pPr>
      <w:r w:rsidRPr="001E3539">
        <w:t>F1-Score: 0.61</w:t>
      </w:r>
      <w:r w:rsidRPr="001E3539">
        <w:br/>
        <w:t>Balances both precision and recall into one metric. Given the class imbalance, this is a fair score, especially considering the recall strength.</w:t>
      </w:r>
    </w:p>
    <w:p w14:paraId="0A4A5D30" w14:textId="77777777" w:rsidR="001E3539" w:rsidRPr="001E3539" w:rsidRDefault="001E3539" w:rsidP="001E3539">
      <w:r w:rsidRPr="001E3539">
        <w:rPr>
          <w:b/>
          <w:bCs/>
        </w:rPr>
        <w:t>Why Recall Matters Here</w:t>
      </w:r>
      <w:r w:rsidRPr="001E3539">
        <w:t xml:space="preserve"> In churn analysis, recall for the churn class is more important than overall accuracy because:</w:t>
      </w:r>
    </w:p>
    <w:p w14:paraId="61E5BA33" w14:textId="77777777" w:rsidR="001E3539" w:rsidRPr="001E3539" w:rsidRDefault="001E3539" w:rsidP="001E3539">
      <w:pPr>
        <w:numPr>
          <w:ilvl w:val="0"/>
          <w:numId w:val="11"/>
        </w:numPr>
      </w:pPr>
      <w:r w:rsidRPr="001E3539">
        <w:t>Failing to identify a customer who will churn means missed opportunity to intervene.</w:t>
      </w:r>
    </w:p>
    <w:p w14:paraId="45252678" w14:textId="77777777" w:rsidR="001E3539" w:rsidRPr="001E3539" w:rsidRDefault="001E3539" w:rsidP="001E3539">
      <w:pPr>
        <w:numPr>
          <w:ilvl w:val="0"/>
          <w:numId w:val="11"/>
        </w:numPr>
      </w:pPr>
      <w:r w:rsidRPr="001E3539">
        <w:t>The business impact of one customer leaving is higher than wrongly targeting a loyal one.</w:t>
      </w:r>
    </w:p>
    <w:p w14:paraId="3D41B1AB" w14:textId="77777777" w:rsidR="001E3539" w:rsidRPr="001E3539" w:rsidRDefault="001E3539" w:rsidP="001E3539">
      <w:r w:rsidRPr="001E3539">
        <w:pict w14:anchorId="7D0B4B64">
          <v:rect id="_x0000_i1065" style="width:0;height:1.5pt" o:hralign="center" o:hrstd="t" o:hr="t" fillcolor="#a0a0a0" stroked="f"/>
        </w:pict>
      </w:r>
    </w:p>
    <w:p w14:paraId="1C49D26D" w14:textId="77777777" w:rsidR="001E3539" w:rsidRPr="001E3539" w:rsidRDefault="001E3539" w:rsidP="001E3539">
      <w:r w:rsidRPr="001E3539">
        <w:rPr>
          <w:b/>
          <w:bCs/>
        </w:rPr>
        <w:t>4. Insights &amp; Recommendations</w:t>
      </w:r>
    </w:p>
    <w:p w14:paraId="571A6940" w14:textId="77777777" w:rsidR="001E3539" w:rsidRPr="001E3539" w:rsidRDefault="001E3539" w:rsidP="001E3539">
      <w:r w:rsidRPr="001E3539">
        <w:rPr>
          <w:b/>
          <w:bCs/>
        </w:rPr>
        <w:t>Churn Drivers Identified:</w:t>
      </w:r>
    </w:p>
    <w:p w14:paraId="2B44AB4C" w14:textId="77777777" w:rsidR="001E3539" w:rsidRPr="001E3539" w:rsidRDefault="001E3539" w:rsidP="001E3539">
      <w:pPr>
        <w:numPr>
          <w:ilvl w:val="0"/>
          <w:numId w:val="12"/>
        </w:numPr>
      </w:pPr>
      <w:r w:rsidRPr="001E3539">
        <w:t>Customers with monthly contracts</w:t>
      </w:r>
    </w:p>
    <w:p w14:paraId="046C3D6F" w14:textId="77777777" w:rsidR="001E3539" w:rsidRPr="001E3539" w:rsidRDefault="001E3539" w:rsidP="001E3539">
      <w:pPr>
        <w:numPr>
          <w:ilvl w:val="0"/>
          <w:numId w:val="12"/>
        </w:numPr>
      </w:pPr>
      <w:r w:rsidRPr="001E3539">
        <w:t>Short tenure users</w:t>
      </w:r>
    </w:p>
    <w:p w14:paraId="477D6EFD" w14:textId="77777777" w:rsidR="001E3539" w:rsidRPr="001E3539" w:rsidRDefault="001E3539" w:rsidP="001E3539">
      <w:pPr>
        <w:numPr>
          <w:ilvl w:val="0"/>
          <w:numId w:val="12"/>
        </w:numPr>
      </w:pPr>
      <w:r w:rsidRPr="001E3539">
        <w:t>Those using electronic check payment methods</w:t>
      </w:r>
    </w:p>
    <w:p w14:paraId="3217CB6F" w14:textId="77777777" w:rsidR="001E3539" w:rsidRPr="001E3539" w:rsidRDefault="001E3539" w:rsidP="001E3539">
      <w:pPr>
        <w:numPr>
          <w:ilvl w:val="0"/>
          <w:numId w:val="12"/>
        </w:numPr>
      </w:pPr>
      <w:r w:rsidRPr="001E3539">
        <w:t>Higher total service cost</w:t>
      </w:r>
    </w:p>
    <w:p w14:paraId="55E42DE6" w14:textId="77777777" w:rsidR="001E3539" w:rsidRPr="001E3539" w:rsidRDefault="001E3539" w:rsidP="001E3539">
      <w:r w:rsidRPr="001E3539">
        <w:rPr>
          <w:b/>
          <w:bCs/>
        </w:rPr>
        <w:t>Recommendations:</w:t>
      </w:r>
    </w:p>
    <w:p w14:paraId="2DC1C2D2" w14:textId="77777777" w:rsidR="001E3539" w:rsidRPr="001E3539" w:rsidRDefault="001E3539" w:rsidP="001E3539">
      <w:pPr>
        <w:numPr>
          <w:ilvl w:val="0"/>
          <w:numId w:val="13"/>
        </w:numPr>
      </w:pPr>
      <w:r w:rsidRPr="001E3539">
        <w:t>Loyalty Discounts: Offer retention incentives to short-tenure customers.</w:t>
      </w:r>
    </w:p>
    <w:p w14:paraId="7D5BCC33" w14:textId="77777777" w:rsidR="001E3539" w:rsidRPr="001E3539" w:rsidRDefault="001E3539" w:rsidP="001E3539">
      <w:pPr>
        <w:numPr>
          <w:ilvl w:val="0"/>
          <w:numId w:val="13"/>
        </w:numPr>
      </w:pPr>
      <w:r w:rsidRPr="001E3539">
        <w:t>Contract Upgrades: Encourage migration to annual or bi-annual plans.</w:t>
      </w:r>
    </w:p>
    <w:p w14:paraId="45B5BF88" w14:textId="77777777" w:rsidR="001E3539" w:rsidRPr="001E3539" w:rsidRDefault="001E3539" w:rsidP="001E3539">
      <w:pPr>
        <w:numPr>
          <w:ilvl w:val="0"/>
          <w:numId w:val="13"/>
        </w:numPr>
      </w:pPr>
      <w:r w:rsidRPr="001E3539">
        <w:t>Payment Options: Simplify and incentivize the use of automatic payments or bank transfers.</w:t>
      </w:r>
    </w:p>
    <w:p w14:paraId="688199BF" w14:textId="77777777" w:rsidR="001E3539" w:rsidRPr="001E3539" w:rsidRDefault="001E3539" w:rsidP="001E3539">
      <w:pPr>
        <w:numPr>
          <w:ilvl w:val="0"/>
          <w:numId w:val="13"/>
        </w:numPr>
      </w:pPr>
      <w:r w:rsidRPr="001E3539">
        <w:t>Service Feedback: Reach out to customers with usage patterns associated with churn.</w:t>
      </w:r>
    </w:p>
    <w:p w14:paraId="4EF43051" w14:textId="77777777" w:rsidR="001E3539" w:rsidRPr="001E3539" w:rsidRDefault="001E3539" w:rsidP="001E3539">
      <w:r w:rsidRPr="001E3539">
        <w:pict w14:anchorId="355843A0">
          <v:rect id="_x0000_i1066" style="width:0;height:1.5pt" o:hralign="center" o:hrstd="t" o:hr="t" fillcolor="#a0a0a0" stroked="f"/>
        </w:pict>
      </w:r>
    </w:p>
    <w:p w14:paraId="08EE7DE7" w14:textId="77777777" w:rsidR="001E3539" w:rsidRPr="001E3539" w:rsidRDefault="001E3539" w:rsidP="001E3539">
      <w:r w:rsidRPr="001E3539">
        <w:rPr>
          <w:b/>
          <w:bCs/>
        </w:rPr>
        <w:t>5. Limitations &amp; Future Improvements</w:t>
      </w:r>
    </w:p>
    <w:p w14:paraId="4060BEAA" w14:textId="77777777" w:rsidR="001E3539" w:rsidRPr="001E3539" w:rsidRDefault="001E3539" w:rsidP="001E3539">
      <w:pPr>
        <w:numPr>
          <w:ilvl w:val="0"/>
          <w:numId w:val="14"/>
        </w:numPr>
      </w:pPr>
      <w:r w:rsidRPr="001E3539">
        <w:t>The model behaves as a black box, with limited interpretability.</w:t>
      </w:r>
    </w:p>
    <w:p w14:paraId="5A7F5EFE" w14:textId="77777777" w:rsidR="001E3539" w:rsidRPr="001E3539" w:rsidRDefault="001E3539" w:rsidP="001E3539">
      <w:pPr>
        <w:numPr>
          <w:ilvl w:val="0"/>
          <w:numId w:val="14"/>
        </w:numPr>
      </w:pPr>
      <w:r w:rsidRPr="001E3539">
        <w:t>Performance is subject to the quality and richness of the input dataset.</w:t>
      </w:r>
    </w:p>
    <w:p w14:paraId="636C0AF1" w14:textId="77777777" w:rsidR="001E3539" w:rsidRPr="001E3539" w:rsidRDefault="001E3539" w:rsidP="001E3539">
      <w:pPr>
        <w:numPr>
          <w:ilvl w:val="0"/>
          <w:numId w:val="14"/>
        </w:numPr>
      </w:pPr>
      <w:r w:rsidRPr="001E3539">
        <w:t>Further improvements could include:</w:t>
      </w:r>
    </w:p>
    <w:p w14:paraId="42ECA321" w14:textId="77777777" w:rsidR="001E3539" w:rsidRPr="001E3539" w:rsidRDefault="001E3539" w:rsidP="001E3539">
      <w:pPr>
        <w:numPr>
          <w:ilvl w:val="1"/>
          <w:numId w:val="14"/>
        </w:numPr>
      </w:pPr>
      <w:r w:rsidRPr="001E3539">
        <w:t>Feature importance via SHAP or LIME</w:t>
      </w:r>
    </w:p>
    <w:p w14:paraId="0B3B1231" w14:textId="77777777" w:rsidR="001E3539" w:rsidRPr="001E3539" w:rsidRDefault="001E3539" w:rsidP="001E3539">
      <w:pPr>
        <w:numPr>
          <w:ilvl w:val="1"/>
          <w:numId w:val="14"/>
        </w:numPr>
      </w:pPr>
      <w:r w:rsidRPr="001E3539">
        <w:t>Experimenting with ensemble models</w:t>
      </w:r>
    </w:p>
    <w:p w14:paraId="7435962C" w14:textId="77777777" w:rsidR="001E3539" w:rsidRPr="001E3539" w:rsidRDefault="001E3539" w:rsidP="001E3539">
      <w:pPr>
        <w:numPr>
          <w:ilvl w:val="1"/>
          <w:numId w:val="14"/>
        </w:numPr>
      </w:pPr>
      <w:r w:rsidRPr="001E3539">
        <w:t xml:space="preserve">Incorporating time-series </w:t>
      </w:r>
      <w:proofErr w:type="spellStart"/>
      <w:r w:rsidRPr="001E3539">
        <w:t>behavior</w:t>
      </w:r>
      <w:proofErr w:type="spellEnd"/>
      <w:r w:rsidRPr="001E3539">
        <w:t xml:space="preserve"> like usage over months</w:t>
      </w:r>
    </w:p>
    <w:p w14:paraId="3ADA2310" w14:textId="77777777" w:rsidR="00C364CC" w:rsidRDefault="00C364CC"/>
    <w:sectPr w:rsidR="00C36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74AC"/>
    <w:multiLevelType w:val="multilevel"/>
    <w:tmpl w:val="7EB6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E604B"/>
    <w:multiLevelType w:val="multilevel"/>
    <w:tmpl w:val="DDE6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832AF"/>
    <w:multiLevelType w:val="multilevel"/>
    <w:tmpl w:val="3952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06829"/>
    <w:multiLevelType w:val="multilevel"/>
    <w:tmpl w:val="6382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509A1"/>
    <w:multiLevelType w:val="multilevel"/>
    <w:tmpl w:val="30BE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758A5"/>
    <w:multiLevelType w:val="multilevel"/>
    <w:tmpl w:val="076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B0D82"/>
    <w:multiLevelType w:val="multilevel"/>
    <w:tmpl w:val="B356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1E4115"/>
    <w:multiLevelType w:val="multilevel"/>
    <w:tmpl w:val="2A3C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A365B2"/>
    <w:multiLevelType w:val="multilevel"/>
    <w:tmpl w:val="3F62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9A1461"/>
    <w:multiLevelType w:val="multilevel"/>
    <w:tmpl w:val="282A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0B53A1"/>
    <w:multiLevelType w:val="multilevel"/>
    <w:tmpl w:val="2470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290366"/>
    <w:multiLevelType w:val="multilevel"/>
    <w:tmpl w:val="FF82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CC4F55"/>
    <w:multiLevelType w:val="multilevel"/>
    <w:tmpl w:val="837C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FE72B5"/>
    <w:multiLevelType w:val="multilevel"/>
    <w:tmpl w:val="9420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748070">
    <w:abstractNumId w:val="10"/>
  </w:num>
  <w:num w:numId="2" w16cid:durableId="1405376944">
    <w:abstractNumId w:val="4"/>
  </w:num>
  <w:num w:numId="3" w16cid:durableId="972635897">
    <w:abstractNumId w:val="0"/>
  </w:num>
  <w:num w:numId="4" w16cid:durableId="275647186">
    <w:abstractNumId w:val="6"/>
  </w:num>
  <w:num w:numId="5" w16cid:durableId="703603026">
    <w:abstractNumId w:val="3"/>
  </w:num>
  <w:num w:numId="6" w16cid:durableId="682361609">
    <w:abstractNumId w:val="5"/>
  </w:num>
  <w:num w:numId="7" w16cid:durableId="661659134">
    <w:abstractNumId w:val="7"/>
  </w:num>
  <w:num w:numId="8" w16cid:durableId="723062319">
    <w:abstractNumId w:val="12"/>
  </w:num>
  <w:num w:numId="9" w16cid:durableId="1567915195">
    <w:abstractNumId w:val="2"/>
  </w:num>
  <w:num w:numId="10" w16cid:durableId="1802111448">
    <w:abstractNumId w:val="13"/>
  </w:num>
  <w:num w:numId="11" w16cid:durableId="2103910064">
    <w:abstractNumId w:val="11"/>
  </w:num>
  <w:num w:numId="12" w16cid:durableId="1753579131">
    <w:abstractNumId w:val="9"/>
  </w:num>
  <w:num w:numId="13" w16cid:durableId="694693013">
    <w:abstractNumId w:val="1"/>
  </w:num>
  <w:num w:numId="14" w16cid:durableId="7820436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39"/>
    <w:rsid w:val="001E3539"/>
    <w:rsid w:val="003A1BF3"/>
    <w:rsid w:val="00520C56"/>
    <w:rsid w:val="00C3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B46E3"/>
  <w15:chartTrackingRefBased/>
  <w15:docId w15:val="{A1ADBFAA-57CC-4114-BA3E-BF4F1F67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5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5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5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9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1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784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thapa</dc:creator>
  <cp:keywords/>
  <dc:description/>
  <cp:lastModifiedBy>sameer thapa</cp:lastModifiedBy>
  <cp:revision>1</cp:revision>
  <dcterms:created xsi:type="dcterms:W3CDTF">2025-05-09T06:00:00Z</dcterms:created>
  <dcterms:modified xsi:type="dcterms:W3CDTF">2025-05-09T06:00:00Z</dcterms:modified>
</cp:coreProperties>
</file>