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Default Extension="jpeg" ContentType="image/jpeg"/>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33" w:lineRule="auto" w:before="61"/>
        <w:ind w:left="4866" w:right="4377" w:firstLine="0"/>
        <w:jc w:val="center"/>
        <w:rPr>
          <w:sz w:val="28"/>
        </w:rPr>
      </w:pPr>
      <w:r>
        <w:rPr>
          <w:sz w:val="28"/>
        </w:rPr>
        <w:drawing>
          <wp:anchor distT="0" distB="0" distL="0" distR="0" allowOverlap="1" layoutInCell="1" locked="0" behindDoc="1" simplePos="0" relativeHeight="487236096">
            <wp:simplePos x="0" y="0"/>
            <wp:positionH relativeFrom="page">
              <wp:posOffset>342900</wp:posOffset>
            </wp:positionH>
            <wp:positionV relativeFrom="page">
              <wp:posOffset>736600</wp:posOffset>
            </wp:positionV>
            <wp:extent cx="7143750" cy="93218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143750" cy="9321800"/>
                    </a:xfrm>
                    <a:prstGeom prst="rect">
                      <a:avLst/>
                    </a:prstGeom>
                  </pic:spPr>
                </pic:pic>
              </a:graphicData>
            </a:graphic>
          </wp:anchor>
        </w:drawing>
      </w:r>
      <w:bookmarkStart w:name="                                        " w:id="1"/>
      <w:bookmarkEnd w:id="1"/>
      <w:r>
        <w:rPr/>
      </w:r>
      <w:bookmarkStart w:name="     PROJECT REPORT " w:id="2"/>
      <w:bookmarkEnd w:id="2"/>
      <w:r>
        <w:rPr/>
      </w:r>
      <w:r>
        <w:rPr>
          <w:color w:val="000101"/>
          <w:spacing w:val="-2"/>
          <w:sz w:val="28"/>
        </w:rPr>
        <w:t>PROJECT</w:t>
      </w:r>
      <w:r>
        <w:rPr>
          <w:color w:val="000101"/>
          <w:spacing w:val="-16"/>
          <w:sz w:val="28"/>
        </w:rPr>
        <w:t> </w:t>
      </w:r>
      <w:r>
        <w:rPr>
          <w:color w:val="000101"/>
          <w:spacing w:val="-2"/>
          <w:sz w:val="28"/>
        </w:rPr>
        <w:t>REPORT </w:t>
      </w:r>
      <w:bookmarkStart w:name="         ON " w:id="3"/>
      <w:bookmarkEnd w:id="3"/>
      <w:r>
        <w:rPr>
          <w:color w:val="000101"/>
          <w:spacing w:val="-6"/>
          <w:sz w:val="28"/>
        </w:rPr>
        <w:t>O</w:t>
      </w:r>
      <w:r>
        <w:rPr>
          <w:color w:val="000101"/>
          <w:spacing w:val="-6"/>
          <w:sz w:val="28"/>
        </w:rPr>
        <w:t>N</w:t>
      </w:r>
    </w:p>
    <w:p>
      <w:pPr>
        <w:pStyle w:val="BodyText"/>
        <w:spacing w:before="99"/>
        <w:rPr>
          <w:sz w:val="28"/>
        </w:rPr>
      </w:pPr>
    </w:p>
    <w:p>
      <w:pPr>
        <w:pStyle w:val="Heading1"/>
        <w:spacing w:line="285" w:lineRule="auto"/>
        <w:ind w:left="2219" w:right="1857"/>
      </w:pPr>
      <w:bookmarkStart w:name=" " w:id="4"/>
      <w:bookmarkEnd w:id="4"/>
      <w:r>
        <w:rPr>
          <w:b w:val="0"/>
        </w:rPr>
      </w:r>
      <w:bookmarkStart w:name="EFFECT OF CERIUM REINFORCEMENT AND HOT-R" w:id="5"/>
      <w:bookmarkEnd w:id="5"/>
      <w:r>
        <w:rPr>
          <w:b w:val="0"/>
        </w:rPr>
      </w:r>
      <w:r>
        <w:rPr>
          <w:color w:val="000101"/>
        </w:rPr>
        <w:t>EFFECT</w:t>
      </w:r>
      <w:r>
        <w:rPr>
          <w:color w:val="000101"/>
          <w:spacing w:val="-10"/>
        </w:rPr>
        <w:t> </w:t>
      </w:r>
      <w:r>
        <w:rPr>
          <w:color w:val="000101"/>
        </w:rPr>
        <w:t>OF</w:t>
      </w:r>
      <w:r>
        <w:rPr>
          <w:color w:val="000101"/>
          <w:spacing w:val="-10"/>
        </w:rPr>
        <w:t> </w:t>
      </w:r>
      <w:r>
        <w:rPr>
          <w:color w:val="000101"/>
        </w:rPr>
        <w:t>CERIUM</w:t>
      </w:r>
      <w:r>
        <w:rPr>
          <w:color w:val="000101"/>
          <w:spacing w:val="-10"/>
        </w:rPr>
        <w:t> </w:t>
      </w:r>
      <w:r>
        <w:rPr>
          <w:color w:val="000101"/>
        </w:rPr>
        <w:t>REINFORCEMENT</w:t>
      </w:r>
      <w:r>
        <w:rPr>
          <w:color w:val="000101"/>
          <w:spacing w:val="-10"/>
        </w:rPr>
        <w:t> </w:t>
      </w:r>
      <w:r>
        <w:rPr>
          <w:color w:val="000101"/>
        </w:rPr>
        <w:t>AND HOT-ROLLING ON MICROSTRUCTURE AND</w:t>
      </w:r>
    </w:p>
    <w:p>
      <w:pPr>
        <w:spacing w:line="285" w:lineRule="auto" w:before="0"/>
        <w:ind w:left="1081" w:right="719" w:firstLine="0"/>
        <w:jc w:val="center"/>
        <w:rPr>
          <w:b/>
          <w:sz w:val="36"/>
        </w:rPr>
      </w:pPr>
      <w:r>
        <w:rPr>
          <w:b/>
          <w:color w:val="000101"/>
          <w:sz w:val="36"/>
        </w:rPr>
        <w:t>MECHANICAL</w:t>
      </w:r>
      <w:r>
        <w:rPr>
          <w:b/>
          <w:color w:val="000101"/>
          <w:spacing w:val="-13"/>
          <w:sz w:val="36"/>
        </w:rPr>
        <w:t> </w:t>
      </w:r>
      <w:r>
        <w:rPr>
          <w:b/>
          <w:color w:val="000101"/>
          <w:sz w:val="36"/>
        </w:rPr>
        <w:t>PROPERTIES</w:t>
      </w:r>
      <w:r>
        <w:rPr>
          <w:b/>
          <w:color w:val="000101"/>
          <w:spacing w:val="-13"/>
          <w:sz w:val="36"/>
        </w:rPr>
        <w:t> </w:t>
      </w:r>
      <w:r>
        <w:rPr>
          <w:b/>
          <w:color w:val="000101"/>
          <w:sz w:val="36"/>
        </w:rPr>
        <w:t>OF</w:t>
      </w:r>
      <w:r>
        <w:rPr>
          <w:b/>
          <w:color w:val="000101"/>
          <w:spacing w:val="-13"/>
          <w:sz w:val="36"/>
        </w:rPr>
        <w:t> </w:t>
      </w:r>
      <w:r>
        <w:rPr>
          <w:b/>
          <w:color w:val="000101"/>
          <w:sz w:val="36"/>
        </w:rPr>
        <w:t>HIGH</w:t>
      </w:r>
      <w:r>
        <w:rPr>
          <w:b/>
          <w:color w:val="000101"/>
          <w:spacing w:val="-13"/>
          <w:sz w:val="36"/>
        </w:rPr>
        <w:t> </w:t>
      </w:r>
      <w:r>
        <w:rPr>
          <w:b/>
          <w:color w:val="000101"/>
          <w:sz w:val="36"/>
        </w:rPr>
        <w:t>MANGANESE </w:t>
      </w:r>
      <w:r>
        <w:rPr>
          <w:b/>
          <w:color w:val="000101"/>
          <w:spacing w:val="-2"/>
          <w:sz w:val="36"/>
        </w:rPr>
        <w:t>STEEL</w:t>
      </w: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spacing w:before="134"/>
        <w:rPr>
          <w:b/>
          <w:sz w:val="36"/>
        </w:rPr>
      </w:pPr>
    </w:p>
    <w:p>
      <w:pPr>
        <w:spacing w:before="0"/>
        <w:ind w:left="2520" w:right="0" w:firstLine="0"/>
        <w:jc w:val="left"/>
        <w:rPr>
          <w:sz w:val="28"/>
        </w:rPr>
      </w:pPr>
      <w:bookmarkStart w:name="Submitted in partial fulfillment of the " w:id="6"/>
      <w:bookmarkEnd w:id="6"/>
      <w:r>
        <w:rPr/>
      </w:r>
      <w:r>
        <w:rPr>
          <w:color w:val="000101"/>
          <w:sz w:val="28"/>
        </w:rPr>
        <w:t>Submitted</w:t>
      </w:r>
      <w:r>
        <w:rPr>
          <w:color w:val="000101"/>
          <w:spacing w:val="-8"/>
          <w:sz w:val="28"/>
        </w:rPr>
        <w:t> </w:t>
      </w:r>
      <w:r>
        <w:rPr>
          <w:color w:val="000101"/>
          <w:sz w:val="28"/>
        </w:rPr>
        <w:t>in</w:t>
      </w:r>
      <w:r>
        <w:rPr>
          <w:color w:val="000101"/>
          <w:spacing w:val="-6"/>
          <w:sz w:val="28"/>
        </w:rPr>
        <w:t> </w:t>
      </w:r>
      <w:r>
        <w:rPr>
          <w:color w:val="000101"/>
          <w:sz w:val="28"/>
        </w:rPr>
        <w:t>partial</w:t>
      </w:r>
      <w:r>
        <w:rPr>
          <w:color w:val="000101"/>
          <w:spacing w:val="-6"/>
          <w:sz w:val="28"/>
        </w:rPr>
        <w:t> </w:t>
      </w:r>
      <w:r>
        <w:rPr>
          <w:color w:val="000101"/>
          <w:sz w:val="28"/>
        </w:rPr>
        <w:t>fulfillment</w:t>
      </w:r>
      <w:r>
        <w:rPr>
          <w:color w:val="000101"/>
          <w:spacing w:val="-5"/>
          <w:sz w:val="28"/>
        </w:rPr>
        <w:t> </w:t>
      </w:r>
      <w:r>
        <w:rPr>
          <w:color w:val="000101"/>
          <w:sz w:val="28"/>
        </w:rPr>
        <w:t>of</w:t>
      </w:r>
      <w:r>
        <w:rPr>
          <w:color w:val="000101"/>
          <w:spacing w:val="-6"/>
          <w:sz w:val="28"/>
        </w:rPr>
        <w:t> </w:t>
      </w:r>
      <w:r>
        <w:rPr>
          <w:color w:val="000101"/>
          <w:sz w:val="28"/>
        </w:rPr>
        <w:t>the</w:t>
      </w:r>
      <w:r>
        <w:rPr>
          <w:color w:val="000101"/>
          <w:spacing w:val="-6"/>
          <w:sz w:val="28"/>
        </w:rPr>
        <w:t> </w:t>
      </w:r>
      <w:r>
        <w:rPr>
          <w:color w:val="000101"/>
          <w:sz w:val="28"/>
        </w:rPr>
        <w:t>requirements</w:t>
      </w:r>
      <w:r>
        <w:rPr>
          <w:color w:val="000101"/>
          <w:spacing w:val="-5"/>
          <w:sz w:val="28"/>
        </w:rPr>
        <w:t> </w:t>
      </w:r>
      <w:r>
        <w:rPr>
          <w:color w:val="000101"/>
          <w:sz w:val="28"/>
        </w:rPr>
        <w:t>of</w:t>
      </w:r>
      <w:r>
        <w:rPr>
          <w:color w:val="000101"/>
          <w:spacing w:val="-6"/>
          <w:sz w:val="28"/>
        </w:rPr>
        <w:t> </w:t>
      </w:r>
      <w:r>
        <w:rPr>
          <w:color w:val="000101"/>
          <w:sz w:val="28"/>
        </w:rPr>
        <w:t>the</w:t>
      </w:r>
      <w:r>
        <w:rPr>
          <w:color w:val="000101"/>
          <w:spacing w:val="-6"/>
          <w:sz w:val="28"/>
        </w:rPr>
        <w:t> </w:t>
      </w:r>
      <w:r>
        <w:rPr>
          <w:color w:val="000101"/>
          <w:sz w:val="28"/>
        </w:rPr>
        <w:t>degree</w:t>
      </w:r>
      <w:r>
        <w:rPr>
          <w:color w:val="000101"/>
          <w:spacing w:val="-5"/>
          <w:sz w:val="28"/>
        </w:rPr>
        <w:t> of</w:t>
      </w:r>
    </w:p>
    <w:p>
      <w:pPr>
        <w:pStyle w:val="Heading3"/>
        <w:spacing w:line="266" w:lineRule="auto" w:before="292"/>
        <w:ind w:left="3307" w:right="2930"/>
      </w:pPr>
      <w:bookmarkStart w:name="BACHELOR OF TECHNOLOGY IN METALLURGICAL " w:id="7"/>
      <w:bookmarkEnd w:id="7"/>
      <w:r>
        <w:rPr>
          <w:b w:val="0"/>
        </w:rPr>
      </w:r>
      <w:r>
        <w:rPr>
          <w:color w:val="000101"/>
        </w:rPr>
        <w:t>BACHELOR OF TECHNOLOGY IN </w:t>
      </w:r>
      <w:r>
        <w:rPr>
          <w:color w:val="000101"/>
          <w:spacing w:val="-2"/>
        </w:rPr>
        <w:t>METALLURGICAL</w:t>
      </w:r>
      <w:r>
        <w:rPr>
          <w:color w:val="000101"/>
          <w:spacing w:val="-18"/>
        </w:rPr>
        <w:t> </w:t>
      </w:r>
      <w:r>
        <w:rPr>
          <w:color w:val="000101"/>
          <w:spacing w:val="-2"/>
        </w:rPr>
        <w:t>AND</w:t>
      </w:r>
      <w:r>
        <w:rPr>
          <w:color w:val="000101"/>
          <w:spacing w:val="-18"/>
        </w:rPr>
        <w:t> </w:t>
      </w:r>
      <w:r>
        <w:rPr>
          <w:color w:val="000101"/>
          <w:spacing w:val="-2"/>
        </w:rPr>
        <w:t>MATERIALS ENGINEERING</w:t>
      </w:r>
    </w:p>
    <w:p>
      <w:pPr>
        <w:pStyle w:val="BodyText"/>
        <w:rPr>
          <w:b/>
          <w:sz w:val="20"/>
        </w:rPr>
      </w:pPr>
    </w:p>
    <w:p>
      <w:pPr>
        <w:pStyle w:val="BodyText"/>
        <w:rPr>
          <w:b/>
          <w:sz w:val="20"/>
        </w:rPr>
      </w:pPr>
    </w:p>
    <w:p>
      <w:pPr>
        <w:pStyle w:val="BodyText"/>
        <w:spacing w:before="63"/>
        <w:rPr>
          <w:b/>
          <w:sz w:val="20"/>
        </w:rPr>
      </w:pPr>
    </w:p>
    <w:tbl>
      <w:tblPr>
        <w:tblW w:w="0" w:type="auto"/>
        <w:jc w:val="left"/>
        <w:tblInd w:w="110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4380"/>
        <w:gridCol w:w="1160"/>
        <w:gridCol w:w="4540"/>
      </w:tblGrid>
      <w:tr>
        <w:trPr>
          <w:trHeight w:val="1860" w:hRule="atLeast"/>
        </w:trPr>
        <w:tc>
          <w:tcPr>
            <w:tcW w:w="4380" w:type="dxa"/>
          </w:tcPr>
          <w:p>
            <w:pPr>
              <w:pStyle w:val="TableParagraph"/>
              <w:spacing w:before="193"/>
              <w:ind w:left="1516" w:firstLine="65"/>
              <w:rPr>
                <w:b/>
                <w:sz w:val="28"/>
              </w:rPr>
            </w:pPr>
            <w:r>
              <w:rPr>
                <w:b/>
                <w:color w:val="000101"/>
                <w:sz w:val="28"/>
              </w:rPr>
              <w:t>Supervised</w:t>
            </w:r>
            <w:r>
              <w:rPr>
                <w:b/>
                <w:color w:val="000101"/>
                <w:spacing w:val="-10"/>
                <w:sz w:val="28"/>
              </w:rPr>
              <w:t> </w:t>
            </w:r>
            <w:r>
              <w:rPr>
                <w:b/>
                <w:color w:val="000101"/>
                <w:spacing w:val="-5"/>
                <w:sz w:val="28"/>
              </w:rPr>
              <w:t>by:</w:t>
            </w:r>
          </w:p>
          <w:p>
            <w:pPr>
              <w:pStyle w:val="TableParagraph"/>
              <w:spacing w:line="338" w:lineRule="auto" w:before="133"/>
              <w:ind w:left="1337" w:firstLine="178"/>
              <w:rPr>
                <w:sz w:val="28"/>
              </w:rPr>
            </w:pPr>
            <w:r>
              <w:rPr>
                <w:color w:val="000101"/>
                <w:sz w:val="28"/>
              </w:rPr>
              <w:t>Dr. Swati Sharma (Assistant</w:t>
            </w:r>
            <w:r>
              <w:rPr>
                <w:color w:val="000101"/>
                <w:spacing w:val="-18"/>
                <w:sz w:val="28"/>
              </w:rPr>
              <w:t> </w:t>
            </w:r>
            <w:r>
              <w:rPr>
                <w:color w:val="000101"/>
                <w:sz w:val="28"/>
              </w:rPr>
              <w:t>Professor)</w:t>
            </w:r>
          </w:p>
        </w:tc>
        <w:tc>
          <w:tcPr>
            <w:tcW w:w="1160" w:type="dxa"/>
          </w:tcPr>
          <w:p>
            <w:pPr>
              <w:pStyle w:val="TableParagraph"/>
              <w:spacing w:before="0"/>
              <w:ind w:left="0"/>
              <w:rPr>
                <w:sz w:val="30"/>
              </w:rPr>
            </w:pPr>
          </w:p>
        </w:tc>
        <w:tc>
          <w:tcPr>
            <w:tcW w:w="4540" w:type="dxa"/>
          </w:tcPr>
          <w:p>
            <w:pPr>
              <w:pStyle w:val="TableParagraph"/>
              <w:spacing w:line="295" w:lineRule="auto" w:before="193"/>
              <w:ind w:left="458" w:right="626" w:firstLine="936"/>
              <w:rPr>
                <w:sz w:val="28"/>
              </w:rPr>
            </w:pPr>
            <w:bookmarkStart w:name="          Submitted By: " w:id="8"/>
            <w:bookmarkEnd w:id="8"/>
            <w:r>
              <w:rPr/>
            </w:r>
            <w:r>
              <w:rPr>
                <w:b/>
                <w:color w:val="000101"/>
                <w:sz w:val="28"/>
              </w:rPr>
              <w:t>Submitted By: </w:t>
            </w:r>
            <w:r>
              <w:rPr>
                <w:color w:val="000101"/>
                <w:sz w:val="28"/>
              </w:rPr>
              <w:t>Aditya Raj (2022UMT1429) Harsh</w:t>
            </w:r>
            <w:r>
              <w:rPr>
                <w:color w:val="000101"/>
                <w:spacing w:val="-5"/>
                <w:sz w:val="28"/>
              </w:rPr>
              <w:t> </w:t>
            </w:r>
            <w:r>
              <w:rPr>
                <w:color w:val="000101"/>
                <w:spacing w:val="-2"/>
                <w:sz w:val="28"/>
              </w:rPr>
              <w:t>Kumar(2022UMT1180)</w:t>
            </w:r>
          </w:p>
          <w:p>
            <w:pPr>
              <w:pStyle w:val="TableParagraph"/>
              <w:spacing w:before="20"/>
              <w:ind w:left="430"/>
              <w:rPr>
                <w:sz w:val="28"/>
              </w:rPr>
            </w:pPr>
            <w:r>
              <w:rPr>
                <w:color w:val="000101"/>
                <w:sz w:val="28"/>
              </w:rPr>
              <w:t>Rohan</w:t>
            </w:r>
            <w:r>
              <w:rPr>
                <w:color w:val="000101"/>
                <w:spacing w:val="-5"/>
                <w:sz w:val="28"/>
              </w:rPr>
              <w:t> </w:t>
            </w:r>
            <w:r>
              <w:rPr>
                <w:color w:val="000101"/>
                <w:spacing w:val="-2"/>
                <w:sz w:val="28"/>
              </w:rPr>
              <w:t>Meena(2022UMT1402)</w:t>
            </w:r>
          </w:p>
        </w:tc>
      </w:tr>
    </w:tbl>
    <w:p>
      <w:pPr>
        <w:pStyle w:val="BodyText"/>
        <w:spacing w:before="294"/>
        <w:rPr>
          <w:b/>
          <w:sz w:val="28"/>
        </w:rPr>
      </w:pPr>
    </w:p>
    <w:p>
      <w:pPr>
        <w:spacing w:line="278" w:lineRule="auto" w:before="0"/>
        <w:ind w:left="1080" w:right="1277" w:firstLine="0"/>
        <w:jc w:val="left"/>
        <w:rPr>
          <w:b/>
          <w:sz w:val="28"/>
        </w:rPr>
      </w:pPr>
      <w:r>
        <w:rPr>
          <w:b/>
          <w:color w:val="000101"/>
          <w:sz w:val="28"/>
        </w:rPr>
        <w:t>DEPARTMENT</w:t>
      </w:r>
      <w:r>
        <w:rPr>
          <w:b/>
          <w:color w:val="000101"/>
          <w:spacing w:val="-18"/>
          <w:sz w:val="28"/>
        </w:rPr>
        <w:t> </w:t>
      </w:r>
      <w:r>
        <w:rPr>
          <w:b/>
          <w:color w:val="000101"/>
          <w:sz w:val="28"/>
        </w:rPr>
        <w:t>OF</w:t>
      </w:r>
      <w:r>
        <w:rPr>
          <w:b/>
          <w:color w:val="000101"/>
          <w:spacing w:val="-17"/>
          <w:sz w:val="28"/>
        </w:rPr>
        <w:t> </w:t>
      </w:r>
      <w:r>
        <w:rPr>
          <w:b/>
          <w:color w:val="000101"/>
          <w:sz w:val="28"/>
        </w:rPr>
        <w:t>METALLURGICAL</w:t>
      </w:r>
      <w:r>
        <w:rPr>
          <w:b/>
          <w:color w:val="000101"/>
          <w:spacing w:val="-18"/>
          <w:sz w:val="28"/>
        </w:rPr>
        <w:t> </w:t>
      </w:r>
      <w:r>
        <w:rPr>
          <w:b/>
          <w:color w:val="000101"/>
          <w:sz w:val="28"/>
        </w:rPr>
        <w:t>AND</w:t>
      </w:r>
      <w:r>
        <w:rPr>
          <w:b/>
          <w:color w:val="000101"/>
          <w:spacing w:val="-17"/>
          <w:sz w:val="28"/>
        </w:rPr>
        <w:t> </w:t>
      </w:r>
      <w:r>
        <w:rPr>
          <w:b/>
          <w:color w:val="000101"/>
          <w:sz w:val="28"/>
        </w:rPr>
        <w:t>MATERIALS</w:t>
      </w:r>
      <w:r>
        <w:rPr>
          <w:b/>
          <w:color w:val="000101"/>
          <w:spacing w:val="-18"/>
          <w:sz w:val="28"/>
        </w:rPr>
        <w:t> </w:t>
      </w:r>
      <w:r>
        <w:rPr>
          <w:b/>
          <w:color w:val="000101"/>
          <w:sz w:val="28"/>
        </w:rPr>
        <w:t>ENGINEERING MALAVIYA NATIONAL INSTITUTE OF TECHNOLOGY, JAIPUR</w:t>
      </w:r>
    </w:p>
    <w:p>
      <w:pPr>
        <w:pStyle w:val="BodyText"/>
        <w:spacing w:before="51"/>
        <w:rPr>
          <w:b/>
          <w:sz w:val="28"/>
        </w:rPr>
      </w:pPr>
    </w:p>
    <w:p>
      <w:pPr>
        <w:spacing w:before="1"/>
        <w:ind w:left="23" w:right="0" w:firstLine="0"/>
        <w:jc w:val="center"/>
        <w:rPr>
          <w:b/>
          <w:sz w:val="28"/>
        </w:rPr>
      </w:pPr>
      <w:r>
        <w:rPr>
          <w:b/>
          <w:color w:val="000101"/>
          <w:spacing w:val="-2"/>
          <w:sz w:val="28"/>
        </w:rPr>
        <w:t>Dec-</w:t>
      </w:r>
      <w:r>
        <w:rPr>
          <w:b/>
          <w:color w:val="000101"/>
          <w:spacing w:val="-4"/>
          <w:sz w:val="28"/>
        </w:rPr>
        <w:t>2025</w:t>
      </w:r>
    </w:p>
    <w:p>
      <w:pPr>
        <w:spacing w:after="0"/>
        <w:jc w:val="center"/>
        <w:rPr>
          <w:b/>
          <w:sz w:val="28"/>
        </w:rPr>
        <w:sectPr>
          <w:type w:val="continuous"/>
          <w:pgSz w:w="12240" w:h="15840"/>
          <w:pgMar w:top="1620" w:bottom="280" w:left="0" w:right="360"/>
        </w:sectPr>
      </w:pPr>
    </w:p>
    <w:p>
      <w:pPr>
        <w:pStyle w:val="Heading3"/>
        <w:spacing w:line="264" w:lineRule="auto" w:before="64"/>
        <w:ind w:left="4680" w:right="1610"/>
        <w:jc w:val="left"/>
      </w:pPr>
      <w:r>
        <w:rPr/>
        <w:drawing>
          <wp:anchor distT="0" distB="0" distL="0" distR="0" allowOverlap="1" layoutInCell="1" locked="0" behindDoc="1" simplePos="0" relativeHeight="487236608">
            <wp:simplePos x="0" y="0"/>
            <wp:positionH relativeFrom="page">
              <wp:posOffset>414337</wp:posOffset>
            </wp:positionH>
            <wp:positionV relativeFrom="page">
              <wp:posOffset>369062</wp:posOffset>
            </wp:positionV>
            <wp:extent cx="6772275" cy="9689337"/>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772275" cy="9689337"/>
                    </a:xfrm>
                    <a:prstGeom prst="rect">
                      <a:avLst/>
                    </a:prstGeom>
                  </pic:spPr>
                </pic:pic>
              </a:graphicData>
            </a:graphic>
          </wp:anchor>
        </w:drawing>
      </w:r>
      <w:bookmarkStart w:name="DEPARTMENT OF METALLURGICAL AND MATERIAL" w:id="9"/>
      <w:bookmarkEnd w:id="9"/>
      <w:r>
        <w:rPr>
          <w:b w:val="0"/>
        </w:rPr>
      </w:r>
      <w:r>
        <w:rPr>
          <w:color w:val="000101"/>
        </w:rPr>
        <w:t>DEPARTMENT OF METALLURGICAL AND MATERIALS ENGINEERING, </w:t>
      </w:r>
      <w:bookmarkStart w:name="MALAVIYA NATIONAL INSTITUTE OF TECHNOLOG" w:id="10"/>
      <w:bookmarkEnd w:id="10"/>
      <w:r>
        <w:rPr>
          <w:color w:val="000101"/>
          <w:spacing w:val="-4"/>
        </w:rPr>
        <w:t>M</w:t>
      </w:r>
      <w:r>
        <w:rPr>
          <w:color w:val="000101"/>
          <w:spacing w:val="-4"/>
        </w:rPr>
        <w:t>ALAVIYA</w:t>
      </w:r>
      <w:r>
        <w:rPr>
          <w:color w:val="000101"/>
          <w:spacing w:val="-16"/>
        </w:rPr>
        <w:t> </w:t>
      </w:r>
      <w:r>
        <w:rPr>
          <w:color w:val="000101"/>
          <w:spacing w:val="-4"/>
        </w:rPr>
        <w:t>NATIONAL</w:t>
      </w:r>
      <w:r>
        <w:rPr>
          <w:color w:val="000101"/>
          <w:spacing w:val="-16"/>
        </w:rPr>
        <w:t> </w:t>
      </w:r>
      <w:r>
        <w:rPr>
          <w:color w:val="000101"/>
          <w:spacing w:val="-4"/>
        </w:rPr>
        <w:t>INSTITUTE </w:t>
      </w:r>
      <w:r>
        <w:rPr>
          <w:color w:val="000101"/>
        </w:rPr>
        <w:t>OF TECHNOLOGY JAIPUR</w:t>
      </w:r>
    </w:p>
    <w:p>
      <w:pPr>
        <w:pStyle w:val="BodyText"/>
        <w:rPr>
          <w:b/>
          <w:sz w:val="32"/>
        </w:rPr>
      </w:pPr>
    </w:p>
    <w:p>
      <w:pPr>
        <w:pStyle w:val="BodyText"/>
        <w:spacing w:before="248"/>
        <w:rPr>
          <w:b/>
          <w:sz w:val="32"/>
        </w:rPr>
      </w:pPr>
    </w:p>
    <w:p>
      <w:pPr>
        <w:spacing w:before="1"/>
        <w:ind w:left="4866" w:right="4506" w:firstLine="0"/>
        <w:jc w:val="center"/>
        <w:rPr>
          <w:b/>
          <w:sz w:val="32"/>
        </w:rPr>
      </w:pPr>
      <w:r>
        <w:rPr>
          <w:b/>
          <w:color w:val="000101"/>
          <w:spacing w:val="-2"/>
          <w:sz w:val="32"/>
          <w:u w:val="single" w:color="000101"/>
        </w:rPr>
        <w:t>CERTIFICATE</w:t>
      </w:r>
    </w:p>
    <w:p>
      <w:pPr>
        <w:spacing w:line="360" w:lineRule="auto" w:before="295"/>
        <w:ind w:left="1155" w:right="724" w:firstLine="0"/>
        <w:jc w:val="both"/>
        <w:rPr>
          <w:b/>
          <w:sz w:val="24"/>
        </w:rPr>
      </w:pPr>
      <w:r>
        <w:rPr>
          <w:color w:val="000101"/>
          <w:sz w:val="24"/>
        </w:rPr>
        <w:t>This is to</w:t>
      </w:r>
      <w:r>
        <w:rPr>
          <w:color w:val="000101"/>
          <w:spacing w:val="-3"/>
          <w:sz w:val="24"/>
        </w:rPr>
        <w:t> </w:t>
      </w:r>
      <w:r>
        <w:rPr>
          <w:color w:val="000101"/>
          <w:sz w:val="24"/>
        </w:rPr>
        <w:t>certify</w:t>
      </w:r>
      <w:r>
        <w:rPr>
          <w:color w:val="000101"/>
          <w:spacing w:val="-3"/>
          <w:sz w:val="24"/>
        </w:rPr>
        <w:t> </w:t>
      </w:r>
      <w:r>
        <w:rPr>
          <w:color w:val="000101"/>
          <w:sz w:val="24"/>
        </w:rPr>
        <w:t>that</w:t>
      </w:r>
      <w:r>
        <w:rPr>
          <w:color w:val="000101"/>
          <w:spacing w:val="-3"/>
          <w:sz w:val="24"/>
        </w:rPr>
        <w:t> </w:t>
      </w:r>
      <w:r>
        <w:rPr>
          <w:color w:val="000101"/>
          <w:sz w:val="24"/>
        </w:rPr>
        <w:t>the</w:t>
      </w:r>
      <w:r>
        <w:rPr>
          <w:color w:val="000101"/>
          <w:spacing w:val="-3"/>
          <w:sz w:val="24"/>
        </w:rPr>
        <w:t> </w:t>
      </w:r>
      <w:r>
        <w:rPr>
          <w:color w:val="000101"/>
          <w:sz w:val="24"/>
        </w:rPr>
        <w:t>Project</w:t>
      </w:r>
      <w:r>
        <w:rPr>
          <w:color w:val="000101"/>
          <w:spacing w:val="-3"/>
          <w:sz w:val="24"/>
        </w:rPr>
        <w:t> </w:t>
      </w:r>
      <w:r>
        <w:rPr>
          <w:color w:val="000101"/>
          <w:sz w:val="24"/>
        </w:rPr>
        <w:t>Report</w:t>
      </w:r>
      <w:r>
        <w:rPr>
          <w:color w:val="000101"/>
          <w:spacing w:val="-3"/>
          <w:sz w:val="24"/>
        </w:rPr>
        <w:t> </w:t>
      </w:r>
      <w:r>
        <w:rPr>
          <w:color w:val="000101"/>
          <w:sz w:val="24"/>
        </w:rPr>
        <w:t>entitled</w:t>
      </w:r>
      <w:r>
        <w:rPr>
          <w:color w:val="000101"/>
          <w:spacing w:val="-3"/>
          <w:sz w:val="24"/>
        </w:rPr>
        <w:t> </w:t>
      </w:r>
      <w:r>
        <w:rPr>
          <w:b/>
          <w:color w:val="000101"/>
          <w:sz w:val="24"/>
        </w:rPr>
        <w:t>“EFFECT</w:t>
      </w:r>
      <w:r>
        <w:rPr>
          <w:b/>
          <w:color w:val="000101"/>
          <w:spacing w:val="-3"/>
          <w:sz w:val="24"/>
        </w:rPr>
        <w:t> </w:t>
      </w:r>
      <w:r>
        <w:rPr>
          <w:b/>
          <w:color w:val="000101"/>
          <w:sz w:val="24"/>
        </w:rPr>
        <w:t>OF</w:t>
      </w:r>
      <w:r>
        <w:rPr>
          <w:b/>
          <w:color w:val="000101"/>
          <w:spacing w:val="-3"/>
          <w:sz w:val="24"/>
        </w:rPr>
        <w:t> </w:t>
      </w:r>
      <w:r>
        <w:rPr>
          <w:b/>
          <w:color w:val="000101"/>
          <w:sz w:val="24"/>
        </w:rPr>
        <w:t>CERIUM</w:t>
      </w:r>
      <w:r>
        <w:rPr>
          <w:b/>
          <w:color w:val="000101"/>
          <w:spacing w:val="-3"/>
          <w:sz w:val="24"/>
        </w:rPr>
        <w:t> </w:t>
      </w:r>
      <w:r>
        <w:rPr>
          <w:b/>
          <w:color w:val="000101"/>
          <w:sz w:val="24"/>
        </w:rPr>
        <w:t>REINFORCEMENT</w:t>
      </w:r>
      <w:r>
        <w:rPr>
          <w:b/>
          <w:color w:val="000101"/>
          <w:spacing w:val="-3"/>
          <w:sz w:val="24"/>
        </w:rPr>
        <w:t> </w:t>
      </w:r>
      <w:r>
        <w:rPr>
          <w:b/>
          <w:color w:val="000101"/>
          <w:sz w:val="24"/>
        </w:rPr>
        <w:t>AND HOT-ROLLING</w:t>
      </w:r>
      <w:r>
        <w:rPr>
          <w:b/>
          <w:color w:val="000101"/>
          <w:spacing w:val="69"/>
          <w:sz w:val="24"/>
        </w:rPr>
        <w:t> </w:t>
      </w:r>
      <w:r>
        <w:rPr>
          <w:b/>
          <w:color w:val="000101"/>
          <w:sz w:val="24"/>
        </w:rPr>
        <w:t>ON</w:t>
      </w:r>
      <w:r>
        <w:rPr>
          <w:b/>
          <w:color w:val="000101"/>
          <w:spacing w:val="56"/>
          <w:sz w:val="24"/>
        </w:rPr>
        <w:t> </w:t>
      </w:r>
      <w:r>
        <w:rPr>
          <w:b/>
          <w:color w:val="000101"/>
          <w:sz w:val="24"/>
        </w:rPr>
        <w:t>MICROSTRUCTURE</w:t>
      </w:r>
      <w:r>
        <w:rPr>
          <w:b/>
          <w:color w:val="000101"/>
          <w:spacing w:val="55"/>
          <w:sz w:val="24"/>
        </w:rPr>
        <w:t> </w:t>
      </w:r>
      <w:r>
        <w:rPr>
          <w:b/>
          <w:color w:val="000101"/>
          <w:sz w:val="24"/>
        </w:rPr>
        <w:t>AND</w:t>
      </w:r>
      <w:r>
        <w:rPr>
          <w:b/>
          <w:color w:val="000101"/>
          <w:spacing w:val="56"/>
          <w:sz w:val="24"/>
        </w:rPr>
        <w:t> </w:t>
      </w:r>
      <w:r>
        <w:rPr>
          <w:b/>
          <w:color w:val="000101"/>
          <w:sz w:val="24"/>
        </w:rPr>
        <w:t>MECHANICAL</w:t>
      </w:r>
      <w:r>
        <w:rPr>
          <w:b/>
          <w:color w:val="000101"/>
          <w:spacing w:val="55"/>
          <w:sz w:val="24"/>
        </w:rPr>
        <w:t> </w:t>
      </w:r>
      <w:r>
        <w:rPr>
          <w:b/>
          <w:color w:val="000101"/>
          <w:sz w:val="24"/>
        </w:rPr>
        <w:t>PROPERTIES</w:t>
      </w:r>
      <w:r>
        <w:rPr>
          <w:b/>
          <w:color w:val="000101"/>
          <w:spacing w:val="56"/>
          <w:sz w:val="24"/>
        </w:rPr>
        <w:t> </w:t>
      </w:r>
      <w:r>
        <w:rPr>
          <w:b/>
          <w:color w:val="000101"/>
          <w:sz w:val="24"/>
        </w:rPr>
        <w:t>OF</w:t>
      </w:r>
      <w:r>
        <w:rPr>
          <w:b/>
          <w:color w:val="000101"/>
          <w:spacing w:val="56"/>
          <w:sz w:val="24"/>
        </w:rPr>
        <w:t> </w:t>
      </w:r>
      <w:r>
        <w:rPr>
          <w:b/>
          <w:color w:val="000101"/>
          <w:spacing w:val="-4"/>
          <w:sz w:val="24"/>
        </w:rPr>
        <w:t>HIGH</w:t>
      </w:r>
    </w:p>
    <w:p>
      <w:pPr>
        <w:pStyle w:val="BodyText"/>
        <w:spacing w:line="360" w:lineRule="auto"/>
        <w:ind w:left="1155" w:right="723"/>
        <w:jc w:val="both"/>
      </w:pPr>
      <w:r>
        <w:rPr>
          <w:b/>
          <w:color w:val="000101"/>
        </w:rPr>
        <w:t>MANGANESE STEEL”</w:t>
      </w:r>
      <w:r>
        <w:rPr>
          <w:color w:val="000101"/>
        </w:rPr>
        <w:t>, submitted by B.Tech. (Metallurgical &amp; Materials Engineering) </w:t>
      </w:r>
      <w:r>
        <w:rPr>
          <w:color w:val="000101"/>
        </w:rPr>
        <w:t>VIII</w:t>
      </w:r>
      <w:r>
        <w:rPr>
          <w:color w:val="000101"/>
          <w:spacing w:val="40"/>
        </w:rPr>
        <w:t> </w:t>
      </w:r>
      <w:r>
        <w:rPr>
          <w:color w:val="000101"/>
        </w:rPr>
        <w:t>sem</w:t>
      </w:r>
      <w:r>
        <w:rPr>
          <w:b/>
          <w:color w:val="000101"/>
        </w:rPr>
        <w:t>e</w:t>
      </w:r>
      <w:r>
        <w:rPr>
          <w:color w:val="000101"/>
        </w:rPr>
        <w:t>ster students, Aditya Raj, Harsh Kumar and Rohan Meena </w:t>
      </w:r>
      <w:r>
        <w:rPr>
          <w:color w:val="211D1F"/>
        </w:rPr>
        <w:t>towards the partial fulfilment of the requirements of the degree of Bachelor of Technology(B.Tech) in the field of Metallurgical and Materials Engineering of Malaviya National Institute of Technology, Jaipur is a record of the confide work carried out by them under my supervision. The work submitted, in my opinion, has reached to a level required for being accepted for the examination.</w:t>
      </w:r>
    </w:p>
    <w:p>
      <w:pPr>
        <w:pStyle w:val="BodyText"/>
        <w:spacing w:before="228"/>
      </w:pPr>
    </w:p>
    <w:p>
      <w:pPr>
        <w:pStyle w:val="BodyText"/>
        <w:spacing w:line="360" w:lineRule="auto" w:before="1"/>
        <w:ind w:left="1155" w:right="721"/>
        <w:jc w:val="both"/>
      </w:pPr>
      <w:r>
        <w:rPr>
          <w:color w:val="000101"/>
        </w:rPr>
        <w:t>The matter embodied in the seminar work, to the best of</w:t>
      </w:r>
      <w:r>
        <w:rPr>
          <w:color w:val="000101"/>
          <w:spacing w:val="-2"/>
        </w:rPr>
        <w:t> </w:t>
      </w:r>
      <w:r>
        <w:rPr>
          <w:color w:val="000101"/>
        </w:rPr>
        <w:t>my</w:t>
      </w:r>
      <w:r>
        <w:rPr>
          <w:color w:val="000101"/>
          <w:spacing w:val="-2"/>
        </w:rPr>
        <w:t> </w:t>
      </w:r>
      <w:r>
        <w:rPr>
          <w:color w:val="000101"/>
        </w:rPr>
        <w:t>knowledge,</w:t>
      </w:r>
      <w:r>
        <w:rPr>
          <w:color w:val="000101"/>
          <w:spacing w:val="-2"/>
        </w:rPr>
        <w:t> </w:t>
      </w:r>
      <w:r>
        <w:rPr>
          <w:color w:val="000101"/>
        </w:rPr>
        <w:t>has</w:t>
      </w:r>
      <w:r>
        <w:rPr>
          <w:color w:val="000101"/>
          <w:spacing w:val="-2"/>
        </w:rPr>
        <w:t> </w:t>
      </w:r>
      <w:r>
        <w:rPr>
          <w:color w:val="000101"/>
        </w:rPr>
        <w:t>not</w:t>
      </w:r>
      <w:r>
        <w:rPr>
          <w:color w:val="000101"/>
          <w:spacing w:val="-2"/>
        </w:rPr>
        <w:t> </w:t>
      </w:r>
      <w:r>
        <w:rPr>
          <w:color w:val="000101"/>
        </w:rPr>
        <w:t>been</w:t>
      </w:r>
      <w:r>
        <w:rPr>
          <w:color w:val="000101"/>
          <w:spacing w:val="-2"/>
        </w:rPr>
        <w:t> </w:t>
      </w:r>
      <w:r>
        <w:rPr>
          <w:color w:val="000101"/>
        </w:rPr>
        <w:t>submitted</w:t>
      </w:r>
      <w:r>
        <w:rPr>
          <w:color w:val="000101"/>
          <w:spacing w:val="-2"/>
        </w:rPr>
        <w:t> </w:t>
      </w:r>
      <w:r>
        <w:rPr>
          <w:color w:val="000101"/>
        </w:rPr>
        <w:t>to</w:t>
      </w:r>
      <w:r>
        <w:rPr>
          <w:color w:val="000101"/>
          <w:spacing w:val="-2"/>
        </w:rPr>
        <w:t> </w:t>
      </w:r>
      <w:r>
        <w:rPr>
          <w:color w:val="000101"/>
        </w:rPr>
        <w:t>any other university or institute for the award of any degree or diploma.</w:t>
      </w:r>
    </w:p>
    <w:p>
      <w:pPr>
        <w:pStyle w:val="BodyText"/>
      </w:pPr>
    </w:p>
    <w:p>
      <w:pPr>
        <w:pStyle w:val="BodyText"/>
      </w:pPr>
    </w:p>
    <w:p>
      <w:pPr>
        <w:pStyle w:val="BodyText"/>
      </w:pPr>
    </w:p>
    <w:p>
      <w:pPr>
        <w:pStyle w:val="BodyText"/>
        <w:spacing w:before="27"/>
      </w:pPr>
    </w:p>
    <w:p>
      <w:pPr>
        <w:spacing w:before="1"/>
        <w:ind w:left="2415" w:right="0" w:firstLine="0"/>
        <w:jc w:val="left"/>
        <w:rPr>
          <w:sz w:val="24"/>
        </w:rPr>
      </w:pPr>
      <w:r>
        <w:rPr>
          <w:color w:val="211D1F"/>
          <w:spacing w:val="-10"/>
          <w:sz w:val="24"/>
        </w:rPr>
        <w:t>.</w:t>
      </w:r>
    </w:p>
    <w:p>
      <w:pPr>
        <w:spacing w:before="1"/>
        <w:ind w:left="8400" w:right="0" w:firstLine="0"/>
        <w:jc w:val="left"/>
        <w:rPr>
          <w:b/>
          <w:sz w:val="24"/>
        </w:rPr>
      </w:pPr>
      <w:r>
        <w:rPr>
          <w:b/>
          <w:color w:val="211D1F"/>
          <w:sz w:val="24"/>
        </w:rPr>
        <w:t>Dr.</w:t>
      </w:r>
      <w:r>
        <w:rPr>
          <w:b/>
          <w:color w:val="211D1F"/>
          <w:spacing w:val="-12"/>
          <w:sz w:val="24"/>
        </w:rPr>
        <w:t> </w:t>
      </w:r>
      <w:r>
        <w:rPr>
          <w:b/>
          <w:color w:val="211D1F"/>
          <w:sz w:val="24"/>
        </w:rPr>
        <w:t>Swati</w:t>
      </w:r>
      <w:r>
        <w:rPr>
          <w:b/>
          <w:color w:val="211D1F"/>
          <w:spacing w:val="-11"/>
          <w:sz w:val="24"/>
        </w:rPr>
        <w:t> </w:t>
      </w:r>
      <w:r>
        <w:rPr>
          <w:b/>
          <w:color w:val="211D1F"/>
          <w:spacing w:val="-2"/>
          <w:sz w:val="24"/>
        </w:rPr>
        <w:t>Sharma</w:t>
      </w:r>
    </w:p>
    <w:p>
      <w:pPr>
        <w:pStyle w:val="BodyText"/>
        <w:spacing w:line="304" w:lineRule="auto" w:before="40"/>
        <w:ind w:left="5100" w:right="1544" w:firstLine="3228"/>
        <w:jc w:val="right"/>
      </w:pPr>
      <w:r>
        <w:rPr>
          <w:color w:val="211D1F"/>
        </w:rPr>
        <w:t>(Assistant</w:t>
      </w:r>
      <w:r>
        <w:rPr>
          <w:color w:val="211D1F"/>
          <w:spacing w:val="-17"/>
        </w:rPr>
        <w:t> </w:t>
      </w:r>
      <w:r>
        <w:rPr>
          <w:color w:val="211D1F"/>
        </w:rPr>
        <w:t>Professor) Department of Metallurgical &amp; Materials Engineering Malaviya Nat</w:t>
      </w:r>
      <w:r>
        <w:rPr>
          <w:b/>
          <w:color w:val="211D1F"/>
        </w:rPr>
        <w:t>i</w:t>
      </w:r>
      <w:r>
        <w:rPr>
          <w:color w:val="211D1F"/>
        </w:rPr>
        <w:t>onal Institute of Technology, Jaipur</w:t>
      </w:r>
    </w:p>
    <w:p>
      <w:pPr>
        <w:pStyle w:val="BodyText"/>
        <w:spacing w:after="0" w:line="304" w:lineRule="auto"/>
        <w:jc w:val="right"/>
        <w:sectPr>
          <w:pgSz w:w="12240" w:h="15840"/>
          <w:pgMar w:top="1180" w:bottom="280" w:left="0" w:right="360"/>
        </w:sectPr>
      </w:pPr>
    </w:p>
    <w:p>
      <w:pPr>
        <w:spacing w:before="65"/>
        <w:ind w:left="4866" w:right="4506" w:firstLine="0"/>
        <w:jc w:val="center"/>
        <w:rPr>
          <w:b/>
          <w:sz w:val="32"/>
        </w:rPr>
      </w:pPr>
      <w:r>
        <w:rPr>
          <w:b/>
          <w:spacing w:val="-2"/>
          <w:sz w:val="32"/>
          <w:u w:val="single"/>
        </w:rPr>
        <w:t>DECLARATION</w:t>
      </w:r>
    </w:p>
    <w:p>
      <w:pPr>
        <w:pStyle w:val="BodyText"/>
        <w:rPr>
          <w:b/>
          <w:sz w:val="32"/>
        </w:rPr>
      </w:pPr>
    </w:p>
    <w:p>
      <w:pPr>
        <w:pStyle w:val="BodyText"/>
        <w:rPr>
          <w:b/>
          <w:sz w:val="32"/>
        </w:rPr>
      </w:pPr>
    </w:p>
    <w:p>
      <w:pPr>
        <w:spacing w:line="360" w:lineRule="auto" w:before="0"/>
        <w:ind w:left="1530" w:right="1153" w:firstLine="0"/>
        <w:jc w:val="both"/>
        <w:rPr>
          <w:b/>
          <w:sz w:val="24"/>
        </w:rPr>
      </w:pPr>
      <w:r>
        <w:rPr>
          <w:sz w:val="28"/>
        </w:rPr>
        <w:t>We, </w:t>
      </w:r>
      <w:r>
        <w:rPr>
          <w:b/>
          <w:sz w:val="28"/>
        </w:rPr>
        <w:t>Mr. Aditya Raj </w:t>
      </w:r>
      <w:r>
        <w:rPr>
          <w:sz w:val="28"/>
        </w:rPr>
        <w:t>(ID - 2022UMT1429), </w:t>
      </w:r>
      <w:r>
        <w:rPr>
          <w:b/>
          <w:sz w:val="28"/>
        </w:rPr>
        <w:t>Mr. Harsh Kumar </w:t>
      </w:r>
      <w:r>
        <w:rPr>
          <w:sz w:val="28"/>
        </w:rPr>
        <w:t>(ID - 2022UMT1180), and </w:t>
      </w:r>
      <w:r>
        <w:rPr>
          <w:b/>
          <w:sz w:val="28"/>
        </w:rPr>
        <w:t>Mr. Rohan Meena </w:t>
      </w:r>
      <w:r>
        <w:rPr>
          <w:sz w:val="28"/>
        </w:rPr>
        <w:t>(ID - 2022UMT1402), hereby declare that the project report entitled “</w:t>
      </w:r>
      <w:r>
        <w:rPr>
          <w:b/>
          <w:color w:val="000101"/>
          <w:sz w:val="24"/>
        </w:rPr>
        <w:t>EFFECT OF CERIUM REINFORCEMENT AND HOT-ROLLING</w:t>
      </w:r>
      <w:r>
        <w:rPr>
          <w:b/>
          <w:color w:val="000101"/>
          <w:spacing w:val="54"/>
          <w:sz w:val="24"/>
        </w:rPr>
        <w:t> </w:t>
      </w:r>
      <w:r>
        <w:rPr>
          <w:b/>
          <w:color w:val="000101"/>
          <w:sz w:val="24"/>
        </w:rPr>
        <w:t>ON</w:t>
      </w:r>
      <w:r>
        <w:rPr>
          <w:b/>
          <w:color w:val="000101"/>
          <w:spacing w:val="54"/>
          <w:sz w:val="24"/>
        </w:rPr>
        <w:t> </w:t>
      </w:r>
      <w:r>
        <w:rPr>
          <w:b/>
          <w:color w:val="000101"/>
          <w:sz w:val="24"/>
        </w:rPr>
        <w:t>MICROSTRUCTURE</w:t>
      </w:r>
      <w:r>
        <w:rPr>
          <w:b/>
          <w:color w:val="000101"/>
          <w:spacing w:val="55"/>
          <w:sz w:val="24"/>
        </w:rPr>
        <w:t> </w:t>
      </w:r>
      <w:r>
        <w:rPr>
          <w:b/>
          <w:color w:val="000101"/>
          <w:sz w:val="24"/>
        </w:rPr>
        <w:t>AND</w:t>
      </w:r>
      <w:r>
        <w:rPr>
          <w:b/>
          <w:color w:val="000101"/>
          <w:spacing w:val="54"/>
          <w:sz w:val="24"/>
        </w:rPr>
        <w:t> </w:t>
      </w:r>
      <w:r>
        <w:rPr>
          <w:b/>
          <w:color w:val="000101"/>
          <w:sz w:val="24"/>
        </w:rPr>
        <w:t>MECHANICAL</w:t>
      </w:r>
      <w:r>
        <w:rPr>
          <w:b/>
          <w:color w:val="000101"/>
          <w:spacing w:val="40"/>
          <w:sz w:val="24"/>
        </w:rPr>
        <w:t> </w:t>
      </w:r>
      <w:r>
        <w:rPr>
          <w:b/>
          <w:color w:val="000101"/>
          <w:sz w:val="24"/>
        </w:rPr>
        <w:t>PROPERTIES</w:t>
      </w:r>
      <w:r>
        <w:rPr>
          <w:b/>
          <w:color w:val="000101"/>
          <w:spacing w:val="41"/>
          <w:sz w:val="24"/>
        </w:rPr>
        <w:t> </w:t>
      </w:r>
      <w:r>
        <w:rPr>
          <w:b/>
          <w:color w:val="000101"/>
          <w:spacing w:val="-5"/>
          <w:sz w:val="24"/>
        </w:rPr>
        <w:t>OF</w:t>
      </w:r>
    </w:p>
    <w:p>
      <w:pPr>
        <w:spacing w:line="360" w:lineRule="auto" w:before="0"/>
        <w:ind w:left="1530" w:right="1153" w:firstLine="0"/>
        <w:jc w:val="both"/>
        <w:rPr>
          <w:sz w:val="28"/>
        </w:rPr>
      </w:pPr>
      <w:r>
        <w:rPr>
          <w:b/>
          <w:color w:val="000101"/>
          <w:sz w:val="24"/>
        </w:rPr>
        <w:t>HIGH MANGANESE STEEL</w:t>
      </w:r>
      <w:r>
        <w:rPr>
          <w:sz w:val="28"/>
        </w:rPr>
        <w:t>” being submitted towards partial fulfillment of the degree of </w:t>
      </w:r>
      <w:r>
        <w:rPr>
          <w:b/>
          <w:sz w:val="28"/>
        </w:rPr>
        <w:t>BTech </w:t>
      </w:r>
      <w:r>
        <w:rPr>
          <w:sz w:val="28"/>
        </w:rPr>
        <w:t>in </w:t>
      </w:r>
      <w:r>
        <w:rPr>
          <w:b/>
          <w:sz w:val="28"/>
        </w:rPr>
        <w:t>Metallurgical and Materials Engineering</w:t>
      </w:r>
      <w:r>
        <w:rPr>
          <w:sz w:val="28"/>
        </w:rPr>
        <w:t>, is a bonafide research work carried out by us</w:t>
      </w:r>
      <w:r>
        <w:rPr>
          <w:spacing w:val="-5"/>
          <w:sz w:val="28"/>
        </w:rPr>
        <w:t> </w:t>
      </w:r>
      <w:r>
        <w:rPr>
          <w:sz w:val="28"/>
        </w:rPr>
        <w:t>under</w:t>
      </w:r>
      <w:r>
        <w:rPr>
          <w:spacing w:val="-5"/>
          <w:sz w:val="28"/>
        </w:rPr>
        <w:t> </w:t>
      </w:r>
      <w:r>
        <w:rPr>
          <w:sz w:val="28"/>
        </w:rPr>
        <w:t>the</w:t>
      </w:r>
      <w:r>
        <w:rPr>
          <w:spacing w:val="-5"/>
          <w:sz w:val="28"/>
        </w:rPr>
        <w:t> </w:t>
      </w:r>
      <w:r>
        <w:rPr>
          <w:sz w:val="28"/>
        </w:rPr>
        <w:t>supervision</w:t>
      </w:r>
      <w:r>
        <w:rPr>
          <w:spacing w:val="-5"/>
          <w:sz w:val="28"/>
        </w:rPr>
        <w:t> </w:t>
      </w:r>
      <w:r>
        <w:rPr>
          <w:sz w:val="28"/>
        </w:rPr>
        <w:t>of</w:t>
      </w:r>
      <w:r>
        <w:rPr>
          <w:spacing w:val="40"/>
          <w:sz w:val="28"/>
        </w:rPr>
        <w:t> </w:t>
      </w:r>
      <w:r>
        <w:rPr>
          <w:b/>
          <w:sz w:val="28"/>
        </w:rPr>
        <w:t>Dr.</w:t>
      </w:r>
      <w:r>
        <w:rPr>
          <w:b/>
          <w:spacing w:val="-5"/>
          <w:sz w:val="28"/>
        </w:rPr>
        <w:t> </w:t>
      </w:r>
      <w:r>
        <w:rPr>
          <w:b/>
          <w:sz w:val="28"/>
        </w:rPr>
        <w:t>Swati</w:t>
      </w:r>
      <w:r>
        <w:rPr>
          <w:b/>
          <w:spacing w:val="-5"/>
          <w:sz w:val="28"/>
        </w:rPr>
        <w:t> </w:t>
      </w:r>
      <w:r>
        <w:rPr>
          <w:b/>
          <w:sz w:val="28"/>
        </w:rPr>
        <w:t>Sharma</w:t>
      </w:r>
      <w:r>
        <w:rPr>
          <w:sz w:val="28"/>
        </w:rPr>
        <w:t>,</w:t>
      </w:r>
      <w:r>
        <w:rPr>
          <w:spacing w:val="-5"/>
          <w:sz w:val="28"/>
        </w:rPr>
        <w:t> </w:t>
      </w:r>
      <w:r>
        <w:rPr>
          <w:sz w:val="28"/>
        </w:rPr>
        <w:t>and this has not been submitted anywhere else for the award of any other degree.</w:t>
      </w:r>
    </w:p>
    <w:p>
      <w:pPr>
        <w:pStyle w:val="BodyText"/>
        <w:rPr>
          <w:sz w:val="20"/>
        </w:rPr>
      </w:pPr>
    </w:p>
    <w:p>
      <w:pPr>
        <w:pStyle w:val="BodyText"/>
        <w:spacing w:before="35"/>
        <w:rPr>
          <w:sz w:val="20"/>
        </w:rPr>
      </w:pPr>
    </w:p>
    <w:tbl>
      <w:tblPr>
        <w:tblW w:w="0" w:type="auto"/>
        <w:jc w:val="left"/>
        <w:tblInd w:w="14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11"/>
        <w:gridCol w:w="2647"/>
        <w:gridCol w:w="608"/>
        <w:gridCol w:w="2136"/>
      </w:tblGrid>
      <w:tr>
        <w:trPr>
          <w:trHeight w:val="396" w:hRule="atLeast"/>
        </w:trPr>
        <w:tc>
          <w:tcPr>
            <w:tcW w:w="2511" w:type="dxa"/>
          </w:tcPr>
          <w:p>
            <w:pPr>
              <w:pStyle w:val="TableParagraph"/>
              <w:spacing w:line="310" w:lineRule="exact" w:before="0"/>
              <w:ind w:left="50"/>
              <w:rPr>
                <w:b/>
                <w:sz w:val="28"/>
              </w:rPr>
            </w:pPr>
            <w:r>
              <w:rPr>
                <w:b/>
                <w:sz w:val="28"/>
              </w:rPr>
              <w:t>Aditya</w:t>
            </w:r>
            <w:r>
              <w:rPr>
                <w:b/>
                <w:spacing w:val="-6"/>
                <w:sz w:val="28"/>
              </w:rPr>
              <w:t> </w:t>
            </w:r>
            <w:r>
              <w:rPr>
                <w:b/>
                <w:spacing w:val="-5"/>
                <w:sz w:val="28"/>
              </w:rPr>
              <w:t>Raj</w:t>
            </w:r>
          </w:p>
        </w:tc>
        <w:tc>
          <w:tcPr>
            <w:tcW w:w="2647" w:type="dxa"/>
          </w:tcPr>
          <w:p>
            <w:pPr>
              <w:pStyle w:val="TableParagraph"/>
              <w:spacing w:line="310" w:lineRule="exact" w:before="0"/>
              <w:ind w:left="0" w:right="269"/>
              <w:jc w:val="right"/>
              <w:rPr>
                <w:b/>
                <w:sz w:val="28"/>
              </w:rPr>
            </w:pPr>
            <w:r>
              <w:rPr>
                <w:b/>
                <w:sz w:val="28"/>
              </w:rPr>
              <w:t>Harsh</w:t>
            </w:r>
            <w:r>
              <w:rPr>
                <w:b/>
                <w:spacing w:val="-5"/>
                <w:sz w:val="28"/>
              </w:rPr>
              <w:t> </w:t>
            </w:r>
            <w:r>
              <w:rPr>
                <w:b/>
                <w:spacing w:val="-2"/>
                <w:sz w:val="28"/>
              </w:rPr>
              <w:t>Kumar</w:t>
            </w:r>
          </w:p>
        </w:tc>
        <w:tc>
          <w:tcPr>
            <w:tcW w:w="608" w:type="dxa"/>
          </w:tcPr>
          <w:p>
            <w:pPr>
              <w:pStyle w:val="TableParagraph"/>
              <w:spacing w:before="0"/>
              <w:ind w:left="0"/>
              <w:rPr>
                <w:sz w:val="26"/>
              </w:rPr>
            </w:pPr>
          </w:p>
        </w:tc>
        <w:tc>
          <w:tcPr>
            <w:tcW w:w="2136" w:type="dxa"/>
          </w:tcPr>
          <w:p>
            <w:pPr>
              <w:pStyle w:val="TableParagraph"/>
              <w:spacing w:line="310" w:lineRule="exact" w:before="0"/>
              <w:ind w:left="314"/>
              <w:rPr>
                <w:b/>
                <w:sz w:val="28"/>
              </w:rPr>
            </w:pPr>
            <w:r>
              <w:rPr>
                <w:b/>
                <w:sz w:val="28"/>
              </w:rPr>
              <w:t>Rohan</w:t>
            </w:r>
            <w:r>
              <w:rPr>
                <w:b/>
                <w:spacing w:val="-5"/>
                <w:sz w:val="28"/>
              </w:rPr>
              <w:t> </w:t>
            </w:r>
            <w:r>
              <w:rPr>
                <w:b/>
                <w:spacing w:val="-2"/>
                <w:sz w:val="28"/>
              </w:rPr>
              <w:t>Meena</w:t>
            </w:r>
          </w:p>
        </w:tc>
      </w:tr>
      <w:tr>
        <w:trPr>
          <w:trHeight w:val="396" w:hRule="atLeast"/>
        </w:trPr>
        <w:tc>
          <w:tcPr>
            <w:tcW w:w="2511" w:type="dxa"/>
          </w:tcPr>
          <w:p>
            <w:pPr>
              <w:pStyle w:val="TableParagraph"/>
              <w:spacing w:line="302" w:lineRule="exact" w:before="74"/>
              <w:ind w:left="50"/>
              <w:rPr>
                <w:b/>
                <w:sz w:val="28"/>
              </w:rPr>
            </w:pPr>
            <w:r>
              <w:rPr>
                <w:b/>
                <w:spacing w:val="-2"/>
                <w:sz w:val="28"/>
              </w:rPr>
              <w:t>2022UMT1429</w:t>
            </w:r>
          </w:p>
        </w:tc>
        <w:tc>
          <w:tcPr>
            <w:tcW w:w="2647" w:type="dxa"/>
          </w:tcPr>
          <w:p>
            <w:pPr>
              <w:pStyle w:val="TableParagraph"/>
              <w:spacing w:line="302" w:lineRule="exact" w:before="74"/>
              <w:ind w:left="0" w:right="199"/>
              <w:jc w:val="right"/>
              <w:rPr>
                <w:b/>
                <w:sz w:val="28"/>
              </w:rPr>
            </w:pPr>
            <w:r>
              <w:rPr>
                <w:b/>
                <w:spacing w:val="-2"/>
                <w:sz w:val="28"/>
              </w:rPr>
              <w:t>2022UMT1180</w:t>
            </w:r>
          </w:p>
        </w:tc>
        <w:tc>
          <w:tcPr>
            <w:tcW w:w="608" w:type="dxa"/>
          </w:tcPr>
          <w:p>
            <w:pPr>
              <w:pStyle w:val="TableParagraph"/>
              <w:spacing w:line="302" w:lineRule="exact" w:before="74"/>
              <w:ind w:left="202"/>
              <w:rPr>
                <w:b/>
                <w:sz w:val="28"/>
              </w:rPr>
            </w:pPr>
            <w:r>
              <w:rPr>
                <w:b/>
                <w:spacing w:val="-10"/>
                <w:sz w:val="28"/>
              </w:rPr>
              <w:t>`</w:t>
            </w:r>
          </w:p>
        </w:tc>
        <w:tc>
          <w:tcPr>
            <w:tcW w:w="2136" w:type="dxa"/>
          </w:tcPr>
          <w:p>
            <w:pPr>
              <w:pStyle w:val="TableParagraph"/>
              <w:spacing w:line="302" w:lineRule="exact" w:before="74"/>
              <w:ind w:left="314"/>
              <w:rPr>
                <w:b/>
                <w:sz w:val="28"/>
              </w:rPr>
            </w:pPr>
            <w:r>
              <w:rPr>
                <w:b/>
                <w:spacing w:val="-2"/>
                <w:sz w:val="28"/>
              </w:rPr>
              <w:t>2022UMT1402</w:t>
            </w:r>
          </w:p>
        </w:tc>
      </w:tr>
    </w:tbl>
    <w:p>
      <w:pPr>
        <w:pStyle w:val="BodyText"/>
        <w:rPr>
          <w:sz w:val="28"/>
        </w:rPr>
      </w:pPr>
    </w:p>
    <w:p>
      <w:pPr>
        <w:pStyle w:val="BodyText"/>
        <w:spacing w:before="1"/>
        <w:rPr>
          <w:sz w:val="28"/>
        </w:rPr>
      </w:pPr>
    </w:p>
    <w:p>
      <w:pPr>
        <w:spacing w:line="360" w:lineRule="auto" w:before="0"/>
        <w:ind w:left="1530" w:right="4758" w:firstLine="0"/>
        <w:jc w:val="left"/>
        <w:rPr>
          <w:b/>
          <w:sz w:val="28"/>
        </w:rPr>
      </w:pPr>
      <w:r>
        <w:rPr>
          <w:b/>
          <w:sz w:val="28"/>
        </w:rPr>
        <w:t>Metallurgical</w:t>
      </w:r>
      <w:r>
        <w:rPr>
          <w:b/>
          <w:spacing w:val="-14"/>
          <w:sz w:val="28"/>
        </w:rPr>
        <w:t> </w:t>
      </w:r>
      <w:r>
        <w:rPr>
          <w:b/>
          <w:sz w:val="28"/>
        </w:rPr>
        <w:t>and</w:t>
      </w:r>
      <w:r>
        <w:rPr>
          <w:b/>
          <w:spacing w:val="-14"/>
          <w:sz w:val="28"/>
        </w:rPr>
        <w:t> </w:t>
      </w:r>
      <w:r>
        <w:rPr>
          <w:b/>
          <w:sz w:val="28"/>
        </w:rPr>
        <w:t>Materials</w:t>
      </w:r>
      <w:r>
        <w:rPr>
          <w:b/>
          <w:spacing w:val="-14"/>
          <w:sz w:val="28"/>
        </w:rPr>
        <w:t> </w:t>
      </w:r>
      <w:r>
        <w:rPr>
          <w:b/>
          <w:sz w:val="28"/>
        </w:rPr>
        <w:t>Engineering MNIT JAIPUR</w:t>
      </w:r>
    </w:p>
    <w:p>
      <w:pPr>
        <w:spacing w:after="0" w:line="360" w:lineRule="auto"/>
        <w:jc w:val="left"/>
        <w:rPr>
          <w:b/>
          <w:sz w:val="28"/>
        </w:rPr>
        <w:sectPr>
          <w:pgSz w:w="12240" w:h="15840"/>
          <w:pgMar w:top="1080" w:bottom="280" w:left="0" w:right="360"/>
        </w:sectPr>
      </w:pPr>
    </w:p>
    <w:p>
      <w:pPr>
        <w:pStyle w:val="BodyText"/>
        <w:rPr>
          <w:b/>
          <w:sz w:val="32"/>
        </w:rPr>
      </w:pPr>
      <w:r>
        <w:rPr>
          <w:b/>
          <w:sz w:val="32"/>
        </w:rPr>
        <w:drawing>
          <wp:anchor distT="0" distB="0" distL="0" distR="0" allowOverlap="1" layoutInCell="1" locked="0" behindDoc="1" simplePos="0" relativeHeight="487237120">
            <wp:simplePos x="0" y="0"/>
            <wp:positionH relativeFrom="page">
              <wp:posOffset>616458</wp:posOffset>
            </wp:positionH>
            <wp:positionV relativeFrom="page">
              <wp:posOffset>286512</wp:posOffset>
            </wp:positionV>
            <wp:extent cx="6543675" cy="9486899"/>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6543675" cy="9486899"/>
                    </a:xfrm>
                    <a:prstGeom prst="rect">
                      <a:avLst/>
                    </a:prstGeom>
                  </pic:spPr>
                </pic:pic>
              </a:graphicData>
            </a:graphic>
          </wp:anchor>
        </w:drawing>
      </w:r>
    </w:p>
    <w:p>
      <w:pPr>
        <w:pStyle w:val="BodyText"/>
        <w:spacing w:before="141"/>
        <w:rPr>
          <w:b/>
          <w:sz w:val="32"/>
        </w:rPr>
      </w:pPr>
    </w:p>
    <w:p>
      <w:pPr>
        <w:pStyle w:val="Heading3"/>
        <w:ind w:left="195"/>
      </w:pPr>
      <w:bookmarkStart w:name="ACKNOWLEDGMENT " w:id="11"/>
      <w:bookmarkEnd w:id="11"/>
      <w:r>
        <w:rPr>
          <w:b w:val="0"/>
        </w:rPr>
      </w:r>
      <w:r>
        <w:rPr>
          <w:color w:val="000101"/>
          <w:spacing w:val="-2"/>
        </w:rPr>
        <w:t>ACKNOWLEDGMENT</w:t>
      </w:r>
    </w:p>
    <w:p>
      <w:pPr>
        <w:pStyle w:val="BodyText"/>
        <w:spacing w:before="127"/>
        <w:rPr>
          <w:b/>
          <w:sz w:val="32"/>
        </w:rPr>
      </w:pPr>
    </w:p>
    <w:p>
      <w:pPr>
        <w:pStyle w:val="BodyText"/>
        <w:spacing w:line="360" w:lineRule="auto"/>
        <w:ind w:left="1875" w:right="1499"/>
        <w:jc w:val="both"/>
      </w:pPr>
      <w:r>
        <w:rPr>
          <w:color w:val="000101"/>
        </w:rPr>
        <w:t>We are extremely grateful and indebted to </w:t>
      </w:r>
      <w:r>
        <w:rPr>
          <w:b/>
          <w:color w:val="000101"/>
        </w:rPr>
        <w:t>Dr. Swati Sharma</w:t>
      </w:r>
      <w:r>
        <w:rPr>
          <w:color w:val="000101"/>
        </w:rPr>
        <w:t>, Assistant </w:t>
      </w:r>
      <w:r>
        <w:rPr>
          <w:color w:val="000101"/>
        </w:rPr>
        <w:t>Professor, Department of Metallurgical and Materials Engineering, MNIT Jaipur, for</w:t>
      </w:r>
      <w:r>
        <w:rPr>
          <w:color w:val="000101"/>
          <w:spacing w:val="-5"/>
        </w:rPr>
        <w:t> </w:t>
      </w:r>
      <w:r>
        <w:rPr>
          <w:color w:val="000101"/>
        </w:rPr>
        <w:t>providing</w:t>
      </w:r>
      <w:r>
        <w:rPr>
          <w:color w:val="000101"/>
          <w:spacing w:val="-5"/>
        </w:rPr>
        <w:t> </w:t>
      </w:r>
      <w:r>
        <w:rPr>
          <w:color w:val="000101"/>
        </w:rPr>
        <w:t>us with our final year B.Tech project under her guidance. We are</w:t>
      </w:r>
      <w:r>
        <w:rPr>
          <w:color w:val="000101"/>
          <w:spacing w:val="-4"/>
        </w:rPr>
        <w:t> </w:t>
      </w:r>
      <w:r>
        <w:rPr>
          <w:color w:val="000101"/>
        </w:rPr>
        <w:t>also</w:t>
      </w:r>
      <w:r>
        <w:rPr>
          <w:color w:val="000101"/>
          <w:spacing w:val="-4"/>
        </w:rPr>
        <w:t> </w:t>
      </w:r>
      <w:r>
        <w:rPr>
          <w:color w:val="000101"/>
        </w:rPr>
        <w:t>very</w:t>
      </w:r>
      <w:r>
        <w:rPr>
          <w:color w:val="000101"/>
          <w:spacing w:val="-4"/>
        </w:rPr>
        <w:t> </w:t>
      </w:r>
      <w:r>
        <w:rPr>
          <w:color w:val="000101"/>
        </w:rPr>
        <w:t>thankful</w:t>
      </w:r>
      <w:r>
        <w:rPr>
          <w:color w:val="000101"/>
          <w:spacing w:val="-4"/>
        </w:rPr>
        <w:t> </w:t>
      </w:r>
      <w:r>
        <w:rPr>
          <w:color w:val="000101"/>
        </w:rPr>
        <w:t>to</w:t>
      </w:r>
      <w:r>
        <w:rPr>
          <w:color w:val="000101"/>
          <w:spacing w:val="-4"/>
        </w:rPr>
        <w:t> </w:t>
      </w:r>
      <w:r>
        <w:rPr>
          <w:color w:val="000101"/>
        </w:rPr>
        <w:t>her for her demand for perfection that has encouraged us to put in so much effort into this project. Her useful guidance, suggestions, discussions and</w:t>
      </w:r>
      <w:r>
        <w:rPr>
          <w:color w:val="000101"/>
          <w:spacing w:val="-3"/>
        </w:rPr>
        <w:t> </w:t>
      </w:r>
      <w:r>
        <w:rPr>
          <w:color w:val="000101"/>
        </w:rPr>
        <w:t>calm</w:t>
      </w:r>
      <w:r>
        <w:rPr>
          <w:color w:val="000101"/>
          <w:spacing w:val="-3"/>
        </w:rPr>
        <w:t> </w:t>
      </w:r>
      <w:r>
        <w:rPr>
          <w:color w:val="000101"/>
        </w:rPr>
        <w:t>demeanour</w:t>
      </w:r>
      <w:r>
        <w:rPr>
          <w:color w:val="000101"/>
          <w:spacing w:val="-3"/>
        </w:rPr>
        <w:t> </w:t>
      </w:r>
      <w:r>
        <w:rPr>
          <w:color w:val="000101"/>
        </w:rPr>
        <w:t>at</w:t>
      </w:r>
      <w:r>
        <w:rPr>
          <w:color w:val="000101"/>
          <w:spacing w:val="-3"/>
        </w:rPr>
        <w:t> </w:t>
      </w:r>
      <w:r>
        <w:rPr>
          <w:color w:val="000101"/>
        </w:rPr>
        <w:t>each</w:t>
      </w:r>
      <w:r>
        <w:rPr>
          <w:color w:val="000101"/>
          <w:spacing w:val="-3"/>
        </w:rPr>
        <w:t> </w:t>
      </w:r>
      <w:r>
        <w:rPr>
          <w:color w:val="000101"/>
        </w:rPr>
        <w:t>step of our work helped us a lot to complete this project.</w:t>
      </w:r>
    </w:p>
    <w:p>
      <w:pPr>
        <w:pStyle w:val="BodyText"/>
        <w:spacing w:before="145"/>
      </w:pPr>
    </w:p>
    <w:p>
      <w:pPr>
        <w:pStyle w:val="BodyText"/>
        <w:spacing w:line="360" w:lineRule="auto"/>
        <w:ind w:left="1875" w:right="1521"/>
        <w:jc w:val="both"/>
      </w:pPr>
      <w:r>
        <w:rPr>
          <w:color w:val="000101"/>
        </w:rPr>
        <w:t>We would also like to take this opportunity to thank </w:t>
      </w:r>
      <w:r>
        <w:rPr>
          <w:b/>
          <w:color w:val="000101"/>
        </w:rPr>
        <w:t>Dr.</w:t>
      </w:r>
      <w:r>
        <w:rPr>
          <w:b/>
          <w:color w:val="000101"/>
          <w:spacing w:val="-5"/>
        </w:rPr>
        <w:t> </w:t>
      </w:r>
      <w:r>
        <w:rPr>
          <w:b/>
          <w:color w:val="000101"/>
        </w:rPr>
        <w:t>Ranveer</w:t>
      </w:r>
      <w:r>
        <w:rPr>
          <w:b/>
          <w:color w:val="000101"/>
          <w:spacing w:val="-5"/>
        </w:rPr>
        <w:t> </w:t>
      </w:r>
      <w:r>
        <w:rPr>
          <w:b/>
          <w:color w:val="000101"/>
        </w:rPr>
        <w:t>Singh</w:t>
      </w:r>
      <w:r>
        <w:rPr>
          <w:b/>
          <w:color w:val="000101"/>
          <w:spacing w:val="-5"/>
        </w:rPr>
        <w:t> </w:t>
      </w:r>
      <w:r>
        <w:rPr>
          <w:color w:val="000101"/>
        </w:rPr>
        <w:t>for</w:t>
      </w:r>
      <w:r>
        <w:rPr>
          <w:color w:val="000101"/>
          <w:spacing w:val="-5"/>
        </w:rPr>
        <w:t> </w:t>
      </w:r>
      <w:r>
        <w:rPr>
          <w:color w:val="000101"/>
        </w:rPr>
        <w:t>guiding</w:t>
      </w:r>
      <w:r>
        <w:rPr>
          <w:color w:val="000101"/>
          <w:spacing w:val="-5"/>
        </w:rPr>
        <w:t> </w:t>
      </w:r>
      <w:r>
        <w:rPr>
          <w:color w:val="000101"/>
        </w:rPr>
        <w:t>us through the project process and providing us the necessary guidance.</w:t>
      </w:r>
    </w:p>
    <w:p>
      <w:pPr>
        <w:pStyle w:val="BodyText"/>
        <w:spacing w:before="146"/>
      </w:pPr>
    </w:p>
    <w:p>
      <w:pPr>
        <w:pStyle w:val="BodyText"/>
        <w:spacing w:line="360" w:lineRule="auto"/>
        <w:ind w:left="1875" w:right="1522"/>
        <w:jc w:val="both"/>
      </w:pPr>
      <w:r>
        <w:rPr>
          <w:color w:val="000101"/>
        </w:rPr>
        <w:t>We express our profound sense of gratitude to </w:t>
      </w:r>
      <w:r>
        <w:rPr>
          <w:b/>
          <w:color w:val="000101"/>
        </w:rPr>
        <w:t>Dr. Rajendra Kumar</w:t>
      </w:r>
      <w:r>
        <w:rPr>
          <w:b/>
          <w:color w:val="000101"/>
          <w:spacing w:val="-6"/>
        </w:rPr>
        <w:t> </w:t>
      </w:r>
      <w:r>
        <w:rPr>
          <w:b/>
          <w:color w:val="000101"/>
        </w:rPr>
        <w:t>Goyal</w:t>
      </w:r>
      <w:r>
        <w:rPr>
          <w:color w:val="000101"/>
        </w:rPr>
        <w:t>,</w:t>
      </w:r>
      <w:r>
        <w:rPr>
          <w:color w:val="000101"/>
          <w:spacing w:val="-6"/>
        </w:rPr>
        <w:t> </w:t>
      </w:r>
      <w:r>
        <w:rPr>
          <w:color w:val="000101"/>
        </w:rPr>
        <w:t>Professor and Head of</w:t>
      </w:r>
      <w:r>
        <w:rPr>
          <w:color w:val="000101"/>
          <w:spacing w:val="-4"/>
        </w:rPr>
        <w:t> </w:t>
      </w:r>
      <w:r>
        <w:rPr>
          <w:color w:val="000101"/>
        </w:rPr>
        <w:t>the</w:t>
      </w:r>
      <w:r>
        <w:rPr>
          <w:color w:val="000101"/>
          <w:spacing w:val="-4"/>
        </w:rPr>
        <w:t> </w:t>
      </w:r>
      <w:r>
        <w:rPr>
          <w:color w:val="000101"/>
        </w:rPr>
        <w:t>Department,</w:t>
      </w:r>
      <w:r>
        <w:rPr>
          <w:color w:val="000101"/>
          <w:spacing w:val="-4"/>
        </w:rPr>
        <w:t> </w:t>
      </w:r>
      <w:r>
        <w:rPr>
          <w:color w:val="000101"/>
        </w:rPr>
        <w:t>Metallurgical</w:t>
      </w:r>
      <w:r>
        <w:rPr>
          <w:color w:val="000101"/>
          <w:spacing w:val="-4"/>
        </w:rPr>
        <w:t> </w:t>
      </w:r>
      <w:r>
        <w:rPr>
          <w:color w:val="000101"/>
        </w:rPr>
        <w:t>&amp;</w:t>
      </w:r>
      <w:r>
        <w:rPr>
          <w:color w:val="000101"/>
          <w:spacing w:val="-4"/>
        </w:rPr>
        <w:t> </w:t>
      </w:r>
      <w:r>
        <w:rPr>
          <w:color w:val="000101"/>
        </w:rPr>
        <w:t>Materials</w:t>
      </w:r>
      <w:r>
        <w:rPr>
          <w:color w:val="000101"/>
          <w:spacing w:val="-4"/>
        </w:rPr>
        <w:t> </w:t>
      </w:r>
      <w:r>
        <w:rPr>
          <w:color w:val="000101"/>
        </w:rPr>
        <w:t>Engineering</w:t>
      </w:r>
      <w:r>
        <w:rPr>
          <w:color w:val="000101"/>
          <w:spacing w:val="-4"/>
        </w:rPr>
        <w:t> </w:t>
      </w:r>
      <w:r>
        <w:rPr>
          <w:color w:val="000101"/>
        </w:rPr>
        <w:t>Department</w:t>
      </w:r>
      <w:r>
        <w:rPr>
          <w:color w:val="000101"/>
          <w:spacing w:val="-4"/>
        </w:rPr>
        <w:t> </w:t>
      </w:r>
      <w:r>
        <w:rPr>
          <w:color w:val="000101"/>
        </w:rPr>
        <w:t>for</w:t>
      </w:r>
      <w:r>
        <w:rPr>
          <w:color w:val="000101"/>
          <w:spacing w:val="-4"/>
        </w:rPr>
        <w:t> </w:t>
      </w:r>
      <w:r>
        <w:rPr>
          <w:color w:val="000101"/>
        </w:rPr>
        <w:t>his encouragement and necessary permission to carry out the work.</w:t>
      </w:r>
    </w:p>
    <w:p>
      <w:pPr>
        <w:pStyle w:val="BodyText"/>
        <w:spacing w:before="147"/>
      </w:pPr>
    </w:p>
    <w:p>
      <w:pPr>
        <w:pStyle w:val="BodyText"/>
        <w:spacing w:line="360" w:lineRule="auto"/>
        <w:ind w:left="1875" w:right="1522"/>
        <w:jc w:val="both"/>
      </w:pPr>
      <w:r>
        <w:rPr>
          <w:color w:val="000101"/>
        </w:rPr>
        <w:t>We express</w:t>
      </w:r>
      <w:r>
        <w:rPr>
          <w:color w:val="000101"/>
          <w:spacing w:val="-4"/>
        </w:rPr>
        <w:t> </w:t>
      </w:r>
      <w:r>
        <w:rPr>
          <w:color w:val="000101"/>
        </w:rPr>
        <w:t>our</w:t>
      </w:r>
      <w:r>
        <w:rPr>
          <w:color w:val="000101"/>
          <w:spacing w:val="-4"/>
        </w:rPr>
        <w:t> </w:t>
      </w:r>
      <w:r>
        <w:rPr>
          <w:color w:val="000101"/>
        </w:rPr>
        <w:t>gratitude</w:t>
      </w:r>
      <w:r>
        <w:rPr>
          <w:color w:val="000101"/>
          <w:spacing w:val="-4"/>
        </w:rPr>
        <w:t> </w:t>
      </w:r>
      <w:r>
        <w:rPr>
          <w:color w:val="000101"/>
        </w:rPr>
        <w:t>to</w:t>
      </w:r>
      <w:r>
        <w:rPr>
          <w:color w:val="000101"/>
          <w:spacing w:val="-4"/>
        </w:rPr>
        <w:t> </w:t>
      </w:r>
      <w:r>
        <w:rPr>
          <w:color w:val="000101"/>
        </w:rPr>
        <w:t>all</w:t>
      </w:r>
      <w:r>
        <w:rPr>
          <w:color w:val="000101"/>
          <w:spacing w:val="-4"/>
        </w:rPr>
        <w:t> </w:t>
      </w:r>
      <w:r>
        <w:rPr>
          <w:color w:val="000101"/>
        </w:rPr>
        <w:t>those</w:t>
      </w:r>
      <w:r>
        <w:rPr>
          <w:color w:val="000101"/>
          <w:spacing w:val="-4"/>
        </w:rPr>
        <w:t> </w:t>
      </w:r>
      <w:r>
        <w:rPr>
          <w:color w:val="000101"/>
        </w:rPr>
        <w:t>who</w:t>
      </w:r>
      <w:r>
        <w:rPr>
          <w:color w:val="000101"/>
          <w:spacing w:val="-4"/>
        </w:rPr>
        <w:t> </w:t>
      </w:r>
      <w:r>
        <w:rPr>
          <w:color w:val="000101"/>
        </w:rPr>
        <w:t>are</w:t>
      </w:r>
      <w:r>
        <w:rPr>
          <w:color w:val="000101"/>
          <w:spacing w:val="-4"/>
        </w:rPr>
        <w:t> </w:t>
      </w:r>
      <w:r>
        <w:rPr>
          <w:color w:val="000101"/>
        </w:rPr>
        <w:t>directly</w:t>
      </w:r>
      <w:r>
        <w:rPr>
          <w:color w:val="000101"/>
          <w:spacing w:val="-4"/>
        </w:rPr>
        <w:t> </w:t>
      </w:r>
      <w:r>
        <w:rPr>
          <w:color w:val="000101"/>
        </w:rPr>
        <w:t>or</w:t>
      </w:r>
      <w:r>
        <w:rPr>
          <w:color w:val="000101"/>
          <w:spacing w:val="-4"/>
        </w:rPr>
        <w:t> </w:t>
      </w:r>
      <w:r>
        <w:rPr>
          <w:color w:val="000101"/>
        </w:rPr>
        <w:t>indirectly</w:t>
      </w:r>
      <w:r>
        <w:rPr>
          <w:color w:val="000101"/>
          <w:spacing w:val="-4"/>
        </w:rPr>
        <w:t> </w:t>
      </w:r>
      <w:r>
        <w:rPr>
          <w:color w:val="000101"/>
        </w:rPr>
        <w:t>involved</w:t>
      </w:r>
      <w:r>
        <w:rPr>
          <w:color w:val="000101"/>
          <w:spacing w:val="-4"/>
        </w:rPr>
        <w:t> </w:t>
      </w:r>
      <w:r>
        <w:rPr>
          <w:color w:val="000101"/>
        </w:rPr>
        <w:t>in</w:t>
      </w:r>
      <w:r>
        <w:rPr>
          <w:color w:val="000101"/>
          <w:spacing w:val="-4"/>
        </w:rPr>
        <w:t> </w:t>
      </w:r>
      <w:r>
        <w:rPr>
          <w:color w:val="000101"/>
        </w:rPr>
        <w:t>this</w:t>
      </w:r>
      <w:r>
        <w:rPr>
          <w:color w:val="000101"/>
          <w:spacing w:val="-4"/>
        </w:rPr>
        <w:t> </w:t>
      </w:r>
      <w:r>
        <w:rPr>
          <w:color w:val="000101"/>
        </w:rPr>
        <w:t>work including all the support staff in the departmental laboratories and office.</w:t>
      </w:r>
    </w:p>
    <w:p>
      <w:pPr>
        <w:pStyle w:val="BodyText"/>
      </w:pPr>
    </w:p>
    <w:p>
      <w:pPr>
        <w:pStyle w:val="BodyText"/>
      </w:pPr>
    </w:p>
    <w:p>
      <w:pPr>
        <w:pStyle w:val="BodyText"/>
        <w:spacing w:before="201"/>
      </w:pPr>
    </w:p>
    <w:p>
      <w:pPr>
        <w:pStyle w:val="BodyText"/>
        <w:spacing w:line="360" w:lineRule="auto"/>
        <w:ind w:left="1875" w:right="8497"/>
      </w:pPr>
      <w:r>
        <w:rPr>
          <w:color w:val="000101"/>
        </w:rPr>
        <w:t>(Aditya Raj) (Harsh Kumar) (Rohan </w:t>
      </w:r>
      <w:r>
        <w:rPr>
          <w:color w:val="000101"/>
          <w:spacing w:val="-2"/>
        </w:rPr>
        <w:t>Meena)</w:t>
      </w:r>
    </w:p>
    <w:p>
      <w:pPr>
        <w:pStyle w:val="BodyText"/>
        <w:spacing w:after="0" w:line="360" w:lineRule="auto"/>
        <w:sectPr>
          <w:pgSz w:w="12240" w:h="15840"/>
          <w:pgMar w:top="460" w:bottom="280" w:left="0" w:right="360"/>
        </w:sectPr>
      </w:pPr>
    </w:p>
    <w:p>
      <w:pPr>
        <w:pStyle w:val="Heading5"/>
        <w:spacing w:before="77"/>
        <w:ind w:left="5689" w:right="5038" w:hanging="120"/>
        <w:jc w:val="center"/>
      </w:pPr>
      <w:bookmarkStart w:name="_TOC_250007" w:id="12"/>
      <w:bookmarkStart w:name="Table of Contents " w:id="13"/>
      <w:r>
        <w:rPr>
          <w:b w:val="0"/>
        </w:rPr>
      </w:r>
      <w:r>
        <w:rPr>
          <w:color w:val="000101"/>
        </w:rPr>
        <w:t>Table of </w:t>
      </w:r>
      <w:bookmarkEnd w:id="12"/>
      <w:r>
        <w:rPr>
          <w:color w:val="000101"/>
          <w:spacing w:val="-2"/>
        </w:rPr>
        <w:t>Contents</w:t>
      </w:r>
    </w:p>
    <w:p>
      <w:pPr>
        <w:tabs>
          <w:tab w:pos="10264" w:val="left" w:leader="none"/>
        </w:tabs>
        <w:spacing w:before="191"/>
        <w:ind w:left="2809" w:right="0" w:firstLine="0"/>
        <w:jc w:val="left"/>
        <w:rPr>
          <w:sz w:val="26"/>
        </w:rPr>
      </w:pPr>
      <w:r>
        <w:rPr>
          <w:b/>
          <w:color w:val="000101"/>
          <w:spacing w:val="-2"/>
          <w:sz w:val="26"/>
        </w:rPr>
        <w:t>Contents</w:t>
      </w:r>
      <w:r>
        <w:rPr>
          <w:b/>
          <w:color w:val="000101"/>
          <w:sz w:val="26"/>
        </w:rPr>
        <w:tab/>
      </w:r>
      <w:r>
        <w:rPr>
          <w:color w:val="000101"/>
          <w:spacing w:val="-4"/>
          <w:sz w:val="26"/>
        </w:rPr>
        <w:t>Page</w:t>
      </w:r>
    </w:p>
    <w:p>
      <w:pPr>
        <w:spacing w:before="0"/>
        <w:ind w:left="2809" w:right="0" w:firstLine="0"/>
        <w:jc w:val="left"/>
        <w:rPr>
          <w:sz w:val="26"/>
        </w:rPr>
      </w:pPr>
      <w:r>
        <w:rPr>
          <w:color w:val="000101"/>
          <w:spacing w:val="-5"/>
          <w:sz w:val="26"/>
        </w:rPr>
        <w:t>No.</w:t>
      </w:r>
    </w:p>
    <w:p>
      <w:pPr>
        <w:tabs>
          <w:tab w:pos="10909" w:val="left" w:leader="none"/>
        </w:tabs>
        <w:spacing w:before="51"/>
        <w:ind w:left="2779" w:right="0" w:firstLine="0"/>
        <w:jc w:val="left"/>
        <w:rPr>
          <w:sz w:val="22"/>
        </w:rPr>
      </w:pPr>
      <w:r>
        <w:rPr>
          <w:color w:val="000101"/>
          <w:spacing w:val="-2"/>
          <w:sz w:val="22"/>
        </w:rPr>
        <w:t>Certificate</w:t>
      </w:r>
      <w:r>
        <w:rPr>
          <w:color w:val="000101"/>
          <w:sz w:val="22"/>
        </w:rPr>
        <w:tab/>
      </w:r>
      <w:r>
        <w:rPr>
          <w:color w:val="000101"/>
          <w:spacing w:val="-10"/>
          <w:sz w:val="22"/>
        </w:rPr>
        <w:t>i</w:t>
      </w:r>
    </w:p>
    <w:sdt>
      <w:sdtPr>
        <w:docPartObj>
          <w:docPartGallery w:val="Table of Contents"/>
          <w:docPartUnique/>
        </w:docPartObj>
      </w:sdtPr>
      <w:sdtEndPr/>
      <w:sdtContent>
        <w:p>
          <w:pPr>
            <w:pStyle w:val="TOC2"/>
            <w:tabs>
              <w:tab w:pos="11029" w:val="right" w:leader="none"/>
            </w:tabs>
            <w:spacing w:before="47"/>
          </w:pPr>
          <w:r>
            <w:rPr>
              <w:color w:val="000101"/>
              <w:spacing w:val="-2"/>
            </w:rPr>
            <w:t>Acknowledgement</w:t>
          </w:r>
          <w:r>
            <w:rPr>
              <w:color w:val="000101"/>
            </w:rPr>
            <w:tab/>
          </w:r>
          <w:r>
            <w:rPr>
              <w:color w:val="000101"/>
              <w:spacing w:val="-5"/>
            </w:rPr>
            <w:t>ii</w:t>
          </w:r>
        </w:p>
        <w:p>
          <w:pPr>
            <w:pStyle w:val="TOC2"/>
            <w:tabs>
              <w:tab w:pos="11044" w:val="right" w:leader="none"/>
            </w:tabs>
            <w:spacing w:before="46"/>
          </w:pPr>
          <w:hyperlink w:history="true" w:anchor="_TOC_250007">
            <w:r>
              <w:rPr>
                <w:color w:val="000101"/>
              </w:rPr>
              <w:t>Table</w:t>
            </w:r>
            <w:r>
              <w:rPr>
                <w:color w:val="000101"/>
                <w:spacing w:val="-11"/>
              </w:rPr>
              <w:t> </w:t>
            </w:r>
            <w:r>
              <w:rPr>
                <w:color w:val="000101"/>
              </w:rPr>
              <w:t>of</w:t>
            </w:r>
            <w:r>
              <w:rPr>
                <w:color w:val="000101"/>
                <w:spacing w:val="-11"/>
              </w:rPr>
              <w:t> </w:t>
            </w:r>
            <w:r>
              <w:rPr>
                <w:color w:val="000101"/>
                <w:spacing w:val="-2"/>
              </w:rPr>
              <w:t>Contents</w:t>
            </w:r>
            <w:r>
              <w:rPr>
                <w:color w:val="000101"/>
              </w:rPr>
              <w:tab/>
            </w:r>
            <w:r>
              <w:rPr>
                <w:color w:val="000101"/>
                <w:spacing w:val="-5"/>
              </w:rPr>
              <w:t>iii</w:t>
            </w:r>
          </w:hyperlink>
        </w:p>
        <w:p>
          <w:pPr>
            <w:pStyle w:val="TOC2"/>
            <w:tabs>
              <w:tab w:pos="11074" w:val="right" w:leader="none"/>
            </w:tabs>
          </w:pPr>
          <w:hyperlink w:history="true" w:anchor="_TOC_250006">
            <w:r>
              <w:rPr>
                <w:color w:val="000101"/>
                <w:spacing w:val="-2"/>
              </w:rPr>
              <w:t>Abstract</w:t>
            </w:r>
            <w:r>
              <w:rPr>
                <w:color w:val="000101"/>
              </w:rPr>
              <w:tab/>
            </w:r>
            <w:r>
              <w:rPr>
                <w:color w:val="000101"/>
                <w:spacing w:val="-5"/>
              </w:rPr>
              <w:t>iv</w:t>
            </w:r>
          </w:hyperlink>
        </w:p>
        <w:p>
          <w:pPr>
            <w:pStyle w:val="TOC3"/>
            <w:numPr>
              <w:ilvl w:val="0"/>
              <w:numId w:val="1"/>
            </w:numPr>
            <w:tabs>
              <w:tab w:pos="3199" w:val="left" w:leader="none"/>
              <w:tab w:pos="11005" w:val="right" w:leader="none"/>
            </w:tabs>
            <w:spacing w:line="240" w:lineRule="auto" w:before="43" w:after="0"/>
            <w:ind w:left="3199" w:right="0" w:hanging="420"/>
            <w:jc w:val="left"/>
            <w:rPr>
              <w:rFonts w:ascii="Arial MT"/>
              <w:b w:val="0"/>
              <w:i w:val="0"/>
              <w:color w:val="000101"/>
              <w:sz w:val="22"/>
            </w:rPr>
          </w:pPr>
          <w:hyperlink w:history="true" w:anchor="_TOC_250005">
            <w:r>
              <w:rPr>
                <w:i w:val="0"/>
                <w:color w:val="000101"/>
                <w:spacing w:val="-2"/>
                <w:sz w:val="22"/>
              </w:rPr>
              <w:t>Introduction</w:t>
            </w:r>
            <w:r>
              <w:rPr>
                <w:b w:val="0"/>
                <w:i w:val="0"/>
                <w:color w:val="000101"/>
                <w:sz w:val="22"/>
              </w:rPr>
              <w:tab/>
            </w:r>
            <w:r>
              <w:rPr>
                <w:b w:val="0"/>
                <w:i w:val="0"/>
                <w:color w:val="000101"/>
                <w:spacing w:val="-5"/>
                <w:sz w:val="22"/>
              </w:rPr>
              <w:t>1-</w:t>
            </w:r>
            <w:r>
              <w:rPr>
                <w:b w:val="0"/>
                <w:i w:val="0"/>
                <w:color w:val="000101"/>
                <w:sz w:val="22"/>
              </w:rPr>
              <w:t>3</w:t>
            </w:r>
          </w:hyperlink>
        </w:p>
        <w:p>
          <w:pPr>
            <w:pStyle w:val="TOC4"/>
            <w:numPr>
              <w:ilvl w:val="1"/>
              <w:numId w:val="1"/>
            </w:numPr>
            <w:tabs>
              <w:tab w:pos="4114" w:val="left" w:leader="none"/>
            </w:tabs>
            <w:spacing w:line="240" w:lineRule="auto" w:before="46" w:after="0"/>
            <w:ind w:left="4114" w:right="0" w:hanging="540"/>
            <w:jc w:val="left"/>
          </w:pPr>
          <w:hyperlink w:history="true" w:anchor="_TOC_250004">
            <w:r>
              <w:rPr>
                <w:color w:val="000101"/>
                <w:spacing w:val="-2"/>
              </w:rPr>
              <w:t>Background</w:t>
            </w:r>
          </w:hyperlink>
        </w:p>
        <w:p>
          <w:pPr>
            <w:pStyle w:val="TOC4"/>
            <w:numPr>
              <w:ilvl w:val="1"/>
              <w:numId w:val="1"/>
            </w:numPr>
            <w:tabs>
              <w:tab w:pos="4114" w:val="left" w:leader="none"/>
            </w:tabs>
            <w:spacing w:line="240" w:lineRule="auto" w:before="47" w:after="0"/>
            <w:ind w:left="4114" w:right="0" w:hanging="540"/>
            <w:jc w:val="left"/>
          </w:pPr>
          <w:hyperlink w:history="true" w:anchor="_TOC_250003">
            <w:r>
              <w:rPr>
                <w:color w:val="000101"/>
              </w:rPr>
              <w:t>Why</w:t>
            </w:r>
            <w:r>
              <w:rPr>
                <w:color w:val="000101"/>
                <w:spacing w:val="-4"/>
              </w:rPr>
              <w:t> </w:t>
            </w:r>
            <w:r>
              <w:rPr>
                <w:color w:val="000101"/>
              </w:rPr>
              <w:t>Cerium</w:t>
            </w:r>
            <w:r>
              <w:rPr>
                <w:color w:val="000101"/>
                <w:spacing w:val="-4"/>
              </w:rPr>
              <w:t> </w:t>
            </w:r>
            <w:r>
              <w:rPr>
                <w:color w:val="000101"/>
              </w:rPr>
              <w:t>and</w:t>
            </w:r>
            <w:r>
              <w:rPr>
                <w:color w:val="000101"/>
                <w:spacing w:val="-4"/>
              </w:rPr>
              <w:t> </w:t>
            </w:r>
            <w:r>
              <w:rPr>
                <w:color w:val="000101"/>
              </w:rPr>
              <w:t>Hot</w:t>
            </w:r>
            <w:r>
              <w:rPr>
                <w:color w:val="000101"/>
                <w:spacing w:val="-3"/>
              </w:rPr>
              <w:t> </w:t>
            </w:r>
            <w:r>
              <w:rPr>
                <w:color w:val="000101"/>
                <w:spacing w:val="-2"/>
              </w:rPr>
              <w:t>Rolling</w:t>
            </w:r>
          </w:hyperlink>
        </w:p>
        <w:p>
          <w:pPr>
            <w:pStyle w:val="TOC4"/>
            <w:numPr>
              <w:ilvl w:val="1"/>
              <w:numId w:val="1"/>
            </w:numPr>
            <w:tabs>
              <w:tab w:pos="4114" w:val="left" w:leader="none"/>
            </w:tabs>
            <w:spacing w:line="240" w:lineRule="auto" w:before="45" w:after="0"/>
            <w:ind w:left="4114" w:right="0" w:hanging="540"/>
            <w:jc w:val="left"/>
          </w:pPr>
          <w:hyperlink w:history="true" w:anchor="_TOC_250002">
            <w:r>
              <w:rPr>
                <w:color w:val="000101"/>
              </w:rPr>
              <w:t>Applications</w:t>
            </w:r>
            <w:r>
              <w:rPr>
                <w:color w:val="000101"/>
                <w:spacing w:val="-7"/>
              </w:rPr>
              <w:t> </w:t>
            </w:r>
            <w:r>
              <w:rPr>
                <w:color w:val="000101"/>
              </w:rPr>
              <w:t>of</w:t>
            </w:r>
            <w:r>
              <w:rPr>
                <w:color w:val="000101"/>
                <w:spacing w:val="-6"/>
              </w:rPr>
              <w:t> </w:t>
            </w:r>
            <w:r>
              <w:rPr>
                <w:color w:val="000101"/>
              </w:rPr>
              <w:t>Ce</w:t>
            </w:r>
            <w:r>
              <w:rPr>
                <w:color w:val="000101"/>
                <w:spacing w:val="-7"/>
              </w:rPr>
              <w:t> </w:t>
            </w:r>
            <w:r>
              <w:rPr>
                <w:color w:val="000101"/>
              </w:rPr>
              <w:t>Reinforced</w:t>
            </w:r>
            <w:r>
              <w:rPr>
                <w:color w:val="000101"/>
                <w:spacing w:val="-6"/>
              </w:rPr>
              <w:t> </w:t>
            </w:r>
            <w:r>
              <w:rPr>
                <w:color w:val="000101"/>
                <w:spacing w:val="-2"/>
              </w:rPr>
              <w:t>Steels</w:t>
            </w:r>
          </w:hyperlink>
        </w:p>
        <w:p>
          <w:pPr>
            <w:pStyle w:val="TOC4"/>
            <w:numPr>
              <w:ilvl w:val="1"/>
              <w:numId w:val="1"/>
            </w:numPr>
            <w:tabs>
              <w:tab w:pos="4114" w:val="left" w:leader="none"/>
            </w:tabs>
            <w:spacing w:line="240" w:lineRule="auto" w:before="45" w:after="0"/>
            <w:ind w:left="4114" w:right="0" w:hanging="540"/>
            <w:jc w:val="left"/>
          </w:pPr>
          <w:hyperlink w:history="true" w:anchor="_TOC_250001">
            <w:r>
              <w:rPr>
                <w:color w:val="000101"/>
                <w:spacing w:val="-2"/>
              </w:rPr>
              <w:t>Motivation</w:t>
            </w:r>
          </w:hyperlink>
        </w:p>
        <w:p>
          <w:pPr>
            <w:pStyle w:val="TOC1"/>
            <w:numPr>
              <w:ilvl w:val="0"/>
              <w:numId w:val="1"/>
            </w:numPr>
            <w:tabs>
              <w:tab w:pos="3199" w:val="left" w:leader="none"/>
              <w:tab w:pos="11005" w:val="right" w:leader="none"/>
            </w:tabs>
            <w:spacing w:line="240" w:lineRule="auto" w:before="46" w:after="0"/>
            <w:ind w:left="3199" w:right="0" w:hanging="420"/>
            <w:jc w:val="left"/>
            <w:rPr>
              <w:rFonts w:ascii="Arial MT"/>
              <w:b w:val="0"/>
              <w:color w:val="000101"/>
            </w:rPr>
          </w:pPr>
          <w:hyperlink w:history="true" w:anchor="_TOC_250000">
            <w:r>
              <w:rPr>
                <w:color w:val="000101"/>
                <w:spacing w:val="-2"/>
              </w:rPr>
              <w:t>Literature</w:t>
            </w:r>
            <w:r>
              <w:rPr>
                <w:color w:val="000101"/>
                <w:spacing w:val="6"/>
              </w:rPr>
              <w:t> </w:t>
            </w:r>
            <w:r>
              <w:rPr>
                <w:color w:val="000101"/>
                <w:spacing w:val="-2"/>
              </w:rPr>
              <w:t>Survey</w:t>
            </w:r>
            <w:r>
              <w:rPr>
                <w:b w:val="0"/>
                <w:color w:val="000101"/>
              </w:rPr>
              <w:tab/>
            </w:r>
            <w:r>
              <w:rPr>
                <w:b w:val="0"/>
                <w:color w:val="000101"/>
                <w:spacing w:val="-5"/>
              </w:rPr>
              <w:t>4-</w:t>
            </w:r>
            <w:r>
              <w:rPr>
                <w:b w:val="0"/>
                <w:color w:val="000101"/>
              </w:rPr>
              <w:t>5</w:t>
            </w:r>
          </w:hyperlink>
        </w:p>
      </w:sdtContent>
    </w:sdt>
    <w:p>
      <w:pPr>
        <w:pStyle w:val="ListParagraph"/>
        <w:numPr>
          <w:ilvl w:val="1"/>
          <w:numId w:val="1"/>
        </w:numPr>
        <w:tabs>
          <w:tab w:pos="3994" w:val="left" w:leader="none"/>
        </w:tabs>
        <w:spacing w:line="240" w:lineRule="auto" w:before="45" w:after="0"/>
        <w:ind w:left="3994" w:right="0" w:hanging="690"/>
        <w:jc w:val="left"/>
        <w:rPr>
          <w:sz w:val="22"/>
        </w:rPr>
      </w:pPr>
      <w:r>
        <w:rPr>
          <w:color w:val="000101"/>
          <w:sz w:val="22"/>
        </w:rPr>
        <w:t>Effect</w:t>
      </w:r>
      <w:r>
        <w:rPr>
          <w:color w:val="000101"/>
          <w:spacing w:val="-9"/>
          <w:sz w:val="22"/>
        </w:rPr>
        <w:t> </w:t>
      </w:r>
      <w:r>
        <w:rPr>
          <w:color w:val="000101"/>
          <w:sz w:val="22"/>
        </w:rPr>
        <w:t>of</w:t>
      </w:r>
      <w:r>
        <w:rPr>
          <w:color w:val="000101"/>
          <w:spacing w:val="-7"/>
          <w:sz w:val="22"/>
        </w:rPr>
        <w:t> </w:t>
      </w:r>
      <w:r>
        <w:rPr>
          <w:color w:val="000101"/>
          <w:sz w:val="22"/>
        </w:rPr>
        <w:t>alloying</w:t>
      </w:r>
      <w:r>
        <w:rPr>
          <w:color w:val="000101"/>
          <w:spacing w:val="-7"/>
          <w:sz w:val="22"/>
        </w:rPr>
        <w:t> </w:t>
      </w:r>
      <w:r>
        <w:rPr>
          <w:color w:val="000101"/>
          <w:sz w:val="22"/>
        </w:rPr>
        <w:t>elements</w:t>
      </w:r>
      <w:r>
        <w:rPr>
          <w:color w:val="000101"/>
          <w:spacing w:val="-6"/>
          <w:sz w:val="22"/>
        </w:rPr>
        <w:t> </w:t>
      </w:r>
      <w:r>
        <w:rPr>
          <w:color w:val="000101"/>
          <w:sz w:val="22"/>
        </w:rPr>
        <w:t>on</w:t>
      </w:r>
      <w:r>
        <w:rPr>
          <w:color w:val="000101"/>
          <w:spacing w:val="-7"/>
          <w:sz w:val="22"/>
        </w:rPr>
        <w:t> </w:t>
      </w:r>
      <w:r>
        <w:rPr>
          <w:color w:val="000101"/>
          <w:sz w:val="22"/>
        </w:rPr>
        <w:t>High-Mn</w:t>
      </w:r>
      <w:r>
        <w:rPr>
          <w:color w:val="000101"/>
          <w:spacing w:val="-7"/>
          <w:sz w:val="22"/>
        </w:rPr>
        <w:t> </w:t>
      </w:r>
      <w:r>
        <w:rPr>
          <w:color w:val="000101"/>
          <w:sz w:val="22"/>
        </w:rPr>
        <w:t>Austenitic</w:t>
      </w:r>
      <w:r>
        <w:rPr>
          <w:color w:val="000101"/>
          <w:spacing w:val="-6"/>
          <w:sz w:val="22"/>
        </w:rPr>
        <w:t> </w:t>
      </w:r>
      <w:r>
        <w:rPr>
          <w:color w:val="000101"/>
          <w:spacing w:val="-2"/>
          <w:sz w:val="22"/>
        </w:rPr>
        <w:t>Steel</w:t>
      </w:r>
    </w:p>
    <w:p>
      <w:pPr>
        <w:pStyle w:val="ListParagraph"/>
        <w:numPr>
          <w:ilvl w:val="2"/>
          <w:numId w:val="1"/>
        </w:numPr>
        <w:tabs>
          <w:tab w:pos="4514" w:val="left" w:leader="none"/>
        </w:tabs>
        <w:spacing w:line="240" w:lineRule="auto" w:before="46" w:after="0"/>
        <w:ind w:left="4514" w:right="0" w:hanging="670"/>
        <w:jc w:val="left"/>
        <w:rPr>
          <w:sz w:val="22"/>
        </w:rPr>
      </w:pPr>
      <w:r>
        <w:rPr>
          <w:color w:val="000101"/>
          <w:sz w:val="22"/>
        </w:rPr>
        <w:t>Effect</w:t>
      </w:r>
      <w:r>
        <w:rPr>
          <w:color w:val="000101"/>
          <w:spacing w:val="-6"/>
          <w:sz w:val="22"/>
        </w:rPr>
        <w:t> </w:t>
      </w:r>
      <w:r>
        <w:rPr>
          <w:color w:val="000101"/>
          <w:sz w:val="22"/>
        </w:rPr>
        <w:t>of</w:t>
      </w:r>
      <w:r>
        <w:rPr>
          <w:color w:val="000101"/>
          <w:spacing w:val="-6"/>
          <w:sz w:val="22"/>
        </w:rPr>
        <w:t> </w:t>
      </w:r>
      <w:r>
        <w:rPr>
          <w:color w:val="000101"/>
          <w:spacing w:val="-5"/>
          <w:sz w:val="22"/>
        </w:rPr>
        <w:t>Cr</w:t>
      </w:r>
    </w:p>
    <w:p>
      <w:pPr>
        <w:pStyle w:val="ListParagraph"/>
        <w:numPr>
          <w:ilvl w:val="2"/>
          <w:numId w:val="1"/>
        </w:numPr>
        <w:tabs>
          <w:tab w:pos="4514" w:val="left" w:leader="none"/>
        </w:tabs>
        <w:spacing w:line="240" w:lineRule="auto" w:before="46" w:after="0"/>
        <w:ind w:left="4514" w:right="0" w:hanging="670"/>
        <w:jc w:val="left"/>
        <w:rPr>
          <w:sz w:val="22"/>
        </w:rPr>
      </w:pPr>
      <w:r>
        <w:rPr>
          <w:color w:val="000101"/>
          <w:sz w:val="22"/>
        </w:rPr>
        <w:t>Effect</w:t>
      </w:r>
      <w:r>
        <w:rPr>
          <w:color w:val="000101"/>
          <w:spacing w:val="-6"/>
          <w:sz w:val="22"/>
        </w:rPr>
        <w:t> </w:t>
      </w:r>
      <w:r>
        <w:rPr>
          <w:color w:val="000101"/>
          <w:sz w:val="22"/>
        </w:rPr>
        <w:t>of</w:t>
      </w:r>
      <w:r>
        <w:rPr>
          <w:color w:val="000101"/>
          <w:spacing w:val="-6"/>
          <w:sz w:val="22"/>
        </w:rPr>
        <w:t> </w:t>
      </w:r>
      <w:r>
        <w:rPr>
          <w:color w:val="000101"/>
          <w:spacing w:val="-5"/>
          <w:sz w:val="22"/>
        </w:rPr>
        <w:t>Al</w:t>
      </w:r>
    </w:p>
    <w:p>
      <w:pPr>
        <w:pStyle w:val="ListParagraph"/>
        <w:numPr>
          <w:ilvl w:val="1"/>
          <w:numId w:val="1"/>
        </w:numPr>
        <w:tabs>
          <w:tab w:pos="3994" w:val="left" w:leader="none"/>
        </w:tabs>
        <w:spacing w:line="240" w:lineRule="auto" w:before="45" w:after="0"/>
        <w:ind w:left="3994" w:right="0" w:hanging="690"/>
        <w:jc w:val="left"/>
        <w:rPr>
          <w:sz w:val="22"/>
        </w:rPr>
      </w:pPr>
      <w:r>
        <w:rPr>
          <w:color w:val="000101"/>
          <w:sz w:val="22"/>
        </w:rPr>
        <w:t>Specific</w:t>
      </w:r>
      <w:r>
        <w:rPr>
          <w:color w:val="000101"/>
          <w:spacing w:val="-5"/>
          <w:sz w:val="22"/>
        </w:rPr>
        <w:t> </w:t>
      </w:r>
      <w:r>
        <w:rPr>
          <w:color w:val="000101"/>
          <w:sz w:val="22"/>
        </w:rPr>
        <w:t>Role</w:t>
      </w:r>
      <w:r>
        <w:rPr>
          <w:color w:val="000101"/>
          <w:spacing w:val="-5"/>
          <w:sz w:val="22"/>
        </w:rPr>
        <w:t> </w:t>
      </w:r>
      <w:r>
        <w:rPr>
          <w:color w:val="000101"/>
          <w:sz w:val="22"/>
        </w:rPr>
        <w:t>of</w:t>
      </w:r>
      <w:r>
        <w:rPr>
          <w:color w:val="000101"/>
          <w:spacing w:val="-4"/>
          <w:sz w:val="22"/>
        </w:rPr>
        <w:t> </w:t>
      </w:r>
      <w:r>
        <w:rPr>
          <w:color w:val="000101"/>
          <w:spacing w:val="-5"/>
          <w:sz w:val="22"/>
        </w:rPr>
        <w:t>Ce</w:t>
      </w:r>
    </w:p>
    <w:p>
      <w:pPr>
        <w:pStyle w:val="ListParagraph"/>
        <w:numPr>
          <w:ilvl w:val="1"/>
          <w:numId w:val="1"/>
        </w:numPr>
        <w:tabs>
          <w:tab w:pos="3994" w:val="left" w:leader="none"/>
        </w:tabs>
        <w:spacing w:line="240" w:lineRule="auto" w:before="47" w:after="0"/>
        <w:ind w:left="3994" w:right="0" w:hanging="690"/>
        <w:jc w:val="left"/>
        <w:rPr>
          <w:sz w:val="22"/>
        </w:rPr>
      </w:pPr>
      <w:r>
        <w:rPr>
          <w:color w:val="000101"/>
          <w:sz w:val="22"/>
        </w:rPr>
        <w:t>Effect</w:t>
      </w:r>
      <w:r>
        <w:rPr>
          <w:color w:val="000101"/>
          <w:spacing w:val="-6"/>
          <w:sz w:val="22"/>
        </w:rPr>
        <w:t> </w:t>
      </w:r>
      <w:r>
        <w:rPr>
          <w:color w:val="000101"/>
          <w:sz w:val="22"/>
        </w:rPr>
        <w:t>of</w:t>
      </w:r>
      <w:r>
        <w:rPr>
          <w:color w:val="000101"/>
          <w:spacing w:val="-6"/>
          <w:sz w:val="22"/>
        </w:rPr>
        <w:t> </w:t>
      </w:r>
      <w:r>
        <w:rPr>
          <w:color w:val="000101"/>
          <w:sz w:val="22"/>
        </w:rPr>
        <w:t>Hot</w:t>
      </w:r>
      <w:r>
        <w:rPr>
          <w:color w:val="000101"/>
          <w:spacing w:val="-6"/>
          <w:sz w:val="22"/>
        </w:rPr>
        <w:t> </w:t>
      </w:r>
      <w:r>
        <w:rPr>
          <w:color w:val="000101"/>
          <w:sz w:val="22"/>
        </w:rPr>
        <w:t>Rolling</w:t>
      </w:r>
      <w:r>
        <w:rPr>
          <w:color w:val="000101"/>
          <w:spacing w:val="-6"/>
          <w:sz w:val="22"/>
        </w:rPr>
        <w:t> </w:t>
      </w:r>
      <w:r>
        <w:rPr>
          <w:color w:val="000101"/>
          <w:sz w:val="22"/>
        </w:rPr>
        <w:t>-1200deg</w:t>
      </w:r>
      <w:r>
        <w:rPr>
          <w:color w:val="000101"/>
          <w:spacing w:val="-6"/>
          <w:sz w:val="22"/>
        </w:rPr>
        <w:t> </w:t>
      </w:r>
      <w:r>
        <w:rPr>
          <w:color w:val="000101"/>
          <w:spacing w:val="-10"/>
          <w:sz w:val="22"/>
        </w:rPr>
        <w:t>C</w:t>
      </w:r>
    </w:p>
    <w:p>
      <w:pPr>
        <w:pStyle w:val="BodyText"/>
        <w:spacing w:before="90"/>
        <w:rPr>
          <w:sz w:val="22"/>
        </w:rPr>
      </w:pPr>
    </w:p>
    <w:p>
      <w:pPr>
        <w:pStyle w:val="ListParagraph"/>
        <w:numPr>
          <w:ilvl w:val="0"/>
          <w:numId w:val="1"/>
        </w:numPr>
        <w:tabs>
          <w:tab w:pos="3199" w:val="left" w:leader="none"/>
          <w:tab w:pos="10616" w:val="left" w:leader="none"/>
        </w:tabs>
        <w:spacing w:line="240" w:lineRule="auto" w:before="1" w:after="0"/>
        <w:ind w:left="3199" w:right="0" w:hanging="420"/>
        <w:jc w:val="left"/>
        <w:rPr>
          <w:rFonts w:ascii="Arial MT"/>
          <w:color w:val="000101"/>
          <w:sz w:val="22"/>
        </w:rPr>
      </w:pPr>
      <w:r>
        <w:rPr>
          <w:b/>
          <w:color w:val="000101"/>
          <w:sz w:val="22"/>
        </w:rPr>
        <w:t>Experimental</w:t>
      </w:r>
      <w:r>
        <w:rPr>
          <w:b/>
          <w:color w:val="000101"/>
          <w:spacing w:val="-12"/>
          <w:sz w:val="22"/>
        </w:rPr>
        <w:t> </w:t>
      </w:r>
      <w:r>
        <w:rPr>
          <w:b/>
          <w:color w:val="000101"/>
          <w:spacing w:val="-2"/>
          <w:sz w:val="22"/>
        </w:rPr>
        <w:t>Procedure</w:t>
      </w:r>
      <w:r>
        <w:rPr>
          <w:color w:val="000101"/>
          <w:sz w:val="22"/>
        </w:rPr>
        <w:tab/>
      </w:r>
      <w:r>
        <w:rPr>
          <w:color w:val="000101"/>
          <w:spacing w:val="-2"/>
          <w:sz w:val="22"/>
        </w:rPr>
        <w:t>6-</w:t>
      </w:r>
      <w:r>
        <w:rPr>
          <w:color w:val="000101"/>
          <w:spacing w:val="-10"/>
          <w:sz w:val="22"/>
        </w:rPr>
        <w:t>9</w:t>
      </w:r>
    </w:p>
    <w:p>
      <w:pPr>
        <w:pStyle w:val="ListParagraph"/>
        <w:numPr>
          <w:ilvl w:val="1"/>
          <w:numId w:val="1"/>
        </w:numPr>
        <w:tabs>
          <w:tab w:pos="3994" w:val="left" w:leader="none"/>
        </w:tabs>
        <w:spacing w:line="240" w:lineRule="auto" w:before="46" w:after="0"/>
        <w:ind w:left="3994" w:right="0" w:hanging="690"/>
        <w:jc w:val="left"/>
        <w:rPr>
          <w:sz w:val="22"/>
        </w:rPr>
      </w:pPr>
      <w:r>
        <w:rPr>
          <w:color w:val="000101"/>
          <w:sz w:val="22"/>
        </w:rPr>
        <w:t>High</w:t>
      </w:r>
      <w:r>
        <w:rPr>
          <w:color w:val="000101"/>
          <w:spacing w:val="-5"/>
          <w:sz w:val="22"/>
        </w:rPr>
        <w:t> </w:t>
      </w:r>
      <w:r>
        <w:rPr>
          <w:color w:val="000101"/>
          <w:sz w:val="22"/>
        </w:rPr>
        <w:t>Level</w:t>
      </w:r>
      <w:r>
        <w:rPr>
          <w:color w:val="000101"/>
          <w:spacing w:val="-4"/>
          <w:sz w:val="22"/>
        </w:rPr>
        <w:t> </w:t>
      </w:r>
      <w:r>
        <w:rPr>
          <w:color w:val="000101"/>
          <w:sz w:val="22"/>
        </w:rPr>
        <w:t>Flow</w:t>
      </w:r>
      <w:r>
        <w:rPr>
          <w:color w:val="000101"/>
          <w:spacing w:val="-4"/>
          <w:sz w:val="22"/>
        </w:rPr>
        <w:t> </w:t>
      </w:r>
      <w:r>
        <w:rPr>
          <w:color w:val="000101"/>
          <w:spacing w:val="-2"/>
          <w:sz w:val="22"/>
        </w:rPr>
        <w:t>Chart</w:t>
      </w:r>
    </w:p>
    <w:p>
      <w:pPr>
        <w:pStyle w:val="ListParagraph"/>
        <w:numPr>
          <w:ilvl w:val="1"/>
          <w:numId w:val="1"/>
        </w:numPr>
        <w:tabs>
          <w:tab w:pos="3994" w:val="left" w:leader="none"/>
        </w:tabs>
        <w:spacing w:line="240" w:lineRule="auto" w:before="46" w:after="0"/>
        <w:ind w:left="3994" w:right="0" w:hanging="690"/>
        <w:jc w:val="left"/>
        <w:rPr>
          <w:sz w:val="22"/>
        </w:rPr>
      </w:pPr>
      <w:r>
        <w:rPr>
          <w:color w:val="000101"/>
          <w:spacing w:val="-2"/>
          <w:sz w:val="22"/>
        </w:rPr>
        <w:t>Microstructural</w:t>
      </w:r>
      <w:r>
        <w:rPr>
          <w:color w:val="000101"/>
          <w:spacing w:val="15"/>
          <w:sz w:val="22"/>
        </w:rPr>
        <w:t> </w:t>
      </w:r>
      <w:r>
        <w:rPr>
          <w:color w:val="000101"/>
          <w:spacing w:val="-2"/>
          <w:sz w:val="22"/>
        </w:rPr>
        <w:t>Characterization</w:t>
      </w:r>
    </w:p>
    <w:p>
      <w:pPr>
        <w:pStyle w:val="ListParagraph"/>
        <w:numPr>
          <w:ilvl w:val="1"/>
          <w:numId w:val="1"/>
        </w:numPr>
        <w:tabs>
          <w:tab w:pos="3994" w:val="left" w:leader="none"/>
        </w:tabs>
        <w:spacing w:line="240" w:lineRule="auto" w:before="45" w:after="0"/>
        <w:ind w:left="3994" w:right="0" w:hanging="690"/>
        <w:jc w:val="left"/>
        <w:rPr>
          <w:sz w:val="22"/>
        </w:rPr>
      </w:pPr>
      <w:r>
        <w:rPr>
          <w:color w:val="000101"/>
          <w:sz w:val="22"/>
        </w:rPr>
        <w:t>Mechanical</w:t>
      </w:r>
      <w:r>
        <w:rPr>
          <w:color w:val="000101"/>
          <w:spacing w:val="-10"/>
          <w:sz w:val="22"/>
        </w:rPr>
        <w:t> </w:t>
      </w:r>
      <w:r>
        <w:rPr>
          <w:color w:val="000101"/>
          <w:spacing w:val="-2"/>
          <w:sz w:val="22"/>
        </w:rPr>
        <w:t>Characterization</w:t>
      </w:r>
    </w:p>
    <w:p>
      <w:pPr>
        <w:pStyle w:val="ListParagraph"/>
        <w:numPr>
          <w:ilvl w:val="1"/>
          <w:numId w:val="1"/>
        </w:numPr>
        <w:tabs>
          <w:tab w:pos="3994" w:val="left" w:leader="none"/>
        </w:tabs>
        <w:spacing w:line="240" w:lineRule="auto" w:before="45" w:after="0"/>
        <w:ind w:left="3994" w:right="0" w:hanging="690"/>
        <w:jc w:val="left"/>
        <w:rPr>
          <w:sz w:val="22"/>
        </w:rPr>
      </w:pPr>
      <w:r>
        <w:rPr>
          <w:color w:val="000101"/>
          <w:sz w:val="22"/>
        </w:rPr>
        <w:t>Grain</w:t>
      </w:r>
      <w:r>
        <w:rPr>
          <w:color w:val="000101"/>
          <w:spacing w:val="-5"/>
          <w:sz w:val="22"/>
        </w:rPr>
        <w:t> </w:t>
      </w:r>
      <w:r>
        <w:rPr>
          <w:color w:val="000101"/>
          <w:sz w:val="22"/>
        </w:rPr>
        <w:t>Size</w:t>
      </w:r>
      <w:r>
        <w:rPr>
          <w:color w:val="000101"/>
          <w:spacing w:val="-4"/>
          <w:sz w:val="22"/>
        </w:rPr>
        <w:t> </w:t>
      </w:r>
      <w:r>
        <w:rPr>
          <w:color w:val="000101"/>
          <w:spacing w:val="-2"/>
          <w:sz w:val="22"/>
        </w:rPr>
        <w:t>Measurement</w:t>
      </w:r>
    </w:p>
    <w:p>
      <w:pPr>
        <w:pStyle w:val="ListParagraph"/>
        <w:numPr>
          <w:ilvl w:val="1"/>
          <w:numId w:val="1"/>
        </w:numPr>
        <w:tabs>
          <w:tab w:pos="3994" w:val="left" w:leader="none"/>
        </w:tabs>
        <w:spacing w:line="240" w:lineRule="auto" w:before="45" w:after="0"/>
        <w:ind w:left="3994" w:right="0" w:hanging="690"/>
        <w:jc w:val="left"/>
        <w:rPr>
          <w:sz w:val="22"/>
        </w:rPr>
      </w:pPr>
      <w:r>
        <w:rPr>
          <w:color w:val="000101"/>
          <w:sz w:val="22"/>
        </w:rPr>
        <w:t>Hardness</w:t>
      </w:r>
      <w:r>
        <w:rPr>
          <w:color w:val="000101"/>
          <w:spacing w:val="-8"/>
          <w:sz w:val="22"/>
        </w:rPr>
        <w:t> </w:t>
      </w:r>
      <w:r>
        <w:rPr>
          <w:color w:val="000101"/>
          <w:spacing w:val="-2"/>
          <w:sz w:val="22"/>
        </w:rPr>
        <w:t>Measurement</w:t>
      </w:r>
    </w:p>
    <w:p>
      <w:pPr>
        <w:pStyle w:val="ListParagraph"/>
        <w:numPr>
          <w:ilvl w:val="1"/>
          <w:numId w:val="1"/>
        </w:numPr>
        <w:tabs>
          <w:tab w:pos="3994" w:val="left" w:leader="none"/>
        </w:tabs>
        <w:spacing w:line="240" w:lineRule="auto" w:before="47" w:after="0"/>
        <w:ind w:left="3994" w:right="0" w:hanging="690"/>
        <w:jc w:val="left"/>
        <w:rPr>
          <w:sz w:val="22"/>
        </w:rPr>
      </w:pPr>
      <w:r>
        <w:rPr>
          <w:color w:val="000101"/>
          <w:sz w:val="22"/>
        </w:rPr>
        <w:t>Twin</w:t>
      </w:r>
      <w:r>
        <w:rPr>
          <w:color w:val="000101"/>
          <w:spacing w:val="-13"/>
          <w:sz w:val="22"/>
        </w:rPr>
        <w:t> </w:t>
      </w:r>
      <w:r>
        <w:rPr>
          <w:color w:val="000101"/>
          <w:sz w:val="22"/>
        </w:rPr>
        <w:t>Density</w:t>
      </w:r>
      <w:r>
        <w:rPr>
          <w:color w:val="000101"/>
          <w:spacing w:val="-13"/>
          <w:sz w:val="22"/>
        </w:rPr>
        <w:t> </w:t>
      </w:r>
      <w:r>
        <w:rPr>
          <w:color w:val="000101"/>
          <w:spacing w:val="-2"/>
          <w:sz w:val="22"/>
        </w:rPr>
        <w:t>Measurement</w:t>
      </w:r>
    </w:p>
    <w:p>
      <w:pPr>
        <w:pStyle w:val="ListParagraph"/>
        <w:numPr>
          <w:ilvl w:val="0"/>
          <w:numId w:val="1"/>
        </w:numPr>
        <w:tabs>
          <w:tab w:pos="3199" w:val="left" w:leader="none"/>
          <w:tab w:pos="10613" w:val="left" w:leader="none"/>
        </w:tabs>
        <w:spacing w:line="240" w:lineRule="auto" w:before="46" w:after="0"/>
        <w:ind w:left="3199" w:right="0" w:hanging="420"/>
        <w:jc w:val="left"/>
        <w:rPr>
          <w:rFonts w:ascii="Arial MT"/>
          <w:color w:val="000101"/>
          <w:sz w:val="22"/>
        </w:rPr>
      </w:pPr>
      <w:r>
        <w:rPr>
          <w:b/>
          <w:color w:val="000101"/>
          <w:sz w:val="22"/>
        </w:rPr>
        <w:t>Results</w:t>
      </w:r>
      <w:r>
        <w:rPr>
          <w:b/>
          <w:color w:val="000101"/>
          <w:spacing w:val="-5"/>
          <w:sz w:val="22"/>
        </w:rPr>
        <w:t> </w:t>
      </w:r>
      <w:r>
        <w:rPr>
          <w:b/>
          <w:color w:val="000101"/>
          <w:sz w:val="22"/>
        </w:rPr>
        <w:t>and</w:t>
      </w:r>
      <w:r>
        <w:rPr>
          <w:b/>
          <w:color w:val="000101"/>
          <w:spacing w:val="-5"/>
          <w:sz w:val="22"/>
        </w:rPr>
        <w:t> </w:t>
      </w:r>
      <w:r>
        <w:rPr>
          <w:b/>
          <w:color w:val="000101"/>
          <w:spacing w:val="-2"/>
          <w:sz w:val="22"/>
        </w:rPr>
        <w:t>Discussion</w:t>
      </w:r>
      <w:r>
        <w:rPr>
          <w:color w:val="000101"/>
          <w:sz w:val="22"/>
        </w:rPr>
        <w:tab/>
      </w:r>
      <w:r>
        <w:rPr>
          <w:color w:val="000101"/>
          <w:spacing w:val="-2"/>
          <w:sz w:val="22"/>
        </w:rPr>
        <w:t>10-</w:t>
      </w:r>
      <w:r>
        <w:rPr>
          <w:color w:val="000101"/>
          <w:spacing w:val="-5"/>
          <w:sz w:val="22"/>
        </w:rPr>
        <w:t>12</w:t>
      </w:r>
    </w:p>
    <w:p>
      <w:pPr>
        <w:pStyle w:val="ListParagraph"/>
        <w:numPr>
          <w:ilvl w:val="1"/>
          <w:numId w:val="1"/>
        </w:numPr>
        <w:tabs>
          <w:tab w:pos="3994" w:val="left" w:leader="none"/>
        </w:tabs>
        <w:spacing w:line="240" w:lineRule="auto" w:before="46" w:after="0"/>
        <w:ind w:left="3994" w:right="0" w:hanging="690"/>
        <w:jc w:val="left"/>
        <w:rPr>
          <w:sz w:val="22"/>
        </w:rPr>
      </w:pPr>
      <w:r>
        <w:rPr>
          <w:color w:val="000101"/>
          <w:sz w:val="22"/>
        </w:rPr>
        <w:t>Chemical</w:t>
      </w:r>
      <w:r>
        <w:rPr>
          <w:color w:val="000101"/>
          <w:spacing w:val="-7"/>
          <w:sz w:val="22"/>
        </w:rPr>
        <w:t> </w:t>
      </w:r>
      <w:r>
        <w:rPr>
          <w:color w:val="000101"/>
          <w:sz w:val="22"/>
        </w:rPr>
        <w:t>Composition</w:t>
      </w:r>
      <w:r>
        <w:rPr>
          <w:color w:val="000101"/>
          <w:spacing w:val="-6"/>
          <w:sz w:val="22"/>
        </w:rPr>
        <w:t> </w:t>
      </w:r>
      <w:r>
        <w:rPr>
          <w:color w:val="000101"/>
          <w:sz w:val="22"/>
        </w:rPr>
        <w:t>of</w:t>
      </w:r>
      <w:r>
        <w:rPr>
          <w:color w:val="000101"/>
          <w:spacing w:val="-6"/>
          <w:sz w:val="22"/>
        </w:rPr>
        <w:t> </w:t>
      </w:r>
      <w:r>
        <w:rPr>
          <w:color w:val="000101"/>
          <w:sz w:val="22"/>
        </w:rPr>
        <w:t>as</w:t>
      </w:r>
      <w:r>
        <w:rPr>
          <w:color w:val="000101"/>
          <w:spacing w:val="-6"/>
          <w:sz w:val="22"/>
        </w:rPr>
        <w:t> </w:t>
      </w:r>
      <w:r>
        <w:rPr>
          <w:color w:val="000101"/>
          <w:sz w:val="22"/>
        </w:rPr>
        <w:t>received</w:t>
      </w:r>
      <w:r>
        <w:rPr>
          <w:color w:val="000101"/>
          <w:spacing w:val="-6"/>
          <w:sz w:val="22"/>
        </w:rPr>
        <w:t> </w:t>
      </w:r>
      <w:r>
        <w:rPr>
          <w:color w:val="000101"/>
          <w:spacing w:val="-2"/>
          <w:sz w:val="22"/>
        </w:rPr>
        <w:t>sample</w:t>
      </w:r>
    </w:p>
    <w:p>
      <w:pPr>
        <w:pStyle w:val="ListParagraph"/>
        <w:numPr>
          <w:ilvl w:val="1"/>
          <w:numId w:val="1"/>
        </w:numPr>
        <w:tabs>
          <w:tab w:pos="3994" w:val="left" w:leader="none"/>
        </w:tabs>
        <w:spacing w:line="240" w:lineRule="auto" w:before="45" w:after="0"/>
        <w:ind w:left="3994" w:right="0" w:hanging="690"/>
        <w:jc w:val="left"/>
        <w:rPr>
          <w:sz w:val="22"/>
        </w:rPr>
      </w:pPr>
      <w:r>
        <w:rPr>
          <w:color w:val="000101"/>
          <w:sz w:val="22"/>
        </w:rPr>
        <w:t>Phase</w:t>
      </w:r>
      <w:r>
        <w:rPr>
          <w:color w:val="000101"/>
          <w:spacing w:val="-6"/>
          <w:sz w:val="22"/>
        </w:rPr>
        <w:t> </w:t>
      </w:r>
      <w:r>
        <w:rPr>
          <w:color w:val="000101"/>
          <w:sz w:val="22"/>
        </w:rPr>
        <w:t>Analysis</w:t>
      </w:r>
      <w:r>
        <w:rPr>
          <w:color w:val="000101"/>
          <w:spacing w:val="-6"/>
          <w:sz w:val="22"/>
        </w:rPr>
        <w:t> </w:t>
      </w:r>
      <w:r>
        <w:rPr>
          <w:color w:val="000101"/>
          <w:sz w:val="22"/>
        </w:rPr>
        <w:t>using</w:t>
      </w:r>
      <w:r>
        <w:rPr>
          <w:color w:val="000101"/>
          <w:spacing w:val="-6"/>
          <w:sz w:val="22"/>
        </w:rPr>
        <w:t> </w:t>
      </w:r>
      <w:r>
        <w:rPr>
          <w:color w:val="000101"/>
          <w:sz w:val="22"/>
        </w:rPr>
        <w:t>X-Ray</w:t>
      </w:r>
      <w:r>
        <w:rPr>
          <w:color w:val="000101"/>
          <w:spacing w:val="-5"/>
          <w:sz w:val="22"/>
        </w:rPr>
        <w:t> </w:t>
      </w:r>
      <w:r>
        <w:rPr>
          <w:color w:val="000101"/>
          <w:spacing w:val="-2"/>
          <w:sz w:val="22"/>
        </w:rPr>
        <w:t>Diffraction</w:t>
      </w:r>
    </w:p>
    <w:p>
      <w:pPr>
        <w:pStyle w:val="ListParagraph"/>
        <w:numPr>
          <w:ilvl w:val="1"/>
          <w:numId w:val="1"/>
        </w:numPr>
        <w:tabs>
          <w:tab w:pos="3994" w:val="left" w:leader="none"/>
        </w:tabs>
        <w:spacing w:line="240" w:lineRule="auto" w:before="45" w:after="0"/>
        <w:ind w:left="3994" w:right="0" w:hanging="690"/>
        <w:jc w:val="left"/>
        <w:rPr>
          <w:sz w:val="22"/>
        </w:rPr>
      </w:pPr>
      <w:r>
        <w:rPr>
          <w:color w:val="000101"/>
          <w:sz w:val="22"/>
        </w:rPr>
        <w:t>Hardness</w:t>
      </w:r>
      <w:r>
        <w:rPr>
          <w:color w:val="000101"/>
          <w:spacing w:val="-5"/>
          <w:sz w:val="22"/>
        </w:rPr>
        <w:t> </w:t>
      </w:r>
      <w:r>
        <w:rPr>
          <w:color w:val="000101"/>
          <w:sz w:val="22"/>
        </w:rPr>
        <w:t>and</w:t>
      </w:r>
      <w:r>
        <w:rPr>
          <w:color w:val="000101"/>
          <w:spacing w:val="-5"/>
          <w:sz w:val="22"/>
        </w:rPr>
        <w:t> </w:t>
      </w:r>
      <w:r>
        <w:rPr>
          <w:color w:val="000101"/>
          <w:sz w:val="22"/>
        </w:rPr>
        <w:t>Grain</w:t>
      </w:r>
      <w:r>
        <w:rPr>
          <w:color w:val="000101"/>
          <w:spacing w:val="-5"/>
          <w:sz w:val="22"/>
        </w:rPr>
        <w:t> </w:t>
      </w:r>
      <w:r>
        <w:rPr>
          <w:color w:val="000101"/>
          <w:sz w:val="22"/>
        </w:rPr>
        <w:t>Size</w:t>
      </w:r>
      <w:r>
        <w:rPr>
          <w:color w:val="000101"/>
          <w:spacing w:val="-5"/>
          <w:sz w:val="22"/>
        </w:rPr>
        <w:t> </w:t>
      </w:r>
      <w:r>
        <w:rPr>
          <w:color w:val="000101"/>
          <w:spacing w:val="-2"/>
          <w:sz w:val="22"/>
        </w:rPr>
        <w:t>Correlation</w:t>
      </w:r>
    </w:p>
    <w:p>
      <w:pPr>
        <w:pStyle w:val="ListParagraph"/>
        <w:numPr>
          <w:ilvl w:val="1"/>
          <w:numId w:val="1"/>
        </w:numPr>
        <w:tabs>
          <w:tab w:pos="3994" w:val="left" w:leader="none"/>
        </w:tabs>
        <w:spacing w:line="240" w:lineRule="auto" w:before="0" w:after="0"/>
        <w:ind w:left="3994" w:right="0" w:hanging="690"/>
        <w:jc w:val="left"/>
        <w:rPr>
          <w:sz w:val="22"/>
        </w:rPr>
      </w:pPr>
      <w:r>
        <w:rPr>
          <w:sz w:val="22"/>
        </w:rPr>
        <w:t>Hardness,</w:t>
      </w:r>
      <w:r>
        <w:rPr>
          <w:spacing w:val="-8"/>
          <w:sz w:val="22"/>
        </w:rPr>
        <w:t> </w:t>
      </w:r>
      <w:r>
        <w:rPr>
          <w:sz w:val="22"/>
        </w:rPr>
        <w:t>Grain</w:t>
      </w:r>
      <w:r>
        <w:rPr>
          <w:spacing w:val="-8"/>
          <w:sz w:val="22"/>
        </w:rPr>
        <w:t> </w:t>
      </w:r>
      <w:r>
        <w:rPr>
          <w:sz w:val="22"/>
        </w:rPr>
        <w:t>Size</w:t>
      </w:r>
      <w:r>
        <w:rPr>
          <w:spacing w:val="-8"/>
          <w:sz w:val="22"/>
        </w:rPr>
        <w:t> </w:t>
      </w:r>
      <w:r>
        <w:rPr>
          <w:sz w:val="22"/>
        </w:rPr>
        <w:t>and</w:t>
      </w:r>
      <w:r>
        <w:rPr>
          <w:spacing w:val="-8"/>
          <w:sz w:val="22"/>
        </w:rPr>
        <w:t> </w:t>
      </w:r>
      <w:r>
        <w:rPr>
          <w:sz w:val="22"/>
        </w:rPr>
        <w:t>Twin</w:t>
      </w:r>
      <w:r>
        <w:rPr>
          <w:spacing w:val="-8"/>
          <w:sz w:val="22"/>
        </w:rPr>
        <w:t> </w:t>
      </w:r>
      <w:r>
        <w:rPr>
          <w:sz w:val="22"/>
        </w:rPr>
        <w:t>Density</w:t>
      </w:r>
      <w:r>
        <w:rPr>
          <w:spacing w:val="-7"/>
          <w:sz w:val="22"/>
        </w:rPr>
        <w:t> </w:t>
      </w:r>
      <w:r>
        <w:rPr>
          <w:spacing w:val="-2"/>
          <w:sz w:val="22"/>
        </w:rPr>
        <w:t>Correlation</w:t>
      </w:r>
    </w:p>
    <w:p>
      <w:pPr>
        <w:pStyle w:val="ListParagraph"/>
        <w:numPr>
          <w:ilvl w:val="0"/>
          <w:numId w:val="1"/>
        </w:numPr>
        <w:tabs>
          <w:tab w:pos="3199" w:val="left" w:leader="none"/>
          <w:tab w:pos="10909" w:val="left" w:leader="none"/>
        </w:tabs>
        <w:spacing w:line="240" w:lineRule="auto" w:before="45" w:after="0"/>
        <w:ind w:left="3199" w:right="0" w:hanging="420"/>
        <w:jc w:val="left"/>
        <w:rPr>
          <w:rFonts w:ascii="Arial"/>
          <w:b/>
          <w:i/>
          <w:color w:val="000101"/>
          <w:sz w:val="22"/>
        </w:rPr>
      </w:pPr>
      <w:r>
        <w:rPr>
          <w:b/>
          <w:color w:val="000101"/>
          <w:spacing w:val="-2"/>
          <w:sz w:val="22"/>
        </w:rPr>
        <w:t>Conclusions</w:t>
      </w:r>
      <w:r>
        <w:rPr>
          <w:color w:val="000101"/>
          <w:sz w:val="22"/>
        </w:rPr>
        <w:tab/>
      </w:r>
      <w:r>
        <w:rPr>
          <w:color w:val="000101"/>
          <w:spacing w:val="-5"/>
          <w:sz w:val="22"/>
        </w:rPr>
        <w:t>13</w:t>
      </w:r>
    </w:p>
    <w:p>
      <w:pPr>
        <w:pStyle w:val="ListParagraph"/>
        <w:numPr>
          <w:ilvl w:val="0"/>
          <w:numId w:val="1"/>
        </w:numPr>
        <w:tabs>
          <w:tab w:pos="3199" w:val="left" w:leader="none"/>
          <w:tab w:pos="10909" w:val="left" w:leader="none"/>
        </w:tabs>
        <w:spacing w:line="240" w:lineRule="auto" w:before="43" w:after="0"/>
        <w:ind w:left="3199" w:right="0" w:hanging="420"/>
        <w:jc w:val="left"/>
        <w:rPr>
          <w:rFonts w:ascii="Arial MT"/>
          <w:color w:val="000101"/>
          <w:sz w:val="22"/>
        </w:rPr>
      </w:pPr>
      <w:r>
        <w:rPr>
          <w:b/>
          <w:color w:val="000101"/>
          <w:sz w:val="22"/>
        </w:rPr>
        <w:t>Scope</w:t>
      </w:r>
      <w:r>
        <w:rPr>
          <w:b/>
          <w:color w:val="000101"/>
          <w:spacing w:val="-8"/>
          <w:sz w:val="22"/>
        </w:rPr>
        <w:t> </w:t>
      </w:r>
      <w:r>
        <w:rPr>
          <w:b/>
          <w:color w:val="000101"/>
          <w:sz w:val="22"/>
        </w:rPr>
        <w:t>of</w:t>
      </w:r>
      <w:r>
        <w:rPr>
          <w:b/>
          <w:color w:val="000101"/>
          <w:spacing w:val="-6"/>
          <w:sz w:val="22"/>
        </w:rPr>
        <w:t> </w:t>
      </w:r>
      <w:r>
        <w:rPr>
          <w:b/>
          <w:color w:val="000101"/>
          <w:sz w:val="22"/>
        </w:rPr>
        <w:t>Future</w:t>
      </w:r>
      <w:r>
        <w:rPr>
          <w:b/>
          <w:color w:val="000101"/>
          <w:spacing w:val="-5"/>
          <w:sz w:val="22"/>
        </w:rPr>
        <w:t> </w:t>
      </w:r>
      <w:r>
        <w:rPr>
          <w:b/>
          <w:color w:val="000101"/>
          <w:spacing w:val="-4"/>
          <w:sz w:val="22"/>
        </w:rPr>
        <w:t>Work</w:t>
      </w:r>
      <w:r>
        <w:rPr>
          <w:color w:val="000101"/>
          <w:sz w:val="22"/>
        </w:rPr>
        <w:tab/>
      </w:r>
      <w:r>
        <w:rPr>
          <w:color w:val="000101"/>
          <w:spacing w:val="-7"/>
          <w:sz w:val="22"/>
        </w:rPr>
        <w:t>14</w:t>
      </w:r>
    </w:p>
    <w:p>
      <w:pPr>
        <w:pStyle w:val="ListParagraph"/>
        <w:numPr>
          <w:ilvl w:val="0"/>
          <w:numId w:val="1"/>
        </w:numPr>
        <w:tabs>
          <w:tab w:pos="3199" w:val="left" w:leader="none"/>
          <w:tab w:pos="10909" w:val="left" w:leader="none"/>
        </w:tabs>
        <w:spacing w:line="240" w:lineRule="auto" w:before="44" w:after="0"/>
        <w:ind w:left="3199" w:right="0" w:hanging="420"/>
        <w:jc w:val="left"/>
        <w:rPr>
          <w:rFonts w:ascii="Arial MT"/>
          <w:color w:val="000101"/>
          <w:sz w:val="22"/>
        </w:rPr>
      </w:pPr>
      <w:r>
        <w:rPr>
          <w:b/>
          <w:color w:val="000101"/>
          <w:spacing w:val="-2"/>
          <w:sz w:val="22"/>
        </w:rPr>
        <w:t>References</w:t>
      </w:r>
      <w:r>
        <w:rPr>
          <w:color w:val="000101"/>
          <w:sz w:val="22"/>
        </w:rPr>
        <w:tab/>
      </w:r>
      <w:r>
        <w:rPr>
          <w:color w:val="000101"/>
          <w:spacing w:val="-5"/>
          <w:sz w:val="22"/>
        </w:rPr>
        <w:t>15</w:t>
      </w:r>
    </w:p>
    <w:p>
      <w:pPr>
        <w:pStyle w:val="ListParagraph"/>
        <w:spacing w:after="0" w:line="240" w:lineRule="auto"/>
        <w:jc w:val="left"/>
        <w:rPr>
          <w:rFonts w:ascii="Arial MT"/>
          <w:sz w:val="22"/>
        </w:rPr>
        <w:sectPr>
          <w:pgSz w:w="12240" w:h="15840"/>
          <w:pgMar w:top="1260" w:bottom="280" w:left="0" w:right="360"/>
        </w:sectPr>
      </w:pPr>
    </w:p>
    <w:p>
      <w:pPr>
        <w:pStyle w:val="Heading1"/>
        <w:spacing w:before="58"/>
        <w:ind w:left="1984"/>
        <w:jc w:val="left"/>
      </w:pPr>
      <w:bookmarkStart w:name="_TOC_250006" w:id="14"/>
      <w:bookmarkEnd w:id="14"/>
      <w:r>
        <w:rPr>
          <w:color w:val="000101"/>
          <w:spacing w:val="-2"/>
        </w:rPr>
        <w:t>ABSTRACT</w:t>
      </w:r>
    </w:p>
    <w:p>
      <w:pPr>
        <w:pStyle w:val="BodyText"/>
        <w:spacing w:before="297"/>
        <w:ind w:left="1984" w:right="720"/>
        <w:jc w:val="both"/>
      </w:pPr>
      <w:r>
        <w:rPr/>
        <w:t>The global imperative for sustainable energy</w:t>
      </w:r>
      <w:r>
        <w:rPr>
          <w:spacing w:val="-4"/>
        </w:rPr>
        <w:t> </w:t>
      </w:r>
      <w:r>
        <w:rPr/>
        <w:t>has</w:t>
      </w:r>
      <w:r>
        <w:rPr>
          <w:spacing w:val="-4"/>
        </w:rPr>
        <w:t> </w:t>
      </w:r>
      <w:r>
        <w:rPr/>
        <w:t>accelerated</w:t>
      </w:r>
      <w:r>
        <w:rPr>
          <w:spacing w:val="-4"/>
        </w:rPr>
        <w:t> </w:t>
      </w:r>
      <w:r>
        <w:rPr/>
        <w:t>the</w:t>
      </w:r>
      <w:r>
        <w:rPr>
          <w:spacing w:val="-4"/>
        </w:rPr>
        <w:t> </w:t>
      </w:r>
      <w:r>
        <w:rPr/>
        <w:t>demand</w:t>
      </w:r>
      <w:r>
        <w:rPr>
          <w:spacing w:val="-4"/>
        </w:rPr>
        <w:t> </w:t>
      </w:r>
      <w:r>
        <w:rPr/>
        <w:t>for</w:t>
      </w:r>
      <w:r>
        <w:rPr>
          <w:spacing w:val="-4"/>
        </w:rPr>
        <w:t> </w:t>
      </w:r>
      <w:r>
        <w:rPr/>
        <w:t>Liquefied</w:t>
      </w:r>
      <w:r>
        <w:rPr>
          <w:spacing w:val="-4"/>
        </w:rPr>
        <w:t> </w:t>
      </w:r>
      <w:r>
        <w:rPr/>
        <w:t>Natural Gas (LNG), necessitating advanced structural materials capable of withstanding cryogenic temperatures. While conventional 9% Nickel steels and austenitic stainless steels provide necessary toughness, they are constrained</w:t>
      </w:r>
      <w:r>
        <w:rPr>
          <w:spacing w:val="-4"/>
        </w:rPr>
        <w:t> </w:t>
      </w:r>
      <w:r>
        <w:rPr/>
        <w:t>by</w:t>
      </w:r>
      <w:r>
        <w:rPr>
          <w:spacing w:val="-4"/>
        </w:rPr>
        <w:t> </w:t>
      </w:r>
      <w:r>
        <w:rPr/>
        <w:t>high</w:t>
      </w:r>
      <w:r>
        <w:rPr>
          <w:spacing w:val="-4"/>
        </w:rPr>
        <w:t> </w:t>
      </w:r>
      <w:r>
        <w:rPr/>
        <w:t>costs</w:t>
      </w:r>
      <w:r>
        <w:rPr>
          <w:spacing w:val="-4"/>
        </w:rPr>
        <w:t> </w:t>
      </w:r>
      <w:r>
        <w:rPr/>
        <w:t>and</w:t>
      </w:r>
      <w:r>
        <w:rPr>
          <w:spacing w:val="-4"/>
        </w:rPr>
        <w:t> </w:t>
      </w:r>
      <w:r>
        <w:rPr/>
        <w:t>supply</w:t>
      </w:r>
      <w:r>
        <w:rPr>
          <w:spacing w:val="-4"/>
        </w:rPr>
        <w:t> </w:t>
      </w:r>
      <w:r>
        <w:rPr/>
        <w:t>volatility.</w:t>
      </w:r>
      <w:r>
        <w:rPr>
          <w:spacing w:val="-4"/>
        </w:rPr>
        <w:t> </w:t>
      </w:r>
      <w:r>
        <w:rPr/>
        <w:t>High</w:t>
      </w:r>
      <w:r>
        <w:rPr>
          <w:spacing w:val="-4"/>
        </w:rPr>
        <w:t> </w:t>
      </w:r>
      <w:r>
        <w:rPr/>
        <w:t>Manganese Steels</w:t>
      </w:r>
      <w:r>
        <w:rPr>
          <w:spacing w:val="40"/>
        </w:rPr>
        <w:t> </w:t>
      </w:r>
      <w:r>
        <w:rPr/>
        <w:t>(HMS)</w:t>
      </w:r>
      <w:r>
        <w:rPr>
          <w:spacing w:val="40"/>
        </w:rPr>
        <w:t> </w:t>
      </w:r>
      <w:r>
        <w:rPr/>
        <w:t>offer</w:t>
      </w:r>
      <w:r>
        <w:rPr>
          <w:spacing w:val="40"/>
        </w:rPr>
        <w:t> </w:t>
      </w:r>
      <w:r>
        <w:rPr/>
        <w:t>a</w:t>
      </w:r>
      <w:r>
        <w:rPr>
          <w:spacing w:val="40"/>
        </w:rPr>
        <w:t> </w:t>
      </w:r>
      <w:r>
        <w:rPr/>
        <w:t>cost-effective</w:t>
      </w:r>
      <w:r>
        <w:rPr>
          <w:spacing w:val="40"/>
        </w:rPr>
        <w:t> </w:t>
      </w:r>
      <w:r>
        <w:rPr/>
        <w:t>alternative</w:t>
      </w:r>
      <w:r>
        <w:rPr>
          <w:spacing w:val="40"/>
        </w:rPr>
        <w:t> </w:t>
      </w:r>
      <w:r>
        <w:rPr/>
        <w:t>due</w:t>
      </w:r>
      <w:r>
        <w:rPr>
          <w:spacing w:val="40"/>
        </w:rPr>
        <w:t> </w:t>
      </w:r>
      <w:r>
        <w:rPr/>
        <w:t>to</w:t>
      </w:r>
      <w:r>
        <w:rPr>
          <w:spacing w:val="40"/>
        </w:rPr>
        <w:t> </w:t>
      </w:r>
      <w:r>
        <w:rPr/>
        <w:t>their</w:t>
      </w:r>
      <w:r>
        <w:rPr>
          <w:spacing w:val="40"/>
        </w:rPr>
        <w:t> </w:t>
      </w:r>
      <w:r>
        <w:rPr/>
        <w:t>austenitic</w:t>
      </w:r>
      <w:r>
        <w:rPr>
          <w:spacing w:val="40"/>
        </w:rPr>
        <w:t> </w:t>
      </w:r>
      <w:r>
        <w:rPr/>
        <w:t>stability</w:t>
      </w:r>
      <w:r>
        <w:rPr>
          <w:spacing w:val="40"/>
        </w:rPr>
        <w:t> </w:t>
      </w:r>
      <w:r>
        <w:rPr/>
        <w:t>and</w:t>
      </w:r>
      <w:r>
        <w:rPr>
          <w:spacing w:val="40"/>
        </w:rPr>
        <w:t> </w:t>
      </w:r>
      <w:r>
        <w:rPr/>
        <w:t>high work-hardening rates; however, their industrial application</w:t>
      </w:r>
      <w:r>
        <w:rPr>
          <w:spacing w:val="-4"/>
        </w:rPr>
        <w:t> </w:t>
      </w:r>
      <w:r>
        <w:rPr/>
        <w:t>is</w:t>
      </w:r>
      <w:r>
        <w:rPr>
          <w:spacing w:val="-4"/>
        </w:rPr>
        <w:t> </w:t>
      </w:r>
      <w:r>
        <w:rPr/>
        <w:t>often</w:t>
      </w:r>
      <w:r>
        <w:rPr>
          <w:spacing w:val="-4"/>
        </w:rPr>
        <w:t> </w:t>
      </w:r>
      <w:r>
        <w:rPr/>
        <w:t>hindered</w:t>
      </w:r>
      <w:r>
        <w:rPr>
          <w:spacing w:val="-4"/>
        </w:rPr>
        <w:t> </w:t>
      </w:r>
      <w:r>
        <w:rPr/>
        <w:t>by</w:t>
      </w:r>
      <w:r>
        <w:rPr>
          <w:spacing w:val="-4"/>
        </w:rPr>
        <w:t> </w:t>
      </w:r>
      <w:r>
        <w:rPr/>
        <w:t>casting</w:t>
      </w:r>
      <w:r>
        <w:rPr>
          <w:spacing w:val="-4"/>
        </w:rPr>
        <w:t> </w:t>
      </w:r>
      <w:r>
        <w:rPr/>
        <w:t>defects such as coarse dendritic structures and microsegregation.</w:t>
      </w:r>
    </w:p>
    <w:p>
      <w:pPr>
        <w:pStyle w:val="BodyText"/>
        <w:ind w:left="1984" w:right="723"/>
        <w:jc w:val="both"/>
      </w:pPr>
      <w:r>
        <w:rPr/>
        <w:t>This project investigates the efficacy of "Oxide Metallurgy" via Rare Earth Cerium </w:t>
      </w:r>
      <w:r>
        <w:rPr/>
        <w:t>(Ce) reinforcement and thermomechanical processing (hot-rolling) to ameliorate these microstructural deficiencies. Three specimens of HMS were synthesized with varying Cerium concentrations:</w:t>
      </w:r>
      <w:r>
        <w:rPr>
          <w:spacing w:val="-3"/>
        </w:rPr>
        <w:t> </w:t>
      </w:r>
      <w:r>
        <w:rPr/>
        <w:t>0</w:t>
      </w:r>
      <w:r>
        <w:rPr>
          <w:spacing w:val="-3"/>
        </w:rPr>
        <w:t> </w:t>
      </w:r>
      <w:r>
        <w:rPr/>
        <w:t>wt.%,</w:t>
      </w:r>
      <w:r>
        <w:rPr>
          <w:spacing w:val="-3"/>
        </w:rPr>
        <w:t> </w:t>
      </w:r>
      <w:r>
        <w:rPr/>
        <w:t>0.04</w:t>
      </w:r>
      <w:r>
        <w:rPr>
          <w:spacing w:val="-3"/>
        </w:rPr>
        <w:t> </w:t>
      </w:r>
      <w:r>
        <w:rPr/>
        <w:t>wt.%,</w:t>
      </w:r>
      <w:r>
        <w:rPr>
          <w:spacing w:val="-3"/>
        </w:rPr>
        <w:t> </w:t>
      </w:r>
      <w:r>
        <w:rPr/>
        <w:t>and</w:t>
      </w:r>
      <w:r>
        <w:rPr>
          <w:spacing w:val="-3"/>
        </w:rPr>
        <w:t> </w:t>
      </w:r>
      <w:r>
        <w:rPr/>
        <w:t>0.06</w:t>
      </w:r>
      <w:r>
        <w:rPr>
          <w:spacing w:val="-3"/>
        </w:rPr>
        <w:t> </w:t>
      </w:r>
      <w:r>
        <w:rPr/>
        <w:t>wt.%.</w:t>
      </w:r>
      <w:r>
        <w:rPr>
          <w:spacing w:val="-3"/>
        </w:rPr>
        <w:t> </w:t>
      </w:r>
      <w:r>
        <w:rPr/>
        <w:t>The</w:t>
      </w:r>
      <w:r>
        <w:rPr>
          <w:spacing w:val="-3"/>
        </w:rPr>
        <w:t> </w:t>
      </w:r>
      <w:r>
        <w:rPr/>
        <w:t>investigation</w:t>
      </w:r>
      <w:r>
        <w:rPr>
          <w:spacing w:val="-3"/>
        </w:rPr>
        <w:t> </w:t>
      </w:r>
      <w:r>
        <w:rPr/>
        <w:t>focused</w:t>
      </w:r>
      <w:r>
        <w:rPr>
          <w:spacing w:val="-3"/>
        </w:rPr>
        <w:t> </w:t>
      </w:r>
      <w:r>
        <w:rPr/>
        <w:t>on</w:t>
      </w:r>
      <w:r>
        <w:rPr>
          <w:spacing w:val="-3"/>
        </w:rPr>
        <w:t> </w:t>
      </w:r>
      <w:r>
        <w:rPr/>
        <w:t>the</w:t>
      </w:r>
      <w:r>
        <w:rPr>
          <w:spacing w:val="-3"/>
        </w:rPr>
        <w:t> </w:t>
      </w:r>
      <w:r>
        <w:rPr/>
        <w:t>correlation between Ce content, microstructural evolution, and mechanical hardness.</w:t>
      </w:r>
    </w:p>
    <w:p>
      <w:pPr>
        <w:pStyle w:val="BodyText"/>
        <w:ind w:left="1984" w:right="719"/>
        <w:jc w:val="both"/>
      </w:pPr>
      <w:r>
        <w:rPr/>
        <w:t>Experimental characterization was conducted using X-Ray Diffraction (XRD), </w:t>
      </w:r>
      <w:r>
        <w:rPr/>
        <w:t>Optical Microscopy, and Vickers microhardness testing. XRD analysis confirmed that all specimens retained a stable single-phase face-centered cubic (FCC) austenitic structure, demonstrating</w:t>
      </w:r>
      <w:r>
        <w:rPr>
          <w:spacing w:val="40"/>
        </w:rPr>
        <w:t> </w:t>
      </w:r>
      <w:r>
        <w:rPr/>
        <w:t>that Ce</w:t>
      </w:r>
      <w:r>
        <w:rPr>
          <w:spacing w:val="-2"/>
        </w:rPr>
        <w:t> </w:t>
      </w:r>
      <w:r>
        <w:rPr/>
        <w:t>addition</w:t>
      </w:r>
      <w:r>
        <w:rPr>
          <w:spacing w:val="-2"/>
        </w:rPr>
        <w:t> </w:t>
      </w:r>
      <w:r>
        <w:rPr/>
        <w:t>up</w:t>
      </w:r>
      <w:r>
        <w:rPr>
          <w:spacing w:val="-2"/>
        </w:rPr>
        <w:t> </w:t>
      </w:r>
      <w:r>
        <w:rPr/>
        <w:t>to</w:t>
      </w:r>
      <w:r>
        <w:rPr>
          <w:spacing w:val="-2"/>
        </w:rPr>
        <w:t> </w:t>
      </w:r>
      <w:r>
        <w:rPr/>
        <w:t>0.06</w:t>
      </w:r>
      <w:r>
        <w:rPr>
          <w:spacing w:val="-2"/>
        </w:rPr>
        <w:t> </w:t>
      </w:r>
      <w:r>
        <w:rPr/>
        <w:t>wt.%</w:t>
      </w:r>
      <w:r>
        <w:rPr>
          <w:spacing w:val="-2"/>
        </w:rPr>
        <w:t> </w:t>
      </w:r>
      <w:r>
        <w:rPr/>
        <w:t>does</w:t>
      </w:r>
      <w:r>
        <w:rPr>
          <w:spacing w:val="-2"/>
        </w:rPr>
        <w:t> </w:t>
      </w:r>
      <w:r>
        <w:rPr/>
        <w:t>not</w:t>
      </w:r>
      <w:r>
        <w:rPr>
          <w:spacing w:val="-2"/>
        </w:rPr>
        <w:t> </w:t>
      </w:r>
      <w:r>
        <w:rPr/>
        <w:t>induce</w:t>
      </w:r>
      <w:r>
        <w:rPr>
          <w:spacing w:val="-2"/>
        </w:rPr>
        <w:t> </w:t>
      </w:r>
      <w:r>
        <w:rPr/>
        <w:t>the</w:t>
      </w:r>
      <w:r>
        <w:rPr>
          <w:spacing w:val="-2"/>
        </w:rPr>
        <w:t> </w:t>
      </w:r>
      <w:r>
        <w:rPr/>
        <w:t>formation</w:t>
      </w:r>
      <w:r>
        <w:rPr>
          <w:spacing w:val="-2"/>
        </w:rPr>
        <w:t> </w:t>
      </w:r>
      <w:r>
        <w:rPr/>
        <w:t>of</w:t>
      </w:r>
      <w:r>
        <w:rPr>
          <w:spacing w:val="-2"/>
        </w:rPr>
        <w:t> </w:t>
      </w:r>
      <w:r>
        <w:rPr/>
        <w:t>deleterious</w:t>
      </w:r>
      <w:r>
        <w:rPr>
          <w:spacing w:val="-2"/>
        </w:rPr>
        <w:t> </w:t>
      </w:r>
      <w:r>
        <w:rPr/>
        <w:t>secondary</w:t>
      </w:r>
      <w:r>
        <w:rPr>
          <w:spacing w:val="-2"/>
        </w:rPr>
        <w:t> </w:t>
      </w:r>
      <w:r>
        <w:rPr/>
        <w:t>phases like BCC ferrite. Microstructural analysis revealed a distinct inverse correlation between Cerium content and grain size. This refinement</w:t>
      </w:r>
      <w:r>
        <w:rPr>
          <w:spacing w:val="-2"/>
        </w:rPr>
        <w:t> </w:t>
      </w:r>
      <w:r>
        <w:rPr/>
        <w:t>is</w:t>
      </w:r>
      <w:r>
        <w:rPr>
          <w:spacing w:val="-2"/>
        </w:rPr>
        <w:t> </w:t>
      </w:r>
      <w:r>
        <w:rPr/>
        <w:t>attributed</w:t>
      </w:r>
      <w:r>
        <w:rPr>
          <w:spacing w:val="-2"/>
        </w:rPr>
        <w:t> </w:t>
      </w:r>
      <w:r>
        <w:rPr/>
        <w:t>to</w:t>
      </w:r>
      <w:r>
        <w:rPr>
          <w:spacing w:val="-2"/>
        </w:rPr>
        <w:t> </w:t>
      </w:r>
      <w:r>
        <w:rPr/>
        <w:t>the</w:t>
      </w:r>
      <w:r>
        <w:rPr>
          <w:spacing w:val="-2"/>
        </w:rPr>
        <w:t> </w:t>
      </w:r>
      <w:r>
        <w:rPr/>
        <w:t>solute</w:t>
      </w:r>
      <w:r>
        <w:rPr>
          <w:spacing w:val="-2"/>
        </w:rPr>
        <w:t> </w:t>
      </w:r>
      <w:r>
        <w:rPr/>
        <w:t>drag</w:t>
      </w:r>
      <w:r>
        <w:rPr>
          <w:spacing w:val="-2"/>
        </w:rPr>
        <w:t> </w:t>
      </w:r>
      <w:r>
        <w:rPr/>
        <w:t>effect</w:t>
      </w:r>
      <w:r>
        <w:rPr>
          <w:spacing w:val="-2"/>
        </w:rPr>
        <w:t> </w:t>
      </w:r>
      <w:r>
        <w:rPr/>
        <w:t>and</w:t>
      </w:r>
      <w:r>
        <w:rPr>
          <w:spacing w:val="-2"/>
        </w:rPr>
        <w:t> </w:t>
      </w:r>
      <w:r>
        <w:rPr/>
        <w:t>Zener pinning mechanisms exerted by Ce-based inclusions, which effectively restricted grain growth. Furthermore, the study observed a monotonic increase in annealing twin density from 145.71~mm^{-1} to 187.36~mm^{-1} with increasing Ce content. Consequently, the mechanical performance improved substantially, with Vickers microhardness rising from 368 Hv to 552 Hv. These results validate the Hall-Petch relationship and the Dynamic Hall-Petch effect, suggesting that Cerium</w:t>
      </w:r>
      <w:r>
        <w:rPr>
          <w:spacing w:val="-3"/>
        </w:rPr>
        <w:t> </w:t>
      </w:r>
      <w:r>
        <w:rPr/>
        <w:t>reinforcement</w:t>
      </w:r>
      <w:r>
        <w:rPr>
          <w:spacing w:val="-3"/>
        </w:rPr>
        <w:t> </w:t>
      </w:r>
      <w:r>
        <w:rPr/>
        <w:t>combined</w:t>
      </w:r>
      <w:r>
        <w:rPr>
          <w:spacing w:val="-3"/>
        </w:rPr>
        <w:t> </w:t>
      </w:r>
      <w:r>
        <w:rPr/>
        <w:t>with</w:t>
      </w:r>
      <w:r>
        <w:rPr>
          <w:spacing w:val="-3"/>
        </w:rPr>
        <w:t> </w:t>
      </w:r>
      <w:r>
        <w:rPr/>
        <w:t>hot-rolling</w:t>
      </w:r>
      <w:r>
        <w:rPr>
          <w:spacing w:val="-3"/>
        </w:rPr>
        <w:t> </w:t>
      </w:r>
      <w:r>
        <w:rPr/>
        <w:t>is</w:t>
      </w:r>
      <w:r>
        <w:rPr>
          <w:spacing w:val="-3"/>
        </w:rPr>
        <w:t> </w:t>
      </w:r>
      <w:r>
        <w:rPr/>
        <w:t>a</w:t>
      </w:r>
      <w:r>
        <w:rPr>
          <w:spacing w:val="-3"/>
        </w:rPr>
        <w:t> </w:t>
      </w:r>
      <w:r>
        <w:rPr/>
        <w:t>viable</w:t>
      </w:r>
      <w:r>
        <w:rPr>
          <w:spacing w:val="-3"/>
        </w:rPr>
        <w:t> </w:t>
      </w:r>
      <w:r>
        <w:rPr/>
        <w:t>pathway</w:t>
      </w:r>
      <w:r>
        <w:rPr>
          <w:spacing w:val="-3"/>
        </w:rPr>
        <w:t> </w:t>
      </w:r>
      <w:r>
        <w:rPr/>
        <w:t>for developing high-strength, cryogenically stable High Manganese Steels.</w:t>
      </w:r>
    </w:p>
    <w:p>
      <w:pPr>
        <w:pStyle w:val="BodyText"/>
        <w:spacing w:after="0"/>
        <w:jc w:val="both"/>
        <w:sectPr>
          <w:pgSz w:w="12240" w:h="15840"/>
          <w:pgMar w:top="860" w:bottom="280" w:left="0" w:right="360"/>
        </w:sectPr>
      </w:pPr>
    </w:p>
    <w:p>
      <w:pPr>
        <w:pStyle w:val="Heading2"/>
        <w:numPr>
          <w:ilvl w:val="0"/>
          <w:numId w:val="2"/>
        </w:numPr>
        <w:tabs>
          <w:tab w:pos="2254" w:val="left" w:leader="none"/>
          <w:tab w:pos="10909" w:val="left" w:leader="none"/>
        </w:tabs>
        <w:spacing w:line="240" w:lineRule="auto" w:before="57" w:after="0"/>
        <w:ind w:left="2254" w:right="0" w:hanging="270"/>
        <w:jc w:val="both"/>
        <w:rPr>
          <w:color w:val="000101"/>
          <w:sz w:val="34"/>
        </w:rPr>
      </w:pPr>
      <w:bookmarkStart w:name="_TOC_250005" w:id="15"/>
      <w:r>
        <w:rPr>
          <w:color w:val="000101"/>
          <w:spacing w:val="-2"/>
        </w:rPr>
        <w:t>Introduction</w:t>
      </w:r>
      <w:r>
        <w:rPr>
          <w:b w:val="0"/>
          <w:color w:val="000101"/>
        </w:rPr>
        <w:tab/>
      </w:r>
      <w:bookmarkEnd w:id="15"/>
      <w:r>
        <w:rPr>
          <w:b w:val="0"/>
          <w:color w:val="000101"/>
          <w:spacing w:val="-10"/>
          <w:sz w:val="24"/>
        </w:rPr>
        <w:t>1</w:t>
      </w:r>
    </w:p>
    <w:p>
      <w:pPr>
        <w:pStyle w:val="BodyText"/>
        <w:spacing w:before="43"/>
        <w:rPr>
          <w:sz w:val="36"/>
        </w:rPr>
      </w:pPr>
    </w:p>
    <w:p>
      <w:pPr>
        <w:pStyle w:val="Heading4"/>
        <w:numPr>
          <w:ilvl w:val="1"/>
          <w:numId w:val="2"/>
        </w:numPr>
        <w:tabs>
          <w:tab w:pos="2461" w:val="left" w:leader="none"/>
        </w:tabs>
        <w:spacing w:line="240" w:lineRule="auto" w:before="1" w:after="0"/>
        <w:ind w:left="2461" w:right="0" w:hanging="477"/>
        <w:jc w:val="left"/>
      </w:pPr>
      <w:bookmarkStart w:name="_TOC_250004" w:id="16"/>
      <w:bookmarkEnd w:id="16"/>
      <w:r>
        <w:rPr>
          <w:spacing w:val="-2"/>
        </w:rPr>
        <w:t>Background</w:t>
      </w:r>
    </w:p>
    <w:p>
      <w:pPr>
        <w:pStyle w:val="BodyText"/>
        <w:spacing w:before="175"/>
        <w:ind w:left="1984" w:right="725"/>
        <w:jc w:val="both"/>
      </w:pPr>
      <w:r>
        <w:rPr/>
        <w:t>The global imperative for sustainable energy</w:t>
      </w:r>
      <w:r>
        <w:rPr>
          <w:spacing w:val="-3"/>
        </w:rPr>
        <w:t> </w:t>
      </w:r>
      <w:r>
        <w:rPr/>
        <w:t>solutions</w:t>
      </w:r>
      <w:r>
        <w:rPr>
          <w:spacing w:val="-3"/>
        </w:rPr>
        <w:t> </w:t>
      </w:r>
      <w:r>
        <w:rPr/>
        <w:t>has</w:t>
      </w:r>
      <w:r>
        <w:rPr>
          <w:spacing w:val="-3"/>
        </w:rPr>
        <w:t> </w:t>
      </w:r>
      <w:r>
        <w:rPr/>
        <w:t>catalyzed</w:t>
      </w:r>
      <w:r>
        <w:rPr>
          <w:spacing w:val="-3"/>
        </w:rPr>
        <w:t> </w:t>
      </w:r>
      <w:r>
        <w:rPr/>
        <w:t>a</w:t>
      </w:r>
      <w:r>
        <w:rPr>
          <w:spacing w:val="-3"/>
        </w:rPr>
        <w:t> </w:t>
      </w:r>
      <w:r>
        <w:rPr/>
        <w:t>significant</w:t>
      </w:r>
      <w:r>
        <w:rPr>
          <w:spacing w:val="-3"/>
        </w:rPr>
        <w:t> </w:t>
      </w:r>
      <w:r>
        <w:rPr/>
        <w:t>expansion</w:t>
      </w:r>
      <w:r>
        <w:rPr>
          <w:spacing w:val="-3"/>
        </w:rPr>
        <w:t> </w:t>
      </w:r>
      <w:r>
        <w:rPr/>
        <w:t>in the liquefied Natural Gas (LNG) sector, requiring the development of advanced </w:t>
      </w:r>
      <w:r>
        <w:rPr/>
        <w:t>cryogenic materials capable of withstanding extreme service environments. LNG is typically stored and transported at</w:t>
      </w:r>
      <w:r>
        <w:rPr>
          <w:spacing w:val="-4"/>
        </w:rPr>
        <w:t> </w:t>
      </w:r>
      <w:r>
        <w:rPr/>
        <w:t>temperatures</w:t>
      </w:r>
      <w:r>
        <w:rPr>
          <w:spacing w:val="-4"/>
        </w:rPr>
        <w:t> </w:t>
      </w:r>
      <w:r>
        <w:rPr/>
        <w:t>approximating</w:t>
      </w:r>
      <w:r>
        <w:rPr>
          <w:spacing w:val="-4"/>
        </w:rPr>
        <w:t> </w:t>
      </w:r>
      <w:r>
        <w:rPr/>
        <w:t>-163°C</w:t>
      </w:r>
      <w:r>
        <w:rPr>
          <w:spacing w:val="-4"/>
        </w:rPr>
        <w:t> </w:t>
      </w:r>
      <w:r>
        <w:rPr/>
        <w:t>(110</w:t>
      </w:r>
      <w:r>
        <w:rPr>
          <w:spacing w:val="-4"/>
        </w:rPr>
        <w:t> </w:t>
      </w:r>
      <w:r>
        <w:rPr/>
        <w:t>K),</w:t>
      </w:r>
      <w:r>
        <w:rPr>
          <w:spacing w:val="-4"/>
        </w:rPr>
        <w:t> </w:t>
      </w:r>
      <w:r>
        <w:rPr/>
        <w:t>a</w:t>
      </w:r>
      <w:r>
        <w:rPr>
          <w:spacing w:val="-4"/>
        </w:rPr>
        <w:t> </w:t>
      </w:r>
      <w:r>
        <w:rPr/>
        <w:t>thermal</w:t>
      </w:r>
      <w:r>
        <w:rPr>
          <w:spacing w:val="-4"/>
        </w:rPr>
        <w:t> </w:t>
      </w:r>
      <w:r>
        <w:rPr/>
        <w:t>point</w:t>
      </w:r>
      <w:r>
        <w:rPr>
          <w:spacing w:val="-4"/>
        </w:rPr>
        <w:t> </w:t>
      </w:r>
      <w:r>
        <w:rPr/>
        <w:t>where</w:t>
      </w:r>
      <w:r>
        <w:rPr>
          <w:spacing w:val="-4"/>
        </w:rPr>
        <w:t> </w:t>
      </w:r>
      <w:r>
        <w:rPr/>
        <w:t>conventional structural steels undergo a ductile-to-brittle transition (DBTT), rendering them prone to catastrophic fracture. Historically, the cryogenic</w:t>
      </w:r>
      <w:r>
        <w:rPr>
          <w:spacing w:val="-5"/>
        </w:rPr>
        <w:t> </w:t>
      </w:r>
      <w:r>
        <w:rPr/>
        <w:t>infrastructure</w:t>
      </w:r>
      <w:r>
        <w:rPr>
          <w:spacing w:val="-5"/>
        </w:rPr>
        <w:t> </w:t>
      </w:r>
      <w:r>
        <w:rPr/>
        <w:t>has</w:t>
      </w:r>
      <w:r>
        <w:rPr>
          <w:spacing w:val="-5"/>
        </w:rPr>
        <w:t> </w:t>
      </w:r>
      <w:r>
        <w:rPr/>
        <w:t>relied</w:t>
      </w:r>
      <w:r>
        <w:rPr>
          <w:spacing w:val="-5"/>
        </w:rPr>
        <w:t> </w:t>
      </w:r>
      <w:r>
        <w:rPr/>
        <w:t>heavily</w:t>
      </w:r>
      <w:r>
        <w:rPr>
          <w:spacing w:val="-5"/>
        </w:rPr>
        <w:t> </w:t>
      </w:r>
      <w:r>
        <w:rPr/>
        <w:t>on</w:t>
      </w:r>
      <w:r>
        <w:rPr>
          <w:spacing w:val="-5"/>
        </w:rPr>
        <w:t> </w:t>
      </w:r>
      <w:r>
        <w:rPr/>
        <w:t>9%</w:t>
      </w:r>
      <w:r>
        <w:rPr>
          <w:spacing w:val="-5"/>
        </w:rPr>
        <w:t> </w:t>
      </w:r>
      <w:r>
        <w:rPr/>
        <w:t>Nickel steels and austenitic stainless steels (such as the AISI 304 and 316 series). While these materials offer the required toughness and phase stability, they are burdened by high alloying costs, susceptibility to unstable pricing of nickel, and complex fabrication requirements.</w:t>
      </w:r>
    </w:p>
    <w:p>
      <w:pPr>
        <w:pStyle w:val="BodyText"/>
        <w:spacing w:before="44"/>
      </w:pPr>
    </w:p>
    <w:p>
      <w:pPr>
        <w:pStyle w:val="BodyText"/>
        <w:ind w:left="1984" w:right="718"/>
        <w:jc w:val="both"/>
      </w:pPr>
      <w:r>
        <w:rPr/>
        <w:t>In this context, High Manganese Steels (HMS), typically defined by a manganese content exceeding 10 wt.% and often ranging up to 30 wt.%, have emerged as a technically </w:t>
      </w:r>
      <w:r>
        <w:rPr/>
        <w:t>more suitable</w:t>
      </w:r>
      <w:r>
        <w:rPr>
          <w:spacing w:val="40"/>
        </w:rPr>
        <w:t> </w:t>
      </w:r>
      <w:r>
        <w:rPr/>
        <w:t>and</w:t>
      </w:r>
      <w:r>
        <w:rPr>
          <w:spacing w:val="40"/>
        </w:rPr>
        <w:t> </w:t>
      </w:r>
      <w:r>
        <w:rPr/>
        <w:t>economically</w:t>
      </w:r>
      <w:r>
        <w:rPr>
          <w:spacing w:val="40"/>
        </w:rPr>
        <w:t> </w:t>
      </w:r>
      <w:r>
        <w:rPr/>
        <w:t>viable</w:t>
      </w:r>
      <w:r>
        <w:rPr>
          <w:spacing w:val="40"/>
        </w:rPr>
        <w:t> </w:t>
      </w:r>
      <w:r>
        <w:rPr/>
        <w:t>alternative.</w:t>
      </w:r>
      <w:r>
        <w:rPr>
          <w:spacing w:val="40"/>
        </w:rPr>
        <w:t> </w:t>
      </w:r>
      <w:r>
        <w:rPr/>
        <w:t>The</w:t>
      </w:r>
      <w:r>
        <w:rPr>
          <w:spacing w:val="40"/>
        </w:rPr>
        <w:t> </w:t>
      </w:r>
      <w:r>
        <w:rPr/>
        <w:t>high</w:t>
      </w:r>
      <w:r>
        <w:rPr>
          <w:spacing w:val="40"/>
        </w:rPr>
        <w:t> </w:t>
      </w:r>
      <w:r>
        <w:rPr/>
        <w:t>manganese</w:t>
      </w:r>
      <w:r>
        <w:rPr>
          <w:spacing w:val="40"/>
        </w:rPr>
        <w:t> </w:t>
      </w:r>
      <w:r>
        <w:rPr/>
        <w:t>content</w:t>
      </w:r>
      <w:r>
        <w:rPr>
          <w:spacing w:val="40"/>
        </w:rPr>
        <w:t> </w:t>
      </w:r>
      <w:r>
        <w:rPr/>
        <w:t>stabilizes</w:t>
      </w:r>
      <w:r>
        <w:rPr>
          <w:spacing w:val="40"/>
        </w:rPr>
        <w:t> </w:t>
      </w:r>
      <w:r>
        <w:rPr/>
        <w:t>the face-centered cubic (FCC) austenite (gamma-Fe) phase down to cryogenic temperatures, preventing the formation of the brittle body-centered cubic</w:t>
      </w:r>
      <w:r>
        <w:rPr>
          <w:spacing w:val="-3"/>
        </w:rPr>
        <w:t> </w:t>
      </w:r>
      <w:r>
        <w:rPr/>
        <w:t>(BCC)</w:t>
      </w:r>
      <w:r>
        <w:rPr>
          <w:spacing w:val="-3"/>
        </w:rPr>
        <w:t> </w:t>
      </w:r>
      <w:r>
        <w:rPr/>
        <w:t>ferrite</w:t>
      </w:r>
      <w:r>
        <w:rPr>
          <w:spacing w:val="-3"/>
        </w:rPr>
        <w:t> </w:t>
      </w:r>
      <w:r>
        <w:rPr/>
        <w:t>or</w:t>
      </w:r>
      <w:r>
        <w:rPr>
          <w:spacing w:val="-3"/>
        </w:rPr>
        <w:t> </w:t>
      </w:r>
      <w:r>
        <w:rPr/>
        <w:t>martensite</w:t>
      </w:r>
      <w:r>
        <w:rPr>
          <w:spacing w:val="-3"/>
        </w:rPr>
        <w:t> </w:t>
      </w:r>
      <w:r>
        <w:rPr/>
        <w:t>phases. This austenitic stability endows HMS with</w:t>
      </w:r>
      <w:r>
        <w:rPr>
          <w:spacing w:val="-3"/>
        </w:rPr>
        <w:t> </w:t>
      </w:r>
      <w:r>
        <w:rPr/>
        <w:t>an</w:t>
      </w:r>
      <w:r>
        <w:rPr>
          <w:spacing w:val="-3"/>
        </w:rPr>
        <w:t> </w:t>
      </w:r>
      <w:r>
        <w:rPr/>
        <w:t>exceptional</w:t>
      </w:r>
      <w:r>
        <w:rPr>
          <w:spacing w:val="-3"/>
        </w:rPr>
        <w:t> </w:t>
      </w:r>
      <w:r>
        <w:rPr/>
        <w:t>combination</w:t>
      </w:r>
      <w:r>
        <w:rPr>
          <w:spacing w:val="-3"/>
        </w:rPr>
        <w:t> </w:t>
      </w:r>
      <w:r>
        <w:rPr/>
        <w:t>of</w:t>
      </w:r>
      <w:r>
        <w:rPr>
          <w:spacing w:val="-3"/>
        </w:rPr>
        <w:t> </w:t>
      </w:r>
      <w:r>
        <w:rPr/>
        <w:t>high</w:t>
      </w:r>
      <w:r>
        <w:rPr>
          <w:spacing w:val="-3"/>
        </w:rPr>
        <w:t> </w:t>
      </w:r>
      <w:r>
        <w:rPr/>
        <w:t>ultimate</w:t>
      </w:r>
      <w:r>
        <w:rPr>
          <w:spacing w:val="-3"/>
        </w:rPr>
        <w:t> </w:t>
      </w:r>
      <w:r>
        <w:rPr/>
        <w:t>tensile strength, superior ductility, and impressive impact toughness at sub-zero temperatures. Furthermore, the low stacking fault energy (SFE) inherent to these alloys promotes</w:t>
      </w:r>
      <w:r>
        <w:rPr>
          <w:spacing w:val="40"/>
        </w:rPr>
        <w:t> </w:t>
      </w:r>
      <w:r>
        <w:rPr/>
        <w:t>deformation mechanisms such as Twinning Induced Plasticity (TWIP) and Transformation Induced Plasticity (TRIP), which are instrumental in achieving high work-hardening rates.</w:t>
      </w:r>
    </w:p>
    <w:p>
      <w:pPr>
        <w:pStyle w:val="BodyText"/>
        <w:spacing w:before="44"/>
      </w:pPr>
    </w:p>
    <w:p>
      <w:pPr>
        <w:pStyle w:val="BodyText"/>
        <w:ind w:left="1984" w:right="725"/>
        <w:jc w:val="both"/>
      </w:pPr>
      <w:r>
        <w:rPr/>
        <w:t>However, solute redistribution can easily occur in high-Mn austenitic steel weld metal </w:t>
      </w:r>
      <w:r>
        <w:rPr/>
        <w:t>during solidification due to the high alloying degree. The element microsegregation is</w:t>
      </w:r>
      <w:r>
        <w:rPr>
          <w:spacing w:val="-2"/>
        </w:rPr>
        <w:t> </w:t>
      </w:r>
      <w:r>
        <w:rPr/>
        <w:t>most</w:t>
      </w:r>
      <w:r>
        <w:rPr>
          <w:spacing w:val="-2"/>
        </w:rPr>
        <w:t> </w:t>
      </w:r>
      <w:r>
        <w:rPr/>
        <w:t>severe</w:t>
      </w:r>
      <w:r>
        <w:rPr>
          <w:spacing w:val="-2"/>
        </w:rPr>
        <w:t> </w:t>
      </w:r>
      <w:r>
        <w:rPr/>
        <w:t>in nature in the liquid phase at the front of the solidification interface. Coupled with the small volume of the welding pool, fast cooling speed and high welding heat input, this will form a coarse dendritic structure and an uneven solidification structure .</w:t>
      </w:r>
    </w:p>
    <w:p>
      <w:pPr>
        <w:pStyle w:val="BodyText"/>
        <w:spacing w:before="113"/>
      </w:pPr>
    </w:p>
    <w:p>
      <w:pPr>
        <w:pStyle w:val="Heading4"/>
        <w:numPr>
          <w:ilvl w:val="1"/>
          <w:numId w:val="2"/>
        </w:numPr>
        <w:tabs>
          <w:tab w:pos="2461" w:val="left" w:leader="none"/>
        </w:tabs>
        <w:spacing w:line="240" w:lineRule="auto" w:before="0" w:after="0"/>
        <w:ind w:left="2461" w:right="0" w:hanging="477"/>
        <w:jc w:val="left"/>
      </w:pPr>
      <w:bookmarkStart w:name="_TOC_250003" w:id="17"/>
      <w:r>
        <w:rPr/>
        <w:t>Why</w:t>
      </w:r>
      <w:r>
        <w:rPr>
          <w:spacing w:val="-4"/>
        </w:rPr>
        <w:t> </w:t>
      </w:r>
      <w:r>
        <w:rPr/>
        <w:t>Cerium</w:t>
      </w:r>
      <w:r>
        <w:rPr>
          <w:spacing w:val="-4"/>
        </w:rPr>
        <w:t> </w:t>
      </w:r>
      <w:r>
        <w:rPr/>
        <w:t>and</w:t>
      </w:r>
      <w:r>
        <w:rPr>
          <w:spacing w:val="-4"/>
        </w:rPr>
        <w:t> </w:t>
      </w:r>
      <w:r>
        <w:rPr/>
        <w:t>Hot</w:t>
      </w:r>
      <w:r>
        <w:rPr>
          <w:spacing w:val="-3"/>
        </w:rPr>
        <w:t> </w:t>
      </w:r>
      <w:bookmarkEnd w:id="17"/>
      <w:r>
        <w:rPr>
          <w:spacing w:val="-2"/>
        </w:rPr>
        <w:t>Rolling?</w:t>
      </w:r>
    </w:p>
    <w:p>
      <w:pPr>
        <w:pStyle w:val="BodyText"/>
        <w:spacing w:before="175"/>
        <w:ind w:left="1984" w:right="729"/>
        <w:jc w:val="both"/>
      </w:pPr>
      <w:r>
        <w:rPr/>
        <w:t>To address the microstructural deficiencies of as-cast HMS, this project explores the </w:t>
      </w:r>
      <w:r>
        <w:rPr/>
        <w:t>suitable application of "Oxide Metallurgy" via Rare Earth (RE) microalloying and thermomechanical processing (hot rolling).</w:t>
      </w:r>
    </w:p>
    <w:p>
      <w:pPr>
        <w:pStyle w:val="BodyText"/>
      </w:pPr>
    </w:p>
    <w:p>
      <w:pPr>
        <w:pStyle w:val="BodyText"/>
        <w:ind w:left="1984" w:right="723"/>
        <w:jc w:val="both"/>
      </w:pPr>
      <w:r>
        <w:rPr/>
        <w:t>Cerium (Ce), the most abundant rare earth element, exhibits a profound chemical affinity for oxygen and sulfur, surpassing that of conventional deoxidizers like aluminum or silicon. </w:t>
      </w:r>
      <w:r>
        <w:rPr/>
        <w:t>The introduction of Ce into the molten steel thermodynamics fundamentally alters the deoxidation and desulfurization reactions. These Ce-based</w:t>
      </w:r>
      <w:r>
        <w:rPr>
          <w:spacing w:val="-3"/>
        </w:rPr>
        <w:t> </w:t>
      </w:r>
      <w:r>
        <w:rPr/>
        <w:t>inclusions</w:t>
      </w:r>
      <w:r>
        <w:rPr>
          <w:spacing w:val="-3"/>
        </w:rPr>
        <w:t> </w:t>
      </w:r>
      <w:r>
        <w:rPr/>
        <w:t>possess</w:t>
      </w:r>
      <w:r>
        <w:rPr>
          <w:spacing w:val="-3"/>
        </w:rPr>
        <w:t> </w:t>
      </w:r>
      <w:r>
        <w:rPr/>
        <w:t>high</w:t>
      </w:r>
      <w:r>
        <w:rPr>
          <w:spacing w:val="-3"/>
        </w:rPr>
        <w:t> </w:t>
      </w:r>
      <w:r>
        <w:rPr/>
        <w:t>melting</w:t>
      </w:r>
      <w:r>
        <w:rPr>
          <w:spacing w:val="-3"/>
        </w:rPr>
        <w:t> </w:t>
      </w:r>
      <w:r>
        <w:rPr/>
        <w:t>points,</w:t>
      </w:r>
      <w:r>
        <w:rPr>
          <w:spacing w:val="-3"/>
        </w:rPr>
        <w:t> </w:t>
      </w:r>
      <w:r>
        <w:rPr/>
        <w:t>ensuring they precipitate early in the solidification sequence. Furthermore, the Ce element has low solubility in the austenite phase, which is enriched at the front of the solidification interface</w:t>
      </w:r>
      <w:r>
        <w:rPr>
          <w:spacing w:val="40"/>
        </w:rPr>
        <w:t> </w:t>
      </w:r>
      <w:r>
        <w:rPr/>
        <w:t>and reduce the degree of undercooling. These factors can</w:t>
      </w:r>
      <w:r>
        <w:rPr>
          <w:spacing w:val="-3"/>
        </w:rPr>
        <w:t> </w:t>
      </w:r>
      <w:r>
        <w:rPr/>
        <w:t>refine</w:t>
      </w:r>
      <w:r>
        <w:rPr>
          <w:spacing w:val="-3"/>
        </w:rPr>
        <w:t> </w:t>
      </w:r>
      <w:r>
        <w:rPr/>
        <w:t>the</w:t>
      </w:r>
      <w:r>
        <w:rPr>
          <w:spacing w:val="-3"/>
        </w:rPr>
        <w:t> </w:t>
      </w:r>
      <w:r>
        <w:rPr/>
        <w:t>solidification</w:t>
      </w:r>
      <w:r>
        <w:rPr>
          <w:spacing w:val="-3"/>
        </w:rPr>
        <w:t> </w:t>
      </w:r>
      <w:r>
        <w:rPr/>
        <w:t>and</w:t>
      </w:r>
      <w:r>
        <w:rPr>
          <w:spacing w:val="-3"/>
        </w:rPr>
        <w:t> </w:t>
      </w:r>
      <w:r>
        <w:rPr/>
        <w:t>improve </w:t>
      </w:r>
      <w:r>
        <w:rPr>
          <w:spacing w:val="-2"/>
        </w:rPr>
        <w:t>microsegregation.</w:t>
      </w:r>
    </w:p>
    <w:p>
      <w:pPr>
        <w:pStyle w:val="BodyText"/>
      </w:pPr>
    </w:p>
    <w:p>
      <w:pPr>
        <w:pStyle w:val="BodyText"/>
        <w:ind w:left="1984" w:right="720"/>
        <w:jc w:val="both"/>
      </w:pPr>
      <w:r>
        <w:rPr/>
        <w:t>Beyond inclusion modification, Ce plays a pivotal role in grain refinement through </w:t>
      </w:r>
      <w:r>
        <w:rPr/>
        <w:t>two</w:t>
      </w:r>
      <w:r>
        <w:rPr>
          <w:spacing w:val="40"/>
        </w:rPr>
        <w:t> </w:t>
      </w:r>
      <w:r>
        <w:rPr/>
        <w:t>primary mechanisms:</w:t>
      </w:r>
    </w:p>
    <w:p>
      <w:pPr>
        <w:pStyle w:val="BodyText"/>
        <w:spacing w:after="0"/>
        <w:jc w:val="both"/>
        <w:sectPr>
          <w:pgSz w:w="12240" w:h="15840"/>
          <w:pgMar w:top="700" w:bottom="280" w:left="0" w:right="360"/>
        </w:sectPr>
      </w:pPr>
    </w:p>
    <w:p>
      <w:pPr>
        <w:pStyle w:val="BodyText"/>
        <w:spacing w:before="276"/>
        <w:ind w:left="1984" w:right="718"/>
      </w:pPr>
      <w:r>
        <w:rPr>
          <w:i/>
        </w:rPr>
        <w:t>Heterogeneous Nucleation</w:t>
      </w:r>
      <w:r>
        <w:rPr/>
        <w:t>: Specific Ce-bearing inclusions possess a crystal lattice structure that is coherent or semi-coherent with the primary austenite phase. This low</w:t>
      </w:r>
      <w:r>
        <w:rPr>
          <w:spacing w:val="-3"/>
        </w:rPr>
        <w:t> </w:t>
      </w:r>
      <w:r>
        <w:rPr/>
        <w:t>lattice</w:t>
      </w:r>
      <w:r>
        <w:rPr>
          <w:spacing w:val="-3"/>
        </w:rPr>
        <w:t> </w:t>
      </w:r>
      <w:r>
        <w:rPr/>
        <w:t>disregistry reduces the nucleation energy</w:t>
      </w:r>
      <w:r>
        <w:rPr>
          <w:spacing w:val="-4"/>
        </w:rPr>
        <w:t> </w:t>
      </w:r>
      <w:r>
        <w:rPr/>
        <w:t>barrier,</w:t>
      </w:r>
      <w:r>
        <w:rPr>
          <w:spacing w:val="-4"/>
        </w:rPr>
        <w:t> </w:t>
      </w:r>
      <w:r>
        <w:rPr/>
        <w:t>facilitating</w:t>
      </w:r>
      <w:r>
        <w:rPr>
          <w:spacing w:val="-4"/>
        </w:rPr>
        <w:t> </w:t>
      </w:r>
      <w:r>
        <w:rPr/>
        <w:t>the</w:t>
      </w:r>
      <w:r>
        <w:rPr>
          <w:spacing w:val="-4"/>
        </w:rPr>
        <w:t> </w:t>
      </w:r>
      <w:r>
        <w:rPr/>
        <w:t>formation</w:t>
      </w:r>
      <w:r>
        <w:rPr>
          <w:spacing w:val="-4"/>
        </w:rPr>
        <w:t> </w:t>
      </w:r>
      <w:r>
        <w:rPr/>
        <w:t>of</w:t>
      </w:r>
      <w:r>
        <w:rPr>
          <w:spacing w:val="-4"/>
        </w:rPr>
        <w:t> </w:t>
      </w:r>
      <w:r>
        <w:rPr/>
        <w:t>fine</w:t>
      </w:r>
      <w:r>
        <w:rPr>
          <w:spacing w:val="-4"/>
        </w:rPr>
        <w:t> </w:t>
      </w:r>
      <w:r>
        <w:rPr/>
        <w:t>equiaxed</w:t>
      </w:r>
      <w:r>
        <w:rPr>
          <w:spacing w:val="-4"/>
        </w:rPr>
        <w:t> </w:t>
      </w:r>
      <w:r>
        <w:rPr/>
        <w:t>grains</w:t>
      </w:r>
      <w:r>
        <w:rPr>
          <w:spacing w:val="-4"/>
        </w:rPr>
        <w:t> </w:t>
      </w:r>
      <w:r>
        <w:rPr/>
        <w:t>directly on the inclusion surface, thereby suppressing the growth of coarse columnar dendrites</w:t>
      </w:r>
    </w:p>
    <w:p>
      <w:pPr>
        <w:spacing w:before="0"/>
        <w:ind w:left="1984" w:right="0" w:firstLine="0"/>
        <w:jc w:val="left"/>
        <w:rPr>
          <w:sz w:val="24"/>
        </w:rPr>
      </w:pPr>
      <w:r>
        <w:rPr>
          <w:spacing w:val="-10"/>
          <w:sz w:val="24"/>
        </w:rPr>
        <w:t>.</w:t>
      </w:r>
    </w:p>
    <w:p>
      <w:pPr>
        <w:pStyle w:val="BodyText"/>
        <w:ind w:left="1984" w:right="718"/>
        <w:jc w:val="both"/>
      </w:pPr>
      <w:r>
        <w:rPr>
          <w:i/>
        </w:rPr>
        <w:t>Solute Drag and Zener Pinning</w:t>
      </w:r>
      <w:r>
        <w:rPr/>
        <w:t>: The large atomic radius of Ce (0.182 nm) compared to Iron (0.124 nm) results in limited solubility in the</w:t>
      </w:r>
      <w:r>
        <w:rPr>
          <w:spacing w:val="-4"/>
        </w:rPr>
        <w:t> </w:t>
      </w:r>
      <w:r>
        <w:rPr/>
        <w:t>austenite</w:t>
      </w:r>
      <w:r>
        <w:rPr>
          <w:spacing w:val="-4"/>
        </w:rPr>
        <w:t> </w:t>
      </w:r>
      <w:r>
        <w:rPr/>
        <w:t>matrix.</w:t>
      </w:r>
      <w:r>
        <w:rPr>
          <w:spacing w:val="-4"/>
        </w:rPr>
        <w:t> </w:t>
      </w:r>
      <w:r>
        <w:rPr/>
        <w:t>Consequently,</w:t>
      </w:r>
      <w:r>
        <w:rPr>
          <w:spacing w:val="-4"/>
        </w:rPr>
        <w:t> </w:t>
      </w:r>
      <w:r>
        <w:rPr/>
        <w:t>Ce</w:t>
      </w:r>
      <w:r>
        <w:rPr>
          <w:spacing w:val="-4"/>
        </w:rPr>
        <w:t> </w:t>
      </w:r>
      <w:r>
        <w:rPr/>
        <w:t>atoms</w:t>
      </w:r>
      <w:r>
        <w:rPr>
          <w:spacing w:val="-4"/>
        </w:rPr>
        <w:t> </w:t>
      </w:r>
      <w:r>
        <w:rPr/>
        <w:t>tend</w:t>
      </w:r>
      <w:r>
        <w:rPr>
          <w:spacing w:val="-4"/>
        </w:rPr>
        <w:t> </w:t>
      </w:r>
      <w:r>
        <w:rPr/>
        <w:t>to segregate to the solid-liquid interface during solidification and to grain</w:t>
      </w:r>
      <w:r>
        <w:rPr>
          <w:spacing w:val="-2"/>
        </w:rPr>
        <w:t> </w:t>
      </w:r>
      <w:r>
        <w:rPr/>
        <w:t>boundaries</w:t>
      </w:r>
      <w:r>
        <w:rPr>
          <w:spacing w:val="-2"/>
        </w:rPr>
        <w:t> </w:t>
      </w:r>
      <w:r>
        <w:rPr/>
        <w:t>in</w:t>
      </w:r>
      <w:r>
        <w:rPr>
          <w:spacing w:val="-2"/>
        </w:rPr>
        <w:t> </w:t>
      </w:r>
      <w:r>
        <w:rPr/>
        <w:t>the</w:t>
      </w:r>
      <w:r>
        <w:rPr>
          <w:spacing w:val="-2"/>
        </w:rPr>
        <w:t> </w:t>
      </w:r>
      <w:r>
        <w:rPr/>
        <w:t>solid state. This segregation exerts a solute drag effect that retards grain boundary migration. Additionally, fine precipitates of Ce-oxides pinned at grain boundaries exert a Zener pinning pressure, inhibiting grain coarsening during high-temperature processing.</w:t>
      </w:r>
    </w:p>
    <w:p>
      <w:pPr>
        <w:pStyle w:val="BodyText"/>
        <w:spacing w:before="275"/>
      </w:pPr>
    </w:p>
    <w:p>
      <w:pPr>
        <w:pStyle w:val="BodyText"/>
        <w:spacing w:before="1"/>
        <w:ind w:left="1984" w:right="723"/>
        <w:jc w:val="both"/>
      </w:pPr>
      <w:r>
        <w:rPr/>
        <w:t>While Ce modification improves the as-cast state, thermomechanical processing</w:t>
      </w:r>
      <w:r>
        <w:rPr>
          <w:spacing w:val="-3"/>
        </w:rPr>
        <w:t> </w:t>
      </w:r>
      <w:r>
        <w:rPr/>
        <w:t>is</w:t>
      </w:r>
      <w:r>
        <w:rPr>
          <w:spacing w:val="-3"/>
        </w:rPr>
        <w:t> </w:t>
      </w:r>
      <w:r>
        <w:rPr/>
        <w:t>essential</w:t>
      </w:r>
      <w:r>
        <w:rPr>
          <w:spacing w:val="-3"/>
        </w:rPr>
        <w:t> </w:t>
      </w:r>
      <w:r>
        <w:rPr/>
        <w:t>to homogenize the structure and</w:t>
      </w:r>
      <w:r>
        <w:rPr>
          <w:spacing w:val="-3"/>
        </w:rPr>
        <w:t> </w:t>
      </w:r>
      <w:r>
        <w:rPr/>
        <w:t>close</w:t>
      </w:r>
      <w:r>
        <w:rPr>
          <w:spacing w:val="-3"/>
        </w:rPr>
        <w:t> </w:t>
      </w:r>
      <w:r>
        <w:rPr/>
        <w:t>casting</w:t>
      </w:r>
      <w:r>
        <w:rPr>
          <w:spacing w:val="-3"/>
        </w:rPr>
        <w:t> </w:t>
      </w:r>
      <w:r>
        <w:rPr/>
        <w:t>defects.</w:t>
      </w:r>
      <w:r>
        <w:rPr>
          <w:spacing w:val="-3"/>
        </w:rPr>
        <w:t> </w:t>
      </w:r>
      <w:r>
        <w:rPr/>
        <w:t>Hot</w:t>
      </w:r>
      <w:r>
        <w:rPr>
          <w:spacing w:val="-3"/>
        </w:rPr>
        <w:t> </w:t>
      </w:r>
      <w:r>
        <w:rPr/>
        <w:t>rolling</w:t>
      </w:r>
      <w:r>
        <w:rPr>
          <w:spacing w:val="-3"/>
        </w:rPr>
        <w:t> </w:t>
      </w:r>
      <w:r>
        <w:rPr/>
        <w:t>involves</w:t>
      </w:r>
      <w:r>
        <w:rPr>
          <w:spacing w:val="-3"/>
        </w:rPr>
        <w:t> </w:t>
      </w:r>
      <w:r>
        <w:rPr/>
        <w:t>the</w:t>
      </w:r>
      <w:r>
        <w:rPr>
          <w:spacing w:val="-3"/>
        </w:rPr>
        <w:t> </w:t>
      </w:r>
      <w:r>
        <w:rPr/>
        <w:t>deformation</w:t>
      </w:r>
      <w:r>
        <w:rPr>
          <w:spacing w:val="-3"/>
        </w:rPr>
        <w:t> </w:t>
      </w:r>
      <w:r>
        <w:rPr/>
        <w:t>of</w:t>
      </w:r>
      <w:r>
        <w:rPr>
          <w:spacing w:val="-3"/>
        </w:rPr>
        <w:t> </w:t>
      </w:r>
      <w:r>
        <w:rPr/>
        <w:t>the steel at temperatures above its recrystallization temperature. This process serves multiple </w:t>
      </w:r>
      <w:r>
        <w:rPr>
          <w:spacing w:val="-2"/>
        </w:rPr>
        <w:t>functions:</w:t>
      </w:r>
    </w:p>
    <w:p>
      <w:pPr>
        <w:pStyle w:val="BodyText"/>
        <w:ind w:left="1984" w:right="720"/>
        <w:jc w:val="both"/>
      </w:pPr>
      <w:r>
        <w:rPr/>
        <w:t>Dynamic Recrystallization (DRX): The high strain energy introduced during</w:t>
      </w:r>
      <w:r>
        <w:rPr>
          <w:spacing w:val="-4"/>
        </w:rPr>
        <w:t> </w:t>
      </w:r>
      <w:r>
        <w:rPr/>
        <w:t>rolling</w:t>
      </w:r>
      <w:r>
        <w:rPr>
          <w:spacing w:val="-4"/>
        </w:rPr>
        <w:t> </w:t>
      </w:r>
      <w:r>
        <w:rPr/>
        <w:t>drives</w:t>
      </w:r>
      <w:r>
        <w:rPr>
          <w:spacing w:val="-4"/>
        </w:rPr>
        <w:t> </w:t>
      </w:r>
      <w:r>
        <w:rPr/>
        <w:t>the nucleation of new, strain-free grains, significantly refining the microstructure beyond what is achievable by casting alone.</w:t>
      </w:r>
    </w:p>
    <w:p>
      <w:pPr>
        <w:pStyle w:val="BodyText"/>
        <w:ind w:left="1984" w:right="723"/>
        <w:jc w:val="both"/>
      </w:pPr>
      <w:r>
        <w:rPr/>
        <w:t>Inclusion Redistribution: The massive plastic deformation breaks up inclusion clusters </w:t>
      </w:r>
      <w:r>
        <w:rPr/>
        <w:t>and redistributes them more uniformly throughout the matrix.</w:t>
      </w:r>
    </w:p>
    <w:p>
      <w:pPr>
        <w:pStyle w:val="BodyText"/>
        <w:ind w:left="1984" w:right="732"/>
        <w:jc w:val="both"/>
      </w:pPr>
      <w:r>
        <w:rPr/>
        <w:t>Defect Healing: High compressive stresses close internal porosities and voids inherent to </w:t>
      </w:r>
      <w:r>
        <w:rPr/>
        <w:t>the casting process.</w:t>
      </w:r>
    </w:p>
    <w:p>
      <w:pPr>
        <w:pStyle w:val="BodyText"/>
      </w:pPr>
    </w:p>
    <w:p>
      <w:pPr>
        <w:pStyle w:val="BodyText"/>
        <w:spacing w:before="33"/>
      </w:pPr>
    </w:p>
    <w:p>
      <w:pPr>
        <w:pStyle w:val="BodyText"/>
        <w:ind w:left="1984" w:right="723"/>
        <w:jc w:val="both"/>
      </w:pPr>
      <w:r>
        <w:rPr/>
        <w:t>The</w:t>
      </w:r>
      <w:r>
        <w:rPr>
          <w:spacing w:val="-3"/>
        </w:rPr>
        <w:t> </w:t>
      </w:r>
      <w:r>
        <w:rPr/>
        <w:t>combination</w:t>
      </w:r>
      <w:r>
        <w:rPr>
          <w:spacing w:val="-3"/>
        </w:rPr>
        <w:t> </w:t>
      </w:r>
      <w:r>
        <w:rPr/>
        <w:t>of</w:t>
      </w:r>
      <w:r>
        <w:rPr>
          <w:spacing w:val="-3"/>
        </w:rPr>
        <w:t> </w:t>
      </w:r>
      <w:r>
        <w:rPr/>
        <w:t>Ce</w:t>
      </w:r>
      <w:r>
        <w:rPr>
          <w:spacing w:val="-3"/>
        </w:rPr>
        <w:t> </w:t>
      </w:r>
      <w:r>
        <w:rPr/>
        <w:t>reinforcement</w:t>
      </w:r>
      <w:r>
        <w:rPr>
          <w:spacing w:val="-3"/>
        </w:rPr>
        <w:t> </w:t>
      </w:r>
      <w:r>
        <w:rPr/>
        <w:t>and</w:t>
      </w:r>
      <w:r>
        <w:rPr>
          <w:spacing w:val="-3"/>
        </w:rPr>
        <w:t> </w:t>
      </w:r>
      <w:r>
        <w:rPr/>
        <w:t>hot</w:t>
      </w:r>
      <w:r>
        <w:rPr>
          <w:spacing w:val="-3"/>
        </w:rPr>
        <w:t> </w:t>
      </w:r>
      <w:r>
        <w:rPr/>
        <w:t>rolling</w:t>
      </w:r>
      <w:r>
        <w:rPr>
          <w:spacing w:val="-3"/>
        </w:rPr>
        <w:t> </w:t>
      </w:r>
      <w:r>
        <w:rPr/>
        <w:t>is</w:t>
      </w:r>
      <w:r>
        <w:rPr>
          <w:spacing w:val="-3"/>
        </w:rPr>
        <w:t> </w:t>
      </w:r>
      <w:r>
        <w:rPr/>
        <w:t>expected</w:t>
      </w:r>
      <w:r>
        <w:rPr>
          <w:spacing w:val="-3"/>
        </w:rPr>
        <w:t> </w:t>
      </w:r>
      <w:r>
        <w:rPr/>
        <w:t>to</w:t>
      </w:r>
      <w:r>
        <w:rPr>
          <w:spacing w:val="-3"/>
        </w:rPr>
        <w:t> </w:t>
      </w:r>
      <w:r>
        <w:rPr/>
        <w:t>produce</w:t>
      </w:r>
      <w:r>
        <w:rPr>
          <w:spacing w:val="-3"/>
        </w:rPr>
        <w:t> </w:t>
      </w:r>
      <w:r>
        <w:rPr/>
        <w:t>a</w:t>
      </w:r>
      <w:r>
        <w:rPr>
          <w:spacing w:val="-3"/>
        </w:rPr>
        <w:t> </w:t>
      </w:r>
      <w:r>
        <w:rPr/>
        <w:t>High</w:t>
      </w:r>
      <w:r>
        <w:rPr>
          <w:spacing w:val="-3"/>
        </w:rPr>
        <w:t> </w:t>
      </w:r>
      <w:r>
        <w:rPr/>
        <w:t>Manganese Steel with a refined, equiaxed grain structure, a</w:t>
      </w:r>
      <w:r>
        <w:rPr>
          <w:spacing w:val="-3"/>
        </w:rPr>
        <w:t> </w:t>
      </w:r>
      <w:r>
        <w:rPr/>
        <w:t>high</w:t>
      </w:r>
      <w:r>
        <w:rPr>
          <w:spacing w:val="-3"/>
        </w:rPr>
        <w:t> </w:t>
      </w:r>
      <w:r>
        <w:rPr/>
        <w:t>density</w:t>
      </w:r>
      <w:r>
        <w:rPr>
          <w:spacing w:val="-3"/>
        </w:rPr>
        <w:t> </w:t>
      </w:r>
      <w:r>
        <w:rPr/>
        <w:t>of</w:t>
      </w:r>
      <w:r>
        <w:rPr>
          <w:spacing w:val="-3"/>
        </w:rPr>
        <w:t> </w:t>
      </w:r>
      <w:r>
        <w:rPr/>
        <w:t>annealing</w:t>
      </w:r>
      <w:r>
        <w:rPr>
          <w:spacing w:val="-3"/>
        </w:rPr>
        <w:t> </w:t>
      </w:r>
      <w:r>
        <w:rPr/>
        <w:t>twins,</w:t>
      </w:r>
      <w:r>
        <w:rPr>
          <w:spacing w:val="-3"/>
        </w:rPr>
        <w:t> </w:t>
      </w:r>
      <w:r>
        <w:rPr/>
        <w:t>and</w:t>
      </w:r>
      <w:r>
        <w:rPr>
          <w:spacing w:val="-3"/>
        </w:rPr>
        <w:t> </w:t>
      </w:r>
      <w:r>
        <w:rPr/>
        <w:t>a</w:t>
      </w:r>
      <w:r>
        <w:rPr>
          <w:spacing w:val="-3"/>
        </w:rPr>
        <w:t> </w:t>
      </w:r>
      <w:r>
        <w:rPr/>
        <w:t>purified matrix with harmless inclusions, leading to superior mechanical properties.</w:t>
      </w:r>
    </w:p>
    <w:p>
      <w:pPr>
        <w:pStyle w:val="BodyText"/>
      </w:pPr>
    </w:p>
    <w:p>
      <w:pPr>
        <w:pStyle w:val="Heading4"/>
        <w:numPr>
          <w:ilvl w:val="1"/>
          <w:numId w:val="2"/>
        </w:numPr>
        <w:tabs>
          <w:tab w:pos="2461" w:val="left" w:leader="none"/>
        </w:tabs>
        <w:spacing w:line="240" w:lineRule="auto" w:before="0" w:after="0"/>
        <w:ind w:left="2461" w:right="0" w:hanging="477"/>
        <w:jc w:val="left"/>
      </w:pPr>
      <w:bookmarkStart w:name="_TOC_250002" w:id="18"/>
      <w:r>
        <w:rPr/>
        <w:t>Applications</w:t>
      </w:r>
      <w:r>
        <w:rPr>
          <w:spacing w:val="-7"/>
        </w:rPr>
        <w:t> </w:t>
      </w:r>
      <w:r>
        <w:rPr/>
        <w:t>of</w:t>
      </w:r>
      <w:r>
        <w:rPr>
          <w:spacing w:val="-6"/>
        </w:rPr>
        <w:t> </w:t>
      </w:r>
      <w:r>
        <w:rPr/>
        <w:t>Ce</w:t>
      </w:r>
      <w:r>
        <w:rPr>
          <w:spacing w:val="-7"/>
        </w:rPr>
        <w:t> </w:t>
      </w:r>
      <w:r>
        <w:rPr/>
        <w:t>Reinforced</w:t>
      </w:r>
      <w:r>
        <w:rPr>
          <w:spacing w:val="-6"/>
        </w:rPr>
        <w:t> </w:t>
      </w:r>
      <w:bookmarkEnd w:id="18"/>
      <w:r>
        <w:rPr>
          <w:spacing w:val="-2"/>
        </w:rPr>
        <w:t>Steels</w:t>
      </w:r>
    </w:p>
    <w:p>
      <w:pPr>
        <w:pStyle w:val="BodyText"/>
        <w:spacing w:before="175"/>
        <w:ind w:left="1984" w:right="728"/>
        <w:jc w:val="both"/>
      </w:pPr>
      <w:r>
        <w:rPr/>
        <w:t>The enhanced property profile of Ce-reinforced steels opens a broad spectrum of </w:t>
      </w:r>
      <w:r>
        <w:rPr/>
        <w:t>industrial </w:t>
      </w:r>
      <w:r>
        <w:rPr>
          <w:spacing w:val="-2"/>
        </w:rPr>
        <w:t>applications:</w:t>
      </w:r>
    </w:p>
    <w:p>
      <w:pPr>
        <w:pStyle w:val="BodyText"/>
        <w:ind w:left="1984" w:right="720"/>
        <w:jc w:val="both"/>
      </w:pPr>
      <w:r>
        <w:rPr/>
        <w:t>Cryogenic Storage: Inner shells of LNG storage tanks and piping systems where </w:t>
      </w:r>
      <w:r>
        <w:rPr/>
        <w:t>high toughness at -163°C is non-negotiable.</w:t>
      </w:r>
    </w:p>
    <w:p>
      <w:pPr>
        <w:pStyle w:val="BodyText"/>
        <w:ind w:left="1984" w:right="724"/>
        <w:jc w:val="both"/>
      </w:pPr>
      <w:r>
        <w:rPr/>
        <w:t>Marine and Offshore Structures: High-strength</w:t>
      </w:r>
      <w:r>
        <w:rPr>
          <w:spacing w:val="-4"/>
        </w:rPr>
        <w:t> </w:t>
      </w:r>
      <w:r>
        <w:rPr/>
        <w:t>plates</w:t>
      </w:r>
      <w:r>
        <w:rPr>
          <w:spacing w:val="-4"/>
        </w:rPr>
        <w:t> </w:t>
      </w:r>
      <w:r>
        <w:rPr/>
        <w:t>for</w:t>
      </w:r>
      <w:r>
        <w:rPr>
          <w:spacing w:val="-4"/>
        </w:rPr>
        <w:t> </w:t>
      </w:r>
      <w:r>
        <w:rPr/>
        <w:t>ship</w:t>
      </w:r>
      <w:r>
        <w:rPr>
          <w:spacing w:val="-4"/>
        </w:rPr>
        <w:t> </w:t>
      </w:r>
      <w:r>
        <w:rPr/>
        <w:t>hulls</w:t>
      </w:r>
      <w:r>
        <w:rPr>
          <w:spacing w:val="-4"/>
        </w:rPr>
        <w:t> </w:t>
      </w:r>
      <w:r>
        <w:rPr/>
        <w:t>and</w:t>
      </w:r>
      <w:r>
        <w:rPr>
          <w:spacing w:val="-4"/>
        </w:rPr>
        <w:t> </w:t>
      </w:r>
      <w:r>
        <w:rPr/>
        <w:t>offshore</w:t>
      </w:r>
      <w:r>
        <w:rPr>
          <w:spacing w:val="-4"/>
        </w:rPr>
        <w:t> </w:t>
      </w:r>
      <w:r>
        <w:rPr/>
        <w:t>platforms</w:t>
      </w:r>
      <w:r>
        <w:rPr>
          <w:spacing w:val="-4"/>
        </w:rPr>
        <w:t> </w:t>
      </w:r>
      <w:r>
        <w:rPr/>
        <w:t>that require resistance to brittle fracture in arctic environments and improved corrosion resistance against chloride attack.</w:t>
      </w:r>
    </w:p>
    <w:p>
      <w:pPr>
        <w:pStyle w:val="BodyText"/>
        <w:ind w:left="1984" w:right="724"/>
        <w:jc w:val="both"/>
      </w:pPr>
      <w:r>
        <w:rPr/>
        <w:t>Automotive Safety</w:t>
      </w:r>
      <w:r>
        <w:rPr>
          <w:spacing w:val="-5"/>
        </w:rPr>
        <w:t> </w:t>
      </w:r>
      <w:r>
        <w:rPr/>
        <w:t>Components:</w:t>
      </w:r>
      <w:r>
        <w:rPr>
          <w:spacing w:val="-5"/>
        </w:rPr>
        <w:t> </w:t>
      </w:r>
      <w:r>
        <w:rPr/>
        <w:t>Structural</w:t>
      </w:r>
      <w:r>
        <w:rPr>
          <w:spacing w:val="-5"/>
        </w:rPr>
        <w:t> </w:t>
      </w:r>
      <w:r>
        <w:rPr/>
        <w:t>parts</w:t>
      </w:r>
      <w:r>
        <w:rPr>
          <w:spacing w:val="-5"/>
        </w:rPr>
        <w:t> </w:t>
      </w:r>
      <w:r>
        <w:rPr/>
        <w:t>requiring</w:t>
      </w:r>
      <w:r>
        <w:rPr>
          <w:spacing w:val="-5"/>
        </w:rPr>
        <w:t> </w:t>
      </w:r>
      <w:r>
        <w:rPr/>
        <w:t>high</w:t>
      </w:r>
      <w:r>
        <w:rPr>
          <w:spacing w:val="-5"/>
        </w:rPr>
        <w:t> </w:t>
      </w:r>
      <w:r>
        <w:rPr/>
        <w:t>energy</w:t>
      </w:r>
      <w:r>
        <w:rPr>
          <w:spacing w:val="-5"/>
        </w:rPr>
        <w:t> </w:t>
      </w:r>
      <w:r>
        <w:rPr/>
        <w:t>absorption</w:t>
      </w:r>
      <w:r>
        <w:rPr>
          <w:spacing w:val="-5"/>
        </w:rPr>
        <w:t> </w:t>
      </w:r>
      <w:r>
        <w:rPr/>
        <w:t>during</w:t>
      </w:r>
      <w:r>
        <w:rPr>
          <w:spacing w:val="-5"/>
        </w:rPr>
        <w:t> </w:t>
      </w:r>
      <w:r>
        <w:rPr/>
        <w:t>crash events, leveraging the TWIP effect.</w:t>
      </w:r>
    </w:p>
    <w:p>
      <w:pPr>
        <w:pStyle w:val="BodyText"/>
        <w:spacing w:before="240"/>
      </w:pPr>
    </w:p>
    <w:p>
      <w:pPr>
        <w:pStyle w:val="Heading4"/>
        <w:numPr>
          <w:ilvl w:val="1"/>
          <w:numId w:val="2"/>
        </w:numPr>
        <w:tabs>
          <w:tab w:pos="2461" w:val="left" w:leader="none"/>
        </w:tabs>
        <w:spacing w:line="240" w:lineRule="auto" w:before="0" w:after="0"/>
        <w:ind w:left="2461" w:right="0" w:hanging="477"/>
        <w:jc w:val="left"/>
      </w:pPr>
      <w:bookmarkStart w:name="_TOC_250001" w:id="19"/>
      <w:bookmarkEnd w:id="19"/>
      <w:r>
        <w:rPr>
          <w:spacing w:val="-2"/>
        </w:rPr>
        <w:t>Motivation</w:t>
      </w:r>
    </w:p>
    <w:p>
      <w:pPr>
        <w:pStyle w:val="BodyText"/>
        <w:spacing w:before="176"/>
        <w:ind w:left="1984" w:right="719"/>
        <w:jc w:val="both"/>
      </w:pPr>
      <w:r>
        <w:rPr/>
        <w:t>The motivation for this research stems from the pressing need to optimize High </w:t>
      </w:r>
      <w:r>
        <w:rPr/>
        <w:t>Manganese Steels for next-generation energy infrastructure. While the benefits of HMS are known, the variability in their mechanical performance due to casting defects and inclusion morphology remains a barrier to widespread adoption. Furthermore, while the effect of Ce has been studied</w:t>
      </w:r>
    </w:p>
    <w:p>
      <w:pPr>
        <w:pStyle w:val="BodyText"/>
        <w:spacing w:after="0"/>
        <w:jc w:val="both"/>
        <w:sectPr>
          <w:headerReference w:type="default" r:id="rId8"/>
          <w:pgSz w:w="12240" w:h="15840"/>
          <w:pgMar w:header="470" w:footer="0" w:top="720" w:bottom="280" w:left="0" w:right="360"/>
        </w:sectPr>
      </w:pPr>
    </w:p>
    <w:p>
      <w:pPr>
        <w:pStyle w:val="BodyText"/>
      </w:pPr>
    </w:p>
    <w:p>
      <w:pPr>
        <w:pStyle w:val="BodyText"/>
        <w:ind w:left="1984" w:right="723"/>
        <w:jc w:val="both"/>
      </w:pPr>
      <w:r>
        <w:rPr/>
        <w:t>in bearing steels and ferritic grades, its systematic influence on the twin-density </w:t>
      </w:r>
      <w:r>
        <w:rPr/>
        <w:t>and recrystallization</w:t>
      </w:r>
      <w:r>
        <w:rPr>
          <w:spacing w:val="40"/>
        </w:rPr>
        <w:t> </w:t>
      </w:r>
      <w:r>
        <w:rPr/>
        <w:t>behavior</w:t>
      </w:r>
      <w:r>
        <w:rPr>
          <w:spacing w:val="40"/>
        </w:rPr>
        <w:t> </w:t>
      </w:r>
      <w:r>
        <w:rPr/>
        <w:t>of</w:t>
      </w:r>
      <w:r>
        <w:rPr>
          <w:spacing w:val="40"/>
        </w:rPr>
        <w:t> </w:t>
      </w:r>
      <w:r>
        <w:rPr/>
        <w:t>high-carbon,</w:t>
      </w:r>
      <w:r>
        <w:rPr>
          <w:spacing w:val="40"/>
        </w:rPr>
        <w:t> </w:t>
      </w:r>
      <w:r>
        <w:rPr/>
        <w:t>high-manganese</w:t>
      </w:r>
      <w:r>
        <w:rPr>
          <w:spacing w:val="40"/>
        </w:rPr>
        <w:t> </w:t>
      </w:r>
      <w:r>
        <w:rPr/>
        <w:t>austenitic</w:t>
      </w:r>
      <w:r>
        <w:rPr>
          <w:spacing w:val="40"/>
        </w:rPr>
        <w:t> </w:t>
      </w:r>
      <w:r>
        <w:rPr/>
        <w:t>systems</w:t>
      </w:r>
      <w:r>
        <w:rPr>
          <w:spacing w:val="40"/>
        </w:rPr>
        <w:t> </w:t>
      </w:r>
      <w:r>
        <w:rPr/>
        <w:t>remains</w:t>
      </w:r>
      <w:r>
        <w:rPr>
          <w:spacing w:val="40"/>
        </w:rPr>
        <w:t> </w:t>
      </w:r>
      <w:r>
        <w:rPr/>
        <w:t>under-explored.</w:t>
      </w:r>
      <w:r>
        <w:rPr>
          <w:spacing w:val="80"/>
          <w:w w:val="150"/>
        </w:rPr>
        <w:t> </w:t>
      </w:r>
      <w:r>
        <w:rPr/>
        <w:t>Addressing</w:t>
      </w:r>
      <w:r>
        <w:rPr>
          <w:spacing w:val="80"/>
          <w:w w:val="150"/>
        </w:rPr>
        <w:t> </w:t>
      </w:r>
      <w:r>
        <w:rPr/>
        <w:t>this</w:t>
      </w:r>
      <w:r>
        <w:rPr>
          <w:spacing w:val="80"/>
          <w:w w:val="150"/>
        </w:rPr>
        <w:t> </w:t>
      </w:r>
      <w:r>
        <w:rPr/>
        <w:t>gap</w:t>
      </w:r>
      <w:r>
        <w:rPr>
          <w:spacing w:val="80"/>
          <w:w w:val="150"/>
        </w:rPr>
        <w:t> </w:t>
      </w:r>
      <w:r>
        <w:rPr/>
        <w:t>offers</w:t>
      </w:r>
      <w:r>
        <w:rPr>
          <w:spacing w:val="80"/>
          <w:w w:val="150"/>
        </w:rPr>
        <w:t> </w:t>
      </w:r>
      <w:r>
        <w:rPr/>
        <w:t>the</w:t>
      </w:r>
      <w:r>
        <w:rPr>
          <w:spacing w:val="80"/>
          <w:w w:val="150"/>
        </w:rPr>
        <w:t> </w:t>
      </w:r>
      <w:r>
        <w:rPr/>
        <w:t>potential</w:t>
      </w:r>
      <w:r>
        <w:rPr>
          <w:spacing w:val="80"/>
          <w:w w:val="150"/>
        </w:rPr>
        <w:t> </w:t>
      </w:r>
      <w:r>
        <w:rPr/>
        <w:t>to</w:t>
      </w:r>
      <w:r>
        <w:rPr>
          <w:spacing w:val="80"/>
          <w:w w:val="150"/>
        </w:rPr>
        <w:t> </w:t>
      </w:r>
      <w:r>
        <w:rPr/>
        <w:t>develop</w:t>
      </w:r>
      <w:r>
        <w:rPr>
          <w:spacing w:val="80"/>
          <w:w w:val="150"/>
        </w:rPr>
        <w:t> </w:t>
      </w:r>
      <w:r>
        <w:rPr/>
        <w:t>a</w:t>
      </w:r>
      <w:r>
        <w:rPr>
          <w:spacing w:val="80"/>
          <w:w w:val="150"/>
        </w:rPr>
        <w:t> </w:t>
      </w:r>
      <w:r>
        <w:rPr/>
        <w:t>low-cost,</w:t>
      </w:r>
      <w:r>
        <w:rPr>
          <w:spacing w:val="40"/>
        </w:rPr>
        <w:t> </w:t>
      </w:r>
      <w:r>
        <w:rPr/>
        <w:t>high-performance material that can replace expensive high-nickel alloys, contributing to economic efficiency in the energy sector.</w:t>
      </w:r>
    </w:p>
    <w:p>
      <w:pPr>
        <w:pStyle w:val="BodyText"/>
        <w:spacing w:after="0"/>
        <w:jc w:val="both"/>
        <w:sectPr>
          <w:headerReference w:type="default" r:id="rId9"/>
          <w:pgSz w:w="12240" w:h="15840"/>
          <w:pgMar w:header="746" w:footer="0" w:top="1000" w:bottom="280" w:left="0" w:right="360"/>
        </w:sectPr>
      </w:pPr>
    </w:p>
    <w:p>
      <w:pPr>
        <w:pStyle w:val="Heading2"/>
        <w:numPr>
          <w:ilvl w:val="0"/>
          <w:numId w:val="2"/>
        </w:numPr>
        <w:tabs>
          <w:tab w:pos="2344" w:val="left" w:leader="none"/>
        </w:tabs>
        <w:spacing w:line="240" w:lineRule="auto" w:before="208" w:after="0"/>
        <w:ind w:left="2344" w:right="0" w:hanging="360"/>
        <w:jc w:val="left"/>
      </w:pPr>
      <w:bookmarkStart w:name="_TOC_250000" w:id="20"/>
      <w:r>
        <w:rPr/>
        <w:t>Literature</w:t>
      </w:r>
      <w:r>
        <w:rPr>
          <w:spacing w:val="-7"/>
        </w:rPr>
        <w:t> </w:t>
      </w:r>
      <w:bookmarkEnd w:id="20"/>
      <w:r>
        <w:rPr>
          <w:spacing w:val="-2"/>
        </w:rPr>
        <w:t>Survey</w:t>
      </w:r>
    </w:p>
    <w:p>
      <w:pPr>
        <w:pStyle w:val="Heading4"/>
        <w:numPr>
          <w:ilvl w:val="1"/>
          <w:numId w:val="2"/>
        </w:numPr>
        <w:tabs>
          <w:tab w:pos="2461" w:val="left" w:leader="none"/>
        </w:tabs>
        <w:spacing w:line="240" w:lineRule="auto" w:before="182" w:after="0"/>
        <w:ind w:left="2461" w:right="0" w:hanging="477"/>
        <w:jc w:val="left"/>
      </w:pPr>
      <w:r>
        <w:rPr/>
        <w:t>Effect</w:t>
      </w:r>
      <w:r>
        <w:rPr>
          <w:spacing w:val="-9"/>
        </w:rPr>
        <w:t> </w:t>
      </w:r>
      <w:r>
        <w:rPr/>
        <w:t>of</w:t>
      </w:r>
      <w:r>
        <w:rPr>
          <w:spacing w:val="-9"/>
        </w:rPr>
        <w:t> </w:t>
      </w:r>
      <w:r>
        <w:rPr/>
        <w:t>Different</w:t>
      </w:r>
      <w:r>
        <w:rPr>
          <w:spacing w:val="-9"/>
        </w:rPr>
        <w:t> </w:t>
      </w:r>
      <w:r>
        <w:rPr/>
        <w:t>Alloying</w:t>
      </w:r>
      <w:r>
        <w:rPr>
          <w:spacing w:val="-8"/>
        </w:rPr>
        <w:t> </w:t>
      </w:r>
      <w:r>
        <w:rPr>
          <w:spacing w:val="-2"/>
        </w:rPr>
        <w:t>Elements</w:t>
      </w:r>
    </w:p>
    <w:p>
      <w:pPr>
        <w:pStyle w:val="BodyText"/>
        <w:spacing w:before="175"/>
        <w:ind w:left="1984" w:right="730"/>
        <w:jc w:val="both"/>
      </w:pPr>
      <w:r>
        <w:rPr/>
        <w:t>The mechanical and chemical behavior of steel is intricately dictated</w:t>
      </w:r>
      <w:r>
        <w:rPr>
          <w:spacing w:val="-4"/>
        </w:rPr>
        <w:t> </w:t>
      </w:r>
      <w:r>
        <w:rPr/>
        <w:t>by</w:t>
      </w:r>
      <w:r>
        <w:rPr>
          <w:spacing w:val="-4"/>
        </w:rPr>
        <w:t> </w:t>
      </w:r>
      <w:r>
        <w:rPr/>
        <w:t>its</w:t>
      </w:r>
      <w:r>
        <w:rPr>
          <w:spacing w:val="-4"/>
        </w:rPr>
        <w:t> </w:t>
      </w:r>
      <w:r>
        <w:rPr/>
        <w:t>alloy</w:t>
      </w:r>
      <w:r>
        <w:rPr>
          <w:spacing w:val="-4"/>
        </w:rPr>
        <w:t> </w:t>
      </w:r>
      <w:r>
        <w:rPr/>
        <w:t>chemistry.</w:t>
      </w:r>
      <w:r>
        <w:rPr>
          <w:spacing w:val="-4"/>
        </w:rPr>
        <w:t> </w:t>
      </w:r>
      <w:r>
        <w:rPr/>
        <w:t>In the context of High Manganese Steels, several elements play critical roles:</w:t>
      </w:r>
    </w:p>
    <w:p>
      <w:pPr>
        <w:pStyle w:val="BodyText"/>
        <w:ind w:left="1984" w:right="720"/>
        <w:jc w:val="both"/>
      </w:pPr>
      <w:r>
        <w:rPr/>
        <w:t>Carbon (C): An essential austenite stabilizer and solid solution strengthener. In HMS, </w:t>
      </w:r>
      <w:r>
        <w:rPr/>
        <w:t>carbon expands the austenite phase field and lowers the Martensite Start (Ms) temperature, ensuring the stability of the FCC structure. However, excessive carbon can lead to the precipitation of grain boundary carbides (cementite), which embrittle the material.</w:t>
      </w:r>
    </w:p>
    <w:p>
      <w:pPr>
        <w:pStyle w:val="BodyText"/>
        <w:ind w:left="1984" w:right="720"/>
        <w:jc w:val="both"/>
      </w:pPr>
      <w:r>
        <w:rPr/>
        <w:t>Silicon (Si): Acts as a solid solution strengthener and a deoxidizer. Silicon </w:t>
      </w:r>
      <w:r>
        <w:rPr/>
        <w:t>significantly influences the Stacking Fault Energy (SFE). While it strengthens the ferrite in dual-phase steels, in austenitic HMS, it can lower the SFE(Stacking Fault Energy)</w:t>
      </w:r>
    </w:p>
    <w:p>
      <w:pPr>
        <w:pStyle w:val="BodyText"/>
        <w:ind w:left="1984" w:right="718"/>
        <w:jc w:val="both"/>
      </w:pPr>
      <w:r>
        <w:rPr/>
        <w:t>Manganese (Mn): The defining element of this class of steels. Mn is a substitutional</w:t>
      </w:r>
      <w:r>
        <w:rPr>
          <w:spacing w:val="-3"/>
        </w:rPr>
        <w:t> </w:t>
      </w:r>
      <w:r>
        <w:rPr/>
        <w:t>austenite stabilizer. It lowers the SFE, promoting TWIP/TRIP mechanisms. High levels of Mn are required to suppress the kinetics of ferritic transformation upon cooling, ensuring a fully austenitic structure at room temperature.</w:t>
      </w:r>
    </w:p>
    <w:p>
      <w:pPr>
        <w:pStyle w:val="BodyText"/>
      </w:pPr>
    </w:p>
    <w:p>
      <w:pPr>
        <w:pStyle w:val="BodyText"/>
        <w:ind w:left="1984" w:right="721"/>
        <w:jc w:val="both"/>
      </w:pPr>
      <w:r>
        <w:rPr/>
        <w:t>Recent literature has systematically explored various microalloying additions to </w:t>
      </w:r>
      <w:r>
        <w:rPr/>
        <w:t>further enhance HMS performance.</w:t>
      </w:r>
    </w:p>
    <w:p>
      <w:pPr>
        <w:pStyle w:val="BodyText"/>
      </w:pPr>
    </w:p>
    <w:p>
      <w:pPr>
        <w:pStyle w:val="Heading6"/>
        <w:numPr>
          <w:ilvl w:val="2"/>
          <w:numId w:val="3"/>
        </w:numPr>
        <w:tabs>
          <w:tab w:pos="2609" w:val="left" w:leader="none"/>
        </w:tabs>
        <w:spacing w:line="240" w:lineRule="auto" w:before="0" w:after="0"/>
        <w:ind w:left="2609" w:right="0" w:hanging="625"/>
        <w:jc w:val="left"/>
      </w:pPr>
      <w:r>
        <w:rPr/>
        <w:t>Effect</w:t>
      </w:r>
      <w:r>
        <w:rPr>
          <w:spacing w:val="-9"/>
        </w:rPr>
        <w:t> </w:t>
      </w:r>
      <w:r>
        <w:rPr/>
        <w:t>of</w:t>
      </w:r>
      <w:r>
        <w:rPr>
          <w:spacing w:val="-9"/>
        </w:rPr>
        <w:t> </w:t>
      </w:r>
      <w:r>
        <w:rPr/>
        <w:t>Chromium</w:t>
      </w:r>
      <w:r>
        <w:rPr>
          <w:spacing w:val="-8"/>
        </w:rPr>
        <w:t> </w:t>
      </w:r>
      <w:r>
        <w:rPr>
          <w:spacing w:val="-4"/>
        </w:rPr>
        <w:t>(Cr)</w:t>
      </w:r>
    </w:p>
    <w:p>
      <w:pPr>
        <w:pStyle w:val="BodyText"/>
        <w:rPr>
          <w:i/>
          <w:sz w:val="28"/>
        </w:rPr>
      </w:pPr>
    </w:p>
    <w:p>
      <w:pPr>
        <w:pStyle w:val="BodyText"/>
        <w:ind w:left="1984" w:right="718"/>
        <w:jc w:val="both"/>
      </w:pPr>
      <w:r>
        <w:rPr/>
        <w:t>Chromium is often added to HMS to improve corrosion resistance and hardness. </w:t>
      </w:r>
      <w:r>
        <w:rPr/>
        <w:t>Studies indicate that Cr additions contribute to solid solution strengthening and can form M23C6 carbides, which enhance wear resistance.</w:t>
      </w:r>
      <w:r>
        <w:rPr>
          <w:spacing w:val="-3"/>
        </w:rPr>
        <w:t> </w:t>
      </w:r>
      <w:r>
        <w:rPr/>
        <w:t>Furthermore,</w:t>
      </w:r>
      <w:r>
        <w:rPr>
          <w:spacing w:val="-3"/>
        </w:rPr>
        <w:t> </w:t>
      </w:r>
      <w:r>
        <w:rPr/>
        <w:t>Cr</w:t>
      </w:r>
      <w:r>
        <w:rPr>
          <w:spacing w:val="-3"/>
        </w:rPr>
        <w:t> </w:t>
      </w:r>
      <w:r>
        <w:rPr/>
        <w:t>facilitates</w:t>
      </w:r>
      <w:r>
        <w:rPr>
          <w:spacing w:val="-3"/>
        </w:rPr>
        <w:t> </w:t>
      </w:r>
      <w:r>
        <w:rPr/>
        <w:t>the</w:t>
      </w:r>
      <w:r>
        <w:rPr>
          <w:spacing w:val="-3"/>
        </w:rPr>
        <w:t> </w:t>
      </w:r>
      <w:r>
        <w:rPr/>
        <w:t>formation</w:t>
      </w:r>
      <w:r>
        <w:rPr>
          <w:spacing w:val="-3"/>
        </w:rPr>
        <w:t> </w:t>
      </w:r>
      <w:r>
        <w:rPr/>
        <w:t>of</w:t>
      </w:r>
      <w:r>
        <w:rPr>
          <w:spacing w:val="-3"/>
        </w:rPr>
        <w:t> </w:t>
      </w:r>
      <w:r>
        <w:rPr/>
        <w:t>a</w:t>
      </w:r>
      <w:r>
        <w:rPr>
          <w:spacing w:val="-3"/>
        </w:rPr>
        <w:t> </w:t>
      </w:r>
      <w:r>
        <w:rPr/>
        <w:t>passive oxide film, mitigating the poor corrosion resistance typically associated with plain Fe-Mn-C </w:t>
      </w:r>
      <w:r>
        <w:rPr>
          <w:spacing w:val="-2"/>
        </w:rPr>
        <w:t>alloys.</w:t>
      </w:r>
    </w:p>
    <w:p>
      <w:pPr>
        <w:pStyle w:val="BodyText"/>
        <w:spacing w:before="46"/>
      </w:pPr>
    </w:p>
    <w:p>
      <w:pPr>
        <w:pStyle w:val="Heading6"/>
        <w:numPr>
          <w:ilvl w:val="2"/>
          <w:numId w:val="3"/>
        </w:numPr>
        <w:tabs>
          <w:tab w:pos="2609" w:val="left" w:leader="none"/>
        </w:tabs>
        <w:spacing w:line="240" w:lineRule="auto" w:before="0" w:after="0"/>
        <w:ind w:left="2609" w:right="0" w:hanging="625"/>
        <w:jc w:val="left"/>
      </w:pPr>
      <w:r>
        <w:rPr/>
        <w:t>Effect</w:t>
      </w:r>
      <w:r>
        <w:rPr>
          <w:spacing w:val="-5"/>
        </w:rPr>
        <w:t> </w:t>
      </w:r>
      <w:r>
        <w:rPr/>
        <w:t>of</w:t>
      </w:r>
      <w:r>
        <w:rPr>
          <w:spacing w:val="-5"/>
        </w:rPr>
        <w:t> </w:t>
      </w:r>
      <w:r>
        <w:rPr/>
        <w:t>Nickel</w:t>
      </w:r>
      <w:r>
        <w:rPr>
          <w:spacing w:val="-4"/>
        </w:rPr>
        <w:t> (Ni)</w:t>
      </w:r>
    </w:p>
    <w:p>
      <w:pPr>
        <w:pStyle w:val="BodyText"/>
        <w:rPr>
          <w:i/>
          <w:sz w:val="28"/>
        </w:rPr>
      </w:pPr>
    </w:p>
    <w:p>
      <w:pPr>
        <w:pStyle w:val="BodyText"/>
        <w:ind w:left="1984"/>
        <w:jc w:val="both"/>
      </w:pPr>
      <w:r>
        <w:rPr/>
        <w:t>Nickel is a critical element in this case. It is an austenite </w:t>
      </w:r>
      <w:r>
        <w:rPr>
          <w:spacing w:val="-2"/>
        </w:rPr>
        <w:t>stabilizer.</w:t>
      </w:r>
    </w:p>
    <w:p>
      <w:pPr>
        <w:pStyle w:val="BodyText"/>
        <w:spacing w:before="46"/>
      </w:pPr>
    </w:p>
    <w:p>
      <w:pPr>
        <w:pStyle w:val="Heading4"/>
        <w:ind w:left="1984" w:firstLine="0"/>
      </w:pPr>
      <w:r>
        <w:rPr/>
        <w:t>2.3</w:t>
      </w:r>
      <w:r>
        <w:rPr>
          <w:spacing w:val="-7"/>
        </w:rPr>
        <w:t> </w:t>
      </w:r>
      <w:r>
        <w:rPr/>
        <w:t>The</w:t>
      </w:r>
      <w:r>
        <w:rPr>
          <w:spacing w:val="-4"/>
        </w:rPr>
        <w:t> </w:t>
      </w:r>
      <w:r>
        <w:rPr/>
        <w:t>Specific</w:t>
      </w:r>
      <w:r>
        <w:rPr>
          <w:spacing w:val="-4"/>
        </w:rPr>
        <w:t> </w:t>
      </w:r>
      <w:r>
        <w:rPr/>
        <w:t>Role</w:t>
      </w:r>
      <w:r>
        <w:rPr>
          <w:spacing w:val="-5"/>
        </w:rPr>
        <w:t> </w:t>
      </w:r>
      <w:r>
        <w:rPr/>
        <w:t>of</w:t>
      </w:r>
      <w:r>
        <w:rPr>
          <w:spacing w:val="-4"/>
        </w:rPr>
        <w:t> </w:t>
      </w:r>
      <w:r>
        <w:rPr/>
        <w:t>Cerium</w:t>
      </w:r>
      <w:r>
        <w:rPr>
          <w:spacing w:val="-4"/>
        </w:rPr>
        <w:t> (Ce)</w:t>
      </w:r>
    </w:p>
    <w:p>
      <w:pPr>
        <w:pStyle w:val="BodyText"/>
        <w:spacing w:before="345"/>
        <w:ind w:left="1984" w:right="719"/>
        <w:jc w:val="both"/>
      </w:pPr>
      <w:r>
        <w:rPr/>
        <w:t>While the elements above are standard, the role of Rare Earth elements, specifically </w:t>
      </w:r>
      <w:r>
        <w:rPr/>
        <w:t>Cerium, holds importance in HMS research. Literature on Cr4Mo4V bearing steels and</w:t>
      </w:r>
      <w:r>
        <w:rPr>
          <w:spacing w:val="-3"/>
        </w:rPr>
        <w:t> </w:t>
      </w:r>
      <w:r>
        <w:rPr/>
        <w:t>High-Mn</w:t>
      </w:r>
      <w:r>
        <w:rPr>
          <w:spacing w:val="-3"/>
        </w:rPr>
        <w:t> </w:t>
      </w:r>
      <w:r>
        <w:rPr/>
        <w:t>weld metals provides a theoretical foundation for this study.</w:t>
      </w:r>
    </w:p>
    <w:p>
      <w:pPr>
        <w:pStyle w:val="BodyText"/>
      </w:pPr>
    </w:p>
    <w:p>
      <w:pPr>
        <w:pStyle w:val="BodyText"/>
        <w:ind w:left="1984" w:right="718"/>
        <w:jc w:val="both"/>
      </w:pPr>
      <w:r>
        <w:rPr>
          <w:i/>
        </w:rPr>
        <w:t>Research by Liu et al. on Cr4Mo4V steel </w:t>
      </w:r>
      <w:r>
        <w:rPr/>
        <w:t>demonstrates that Ce addition (0.056 </w:t>
      </w:r>
      <w:r>
        <w:rPr/>
        <w:t>wt.%) transforms network-like primary</w:t>
      </w:r>
      <w:r>
        <w:rPr>
          <w:spacing w:val="-4"/>
        </w:rPr>
        <w:t> </w:t>
      </w:r>
      <w:r>
        <w:rPr/>
        <w:t>carbides</w:t>
      </w:r>
      <w:r>
        <w:rPr>
          <w:spacing w:val="-4"/>
        </w:rPr>
        <w:t> </w:t>
      </w:r>
      <w:r>
        <w:rPr/>
        <w:t>and</w:t>
      </w:r>
      <w:r>
        <w:rPr>
          <w:spacing w:val="-4"/>
        </w:rPr>
        <w:t> </w:t>
      </w:r>
      <w:r>
        <w:rPr/>
        <w:t>irregular</w:t>
      </w:r>
      <w:r>
        <w:rPr>
          <w:spacing w:val="-4"/>
        </w:rPr>
        <w:t> </w:t>
      </w:r>
      <w:r>
        <w:rPr/>
        <w:t>inclusions</w:t>
      </w:r>
      <w:r>
        <w:rPr>
          <w:spacing w:val="-4"/>
        </w:rPr>
        <w:t> </w:t>
      </w:r>
      <w:r>
        <w:rPr/>
        <w:t>into</w:t>
      </w:r>
      <w:r>
        <w:rPr>
          <w:spacing w:val="-4"/>
        </w:rPr>
        <w:t> </w:t>
      </w:r>
      <w:r>
        <w:rPr/>
        <w:t>dispersed,</w:t>
      </w:r>
      <w:r>
        <w:rPr>
          <w:spacing w:val="-4"/>
        </w:rPr>
        <w:t> </w:t>
      </w:r>
      <w:r>
        <w:rPr/>
        <w:t>fine</w:t>
      </w:r>
      <w:r>
        <w:rPr>
          <w:spacing w:val="-4"/>
        </w:rPr>
        <w:t> </w:t>
      </w:r>
      <w:r>
        <w:rPr/>
        <w:t>particles. Ce reacts with Oxygen and Sulfur to form Ce_2O_3, Ce_2O_2, and Ce. The standard Gibbs free energy of formation for these compounds</w:t>
      </w:r>
      <w:r>
        <w:rPr>
          <w:spacing w:val="-3"/>
        </w:rPr>
        <w:t> </w:t>
      </w:r>
      <w:r>
        <w:rPr/>
        <w:t>is</w:t>
      </w:r>
      <w:r>
        <w:rPr>
          <w:spacing w:val="-3"/>
        </w:rPr>
        <w:t> </w:t>
      </w:r>
      <w:r>
        <w:rPr/>
        <w:t>significantly</w:t>
      </w:r>
      <w:r>
        <w:rPr>
          <w:spacing w:val="-3"/>
        </w:rPr>
        <w:t> </w:t>
      </w:r>
      <w:r>
        <w:rPr/>
        <w:t>more</w:t>
      </w:r>
      <w:r>
        <w:rPr>
          <w:spacing w:val="-3"/>
        </w:rPr>
        <w:t> </w:t>
      </w:r>
      <w:r>
        <w:rPr/>
        <w:t>negative</w:t>
      </w:r>
      <w:r>
        <w:rPr>
          <w:spacing w:val="-3"/>
        </w:rPr>
        <w:t> </w:t>
      </w:r>
      <w:r>
        <w:rPr/>
        <w:t>than</w:t>
      </w:r>
      <w:r>
        <w:rPr>
          <w:spacing w:val="-3"/>
        </w:rPr>
        <w:t> </w:t>
      </w:r>
      <w:r>
        <w:rPr/>
        <w:t>for</w:t>
      </w:r>
      <w:r>
        <w:rPr>
          <w:spacing w:val="-3"/>
        </w:rPr>
        <w:t> </w:t>
      </w:r>
      <w:r>
        <w:rPr/>
        <w:t>Al_2O_3 or MnS, meaning Ce will scavenge O and S from the melt effectively.</w:t>
      </w:r>
    </w:p>
    <w:p>
      <w:pPr>
        <w:pStyle w:val="BodyText"/>
      </w:pPr>
    </w:p>
    <w:p>
      <w:pPr>
        <w:pStyle w:val="BodyText"/>
        <w:ind w:left="1984"/>
        <w:jc w:val="both"/>
      </w:pPr>
      <w:r>
        <w:rPr/>
        <w:t>The</w:t>
      </w:r>
      <w:r>
        <w:rPr>
          <w:spacing w:val="-1"/>
        </w:rPr>
        <w:t> </w:t>
      </w:r>
      <w:r>
        <w:rPr/>
        <w:t>efficacy of an</w:t>
      </w:r>
      <w:r>
        <w:rPr>
          <w:spacing w:val="-1"/>
        </w:rPr>
        <w:t> </w:t>
      </w:r>
      <w:r>
        <w:rPr/>
        <w:t>inclusion as a</w:t>
      </w:r>
      <w:r>
        <w:rPr>
          <w:spacing w:val="-1"/>
        </w:rPr>
        <w:t> </w:t>
      </w:r>
      <w:r>
        <w:rPr/>
        <w:t>nucleus is governed</w:t>
      </w:r>
      <w:r>
        <w:rPr>
          <w:spacing w:val="-1"/>
        </w:rPr>
        <w:t> </w:t>
      </w:r>
      <w:r>
        <w:rPr/>
        <w:t>by the planar</w:t>
      </w:r>
      <w:r>
        <w:rPr>
          <w:spacing w:val="-1"/>
        </w:rPr>
        <w:t> </w:t>
      </w:r>
      <w:r>
        <w:rPr/>
        <w:t>lattice disregistry </w:t>
      </w:r>
      <w:r>
        <w:rPr>
          <w:spacing w:val="-2"/>
        </w:rPr>
        <w:t>(delta)</w:t>
      </w:r>
    </w:p>
    <w:p>
      <w:pPr>
        <w:pStyle w:val="BodyText"/>
        <w:spacing w:after="0"/>
        <w:jc w:val="both"/>
        <w:sectPr>
          <w:headerReference w:type="default" r:id="rId10"/>
          <w:pgSz w:w="12240" w:h="15840"/>
          <w:pgMar w:header="582" w:footer="0" w:top="840" w:bottom="280" w:left="0" w:right="360"/>
        </w:sectPr>
      </w:pPr>
    </w:p>
    <w:p>
      <w:pPr>
        <w:pStyle w:val="BodyText"/>
        <w:ind w:left="1984"/>
        <w:jc w:val="both"/>
      </w:pPr>
      <w:r>
        <w:rPr/>
        <w:t>between the inclusion and the solidifying matrix (gamma-</w:t>
      </w:r>
      <w:r>
        <w:rPr>
          <w:spacing w:val="-4"/>
        </w:rPr>
        <w:t>Fe).</w:t>
      </w:r>
    </w:p>
    <w:p>
      <w:pPr>
        <w:pStyle w:val="BodyText"/>
        <w:spacing w:before="276"/>
        <w:ind w:left="1984" w:right="726"/>
        <w:jc w:val="both"/>
      </w:pPr>
      <w:r>
        <w:rPr/>
        <w:t>Studies on High-Mn weld metals have confirmed that steels containing Ce-based </w:t>
      </w:r>
      <w:r>
        <w:rPr/>
        <w:t>inclusions exhibit significantly finer dendrite arm spacing compared to those dominated by alumina, attributed directly to this low-misfit heterogeneous nucleation.</w:t>
      </w:r>
    </w:p>
    <w:p>
      <w:pPr>
        <w:pStyle w:val="BodyText"/>
        <w:spacing w:after="0"/>
        <w:jc w:val="both"/>
        <w:sectPr>
          <w:headerReference w:type="default" r:id="rId11"/>
          <w:pgSz w:w="12240" w:h="15840"/>
          <w:pgMar w:header="470" w:footer="0" w:top="720" w:bottom="280" w:left="0" w:right="360"/>
        </w:sectPr>
      </w:pPr>
    </w:p>
    <w:p>
      <w:pPr>
        <w:pStyle w:val="Heading2"/>
        <w:numPr>
          <w:ilvl w:val="0"/>
          <w:numId w:val="2"/>
        </w:numPr>
        <w:tabs>
          <w:tab w:pos="2293" w:val="left" w:leader="none"/>
        </w:tabs>
        <w:spacing w:line="240" w:lineRule="auto" w:before="209" w:after="0"/>
        <w:ind w:left="2293" w:right="0" w:hanging="309"/>
        <w:jc w:val="left"/>
        <w:rPr>
          <w:rFonts w:ascii="Tahoma"/>
          <w:color w:val="1F1F1F"/>
          <w:sz w:val="34"/>
        </w:rPr>
      </w:pPr>
      <w:r>
        <w:rPr>
          <w:rFonts w:ascii="Tahoma"/>
          <w:color w:val="1F1F1F"/>
          <w:spacing w:val="-10"/>
        </w:rPr>
        <w:t>Experimental</w:t>
      </w:r>
      <w:r>
        <w:rPr>
          <w:rFonts w:ascii="Tahoma"/>
          <w:color w:val="1F1F1F"/>
          <w:spacing w:val="-5"/>
        </w:rPr>
        <w:t> </w:t>
      </w:r>
      <w:r>
        <w:rPr>
          <w:rFonts w:ascii="Tahoma"/>
          <w:color w:val="1F1F1F"/>
          <w:spacing w:val="-2"/>
        </w:rPr>
        <w:t>Procedure</w:t>
      </w:r>
    </w:p>
    <w:p>
      <w:pPr>
        <w:pStyle w:val="Heading4"/>
        <w:numPr>
          <w:ilvl w:val="1"/>
          <w:numId w:val="2"/>
        </w:numPr>
        <w:tabs>
          <w:tab w:pos="2439" w:val="left" w:leader="none"/>
        </w:tabs>
        <w:spacing w:line="240" w:lineRule="auto" w:before="205" w:after="0"/>
        <w:ind w:left="2439" w:right="0" w:hanging="455"/>
        <w:jc w:val="left"/>
        <w:rPr>
          <w:rFonts w:ascii="Tahoma"/>
          <w:color w:val="1F1F1F"/>
        </w:rPr>
      </w:pPr>
      <w:r>
        <w:rPr>
          <w:rFonts w:ascii="Tahoma"/>
          <w:color w:val="1F1F1F"/>
        </w:rPr>
        <w:t>High</w:t>
      </w:r>
      <w:r>
        <w:rPr>
          <w:rFonts w:ascii="Tahoma"/>
          <w:color w:val="1F1F1F"/>
          <w:spacing w:val="-4"/>
        </w:rPr>
        <w:t> </w:t>
      </w:r>
      <w:r>
        <w:rPr>
          <w:rFonts w:ascii="Tahoma"/>
          <w:color w:val="1F1F1F"/>
        </w:rPr>
        <w:t>Level</w:t>
      </w:r>
      <w:r>
        <w:rPr>
          <w:rFonts w:ascii="Tahoma"/>
          <w:color w:val="1F1F1F"/>
          <w:spacing w:val="-4"/>
        </w:rPr>
        <w:t> </w:t>
      </w:r>
      <w:r>
        <w:rPr>
          <w:rFonts w:ascii="Tahoma"/>
          <w:color w:val="1F1F1F"/>
          <w:spacing w:val="-2"/>
        </w:rPr>
        <w:t>Flowchart</w:t>
      </w:r>
    </w:p>
    <w:p>
      <w:pPr>
        <w:pStyle w:val="BodyText"/>
        <w:spacing w:before="128"/>
        <w:rPr>
          <w:rFonts w:ascii="Tahoma"/>
          <w:sz w:val="20"/>
        </w:rPr>
      </w:pPr>
      <w:r>
        <w:rPr>
          <w:rFonts w:ascii="Tahoma"/>
          <w:sz w:val="20"/>
        </w:rPr>
        <w:drawing>
          <wp:anchor distT="0" distB="0" distL="0" distR="0" allowOverlap="1" layoutInCell="1" locked="0" behindDoc="1" simplePos="0" relativeHeight="487589376">
            <wp:simplePos x="0" y="0"/>
            <wp:positionH relativeFrom="page">
              <wp:posOffset>212249</wp:posOffset>
            </wp:positionH>
            <wp:positionV relativeFrom="paragraph">
              <wp:posOffset>249969</wp:posOffset>
            </wp:positionV>
            <wp:extent cx="7198158" cy="2864072"/>
            <wp:effectExtent l="0" t="0" r="0" b="0"/>
            <wp:wrapTopAndBottom/>
            <wp:docPr id="9" name="Image 9" descr="A diagram of a diagram  AI-generated content may be incorrect."/>
            <wp:cNvGraphicFramePr>
              <a:graphicFrameLocks/>
            </wp:cNvGraphicFramePr>
            <a:graphic>
              <a:graphicData uri="http://schemas.openxmlformats.org/drawingml/2006/picture">
                <pic:pic>
                  <pic:nvPicPr>
                    <pic:cNvPr id="9" name="Image 9" descr="A diagram of a diagram  AI-generated content may be incorrect."/>
                    <pic:cNvPicPr/>
                  </pic:nvPicPr>
                  <pic:blipFill>
                    <a:blip r:embed="rId13" cstate="print"/>
                    <a:stretch>
                      <a:fillRect/>
                    </a:stretch>
                  </pic:blipFill>
                  <pic:spPr>
                    <a:xfrm>
                      <a:off x="0" y="0"/>
                      <a:ext cx="7198158" cy="2864072"/>
                    </a:xfrm>
                    <a:prstGeom prst="rect">
                      <a:avLst/>
                    </a:prstGeom>
                  </pic:spPr>
                </pic:pic>
              </a:graphicData>
            </a:graphic>
          </wp:anchor>
        </w:drawing>
      </w:r>
    </w:p>
    <w:p>
      <w:pPr>
        <w:pStyle w:val="BodyText"/>
        <w:rPr>
          <w:rFonts w:ascii="Tahoma"/>
          <w:sz w:val="32"/>
        </w:rPr>
      </w:pPr>
    </w:p>
    <w:p>
      <w:pPr>
        <w:pStyle w:val="BodyText"/>
        <w:spacing w:before="128"/>
        <w:rPr>
          <w:rFonts w:ascii="Tahoma"/>
          <w:sz w:val="32"/>
        </w:rPr>
      </w:pPr>
    </w:p>
    <w:p>
      <w:pPr>
        <w:spacing w:before="0"/>
        <w:ind w:left="1984" w:right="0" w:firstLine="0"/>
        <w:jc w:val="left"/>
        <w:rPr>
          <w:rFonts w:ascii="Tahoma"/>
          <w:sz w:val="20"/>
        </w:rPr>
      </w:pPr>
      <w:r>
        <w:rPr>
          <w:rFonts w:ascii="Tahoma"/>
          <w:color w:val="1F1F1F"/>
          <w:sz w:val="20"/>
        </w:rPr>
        <w:t>Fig.</w:t>
      </w:r>
      <w:r>
        <w:rPr>
          <w:rFonts w:ascii="Tahoma"/>
          <w:color w:val="1F1F1F"/>
          <w:spacing w:val="1"/>
          <w:sz w:val="20"/>
        </w:rPr>
        <w:t> </w:t>
      </w:r>
      <w:r>
        <w:rPr>
          <w:rFonts w:ascii="Tahoma"/>
          <w:color w:val="1F1F1F"/>
          <w:sz w:val="20"/>
        </w:rPr>
        <w:t>3.</w:t>
      </w:r>
      <w:r>
        <w:rPr>
          <w:rFonts w:ascii="Tahoma"/>
          <w:color w:val="1F1F1F"/>
          <w:spacing w:val="2"/>
          <w:sz w:val="20"/>
        </w:rPr>
        <w:t> </w:t>
      </w:r>
      <w:r>
        <w:rPr>
          <w:rFonts w:ascii="Tahoma"/>
          <w:color w:val="1F1F1F"/>
          <w:sz w:val="20"/>
        </w:rPr>
        <w:t>Schematic</w:t>
      </w:r>
      <w:r>
        <w:rPr>
          <w:rFonts w:ascii="Tahoma"/>
          <w:color w:val="1F1F1F"/>
          <w:spacing w:val="2"/>
          <w:sz w:val="20"/>
        </w:rPr>
        <w:t> </w:t>
      </w:r>
      <w:r>
        <w:rPr>
          <w:rFonts w:ascii="Tahoma"/>
          <w:color w:val="1F1F1F"/>
          <w:sz w:val="20"/>
        </w:rPr>
        <w:t>representation</w:t>
      </w:r>
      <w:r>
        <w:rPr>
          <w:rFonts w:ascii="Tahoma"/>
          <w:color w:val="1F1F1F"/>
          <w:spacing w:val="2"/>
          <w:sz w:val="20"/>
        </w:rPr>
        <w:t> </w:t>
      </w:r>
      <w:r>
        <w:rPr>
          <w:rFonts w:ascii="Tahoma"/>
          <w:color w:val="1F1F1F"/>
          <w:sz w:val="20"/>
        </w:rPr>
        <w:t>of</w:t>
      </w:r>
      <w:r>
        <w:rPr>
          <w:rFonts w:ascii="Tahoma"/>
          <w:color w:val="1F1F1F"/>
          <w:spacing w:val="2"/>
          <w:sz w:val="20"/>
        </w:rPr>
        <w:t> </w:t>
      </w:r>
      <w:r>
        <w:rPr>
          <w:rFonts w:ascii="Tahoma"/>
          <w:color w:val="1F1F1F"/>
          <w:sz w:val="20"/>
        </w:rPr>
        <w:t>the</w:t>
      </w:r>
      <w:r>
        <w:rPr>
          <w:rFonts w:ascii="Tahoma"/>
          <w:color w:val="1F1F1F"/>
          <w:spacing w:val="2"/>
          <w:sz w:val="20"/>
        </w:rPr>
        <w:t> </w:t>
      </w:r>
      <w:r>
        <w:rPr>
          <w:rFonts w:ascii="Tahoma"/>
          <w:color w:val="1F1F1F"/>
          <w:sz w:val="20"/>
        </w:rPr>
        <w:t>experimental</w:t>
      </w:r>
      <w:r>
        <w:rPr>
          <w:rFonts w:ascii="Tahoma"/>
          <w:color w:val="1F1F1F"/>
          <w:spacing w:val="2"/>
          <w:sz w:val="20"/>
        </w:rPr>
        <w:t> </w:t>
      </w:r>
      <w:r>
        <w:rPr>
          <w:rFonts w:ascii="Tahoma"/>
          <w:color w:val="1F1F1F"/>
          <w:spacing w:val="-2"/>
          <w:sz w:val="20"/>
        </w:rPr>
        <w:t>procedure</w:t>
      </w:r>
    </w:p>
    <w:p>
      <w:pPr>
        <w:pStyle w:val="BodyText"/>
        <w:rPr>
          <w:rFonts w:ascii="Tahoma"/>
          <w:sz w:val="20"/>
        </w:rPr>
      </w:pPr>
    </w:p>
    <w:p>
      <w:pPr>
        <w:pStyle w:val="BodyText"/>
        <w:spacing w:before="232"/>
        <w:rPr>
          <w:rFonts w:ascii="Tahoma"/>
          <w:sz w:val="20"/>
        </w:rPr>
      </w:pPr>
    </w:p>
    <w:p>
      <w:pPr>
        <w:pStyle w:val="Heading4"/>
        <w:numPr>
          <w:ilvl w:val="1"/>
          <w:numId w:val="2"/>
        </w:numPr>
        <w:tabs>
          <w:tab w:pos="2485" w:val="left" w:leader="none"/>
        </w:tabs>
        <w:spacing w:line="240" w:lineRule="auto" w:before="0" w:after="0"/>
        <w:ind w:left="2485" w:right="0" w:hanging="501"/>
        <w:jc w:val="left"/>
        <w:rPr>
          <w:rFonts w:ascii="Tahoma"/>
          <w:color w:val="1F1F1F"/>
        </w:rPr>
      </w:pPr>
      <w:r>
        <w:rPr>
          <w:rFonts w:ascii="Tahoma"/>
          <w:color w:val="1F1F1F"/>
          <w:spacing w:val="-2"/>
          <w:w w:val="105"/>
        </w:rPr>
        <w:t>Microstructural</w:t>
      </w:r>
      <w:r>
        <w:rPr>
          <w:rFonts w:ascii="Tahoma"/>
          <w:color w:val="1F1F1F"/>
          <w:spacing w:val="1"/>
          <w:w w:val="105"/>
        </w:rPr>
        <w:t> </w:t>
      </w:r>
      <w:r>
        <w:rPr>
          <w:rFonts w:ascii="Tahoma"/>
          <w:color w:val="1F1F1F"/>
          <w:spacing w:val="-2"/>
          <w:w w:val="105"/>
        </w:rPr>
        <w:t>Characterization</w:t>
      </w:r>
    </w:p>
    <w:p>
      <w:pPr>
        <w:pStyle w:val="Heading6"/>
        <w:spacing w:before="205"/>
        <w:ind w:left="1984" w:firstLine="0"/>
      </w:pPr>
      <w:r>
        <w:rPr/>
        <w:t>3.3.1</w:t>
      </w:r>
      <w:r>
        <w:rPr>
          <w:spacing w:val="54"/>
        </w:rPr>
        <w:t> </w:t>
      </w:r>
      <w:r>
        <w:rPr/>
        <w:t>Sample</w:t>
      </w:r>
      <w:r>
        <w:rPr>
          <w:spacing w:val="-8"/>
        </w:rPr>
        <w:t> </w:t>
      </w:r>
      <w:r>
        <w:rPr/>
        <w:t>Preparation</w:t>
      </w:r>
      <w:r>
        <w:rPr>
          <w:spacing w:val="-8"/>
        </w:rPr>
        <w:t> </w:t>
      </w:r>
      <w:r>
        <w:rPr>
          <w:spacing w:val="-10"/>
        </w:rPr>
        <w:t>:</w:t>
      </w:r>
    </w:p>
    <w:p>
      <w:pPr>
        <w:pStyle w:val="BodyText"/>
        <w:rPr>
          <w:i/>
          <w:sz w:val="28"/>
        </w:rPr>
      </w:pPr>
    </w:p>
    <w:p>
      <w:pPr>
        <w:pStyle w:val="BodyText"/>
        <w:ind w:left="1984" w:right="721"/>
        <w:jc w:val="both"/>
      </w:pPr>
      <w:r>
        <w:rPr/>
        <w:t>Specimens of certain dimensions were cut from the as received samples using Hand Cutter. Constant water was sprinkled on the sample so as to prevent microstructural changes due </w:t>
      </w:r>
      <w:r>
        <w:rPr/>
        <w:t>to high temperatures generated while cutting.</w:t>
      </w:r>
    </w:p>
    <w:p>
      <w:pPr>
        <w:pStyle w:val="BodyText"/>
        <w:ind w:left="1984" w:right="722"/>
        <w:jc w:val="both"/>
      </w:pPr>
      <w:r>
        <w:rPr/>
        <w:t>Surfaces of samples were made flat using Belt Grinder. A systematic grinding process </w:t>
      </w:r>
      <w:r>
        <w:rPr/>
        <w:t>was employed using Emery papers of increasing fineness: 220, 400, 600, 800, 1000, 1200, 1500, and 2000 grit. Emery papers were fixed on Disc polisher and samples we held against the rotating emery papers supported by water sprinkling.Alumina was used</w:t>
      </w:r>
      <w:r>
        <w:rPr>
          <w:spacing w:val="-3"/>
        </w:rPr>
        <w:t> </w:t>
      </w:r>
      <w:r>
        <w:rPr/>
        <w:t>after</w:t>
      </w:r>
      <w:r>
        <w:rPr>
          <w:spacing w:val="-3"/>
        </w:rPr>
        <w:t> </w:t>
      </w:r>
      <w:r>
        <w:rPr/>
        <w:t>emery</w:t>
      </w:r>
      <w:r>
        <w:rPr>
          <w:spacing w:val="-3"/>
        </w:rPr>
        <w:t> </w:t>
      </w:r>
      <w:r>
        <w:rPr/>
        <w:t>papers</w:t>
      </w:r>
      <w:r>
        <w:rPr>
          <w:spacing w:val="-3"/>
        </w:rPr>
        <w:t> </w:t>
      </w:r>
      <w:r>
        <w:rPr/>
        <w:t>for further smoothening of the surface. Final polishing was conducted on a rotating cloth wheel supported by water sprinkling to achieve a mirror-like finish free of scratches.</w:t>
      </w:r>
    </w:p>
    <w:p>
      <w:pPr>
        <w:pStyle w:val="BodyText"/>
        <w:ind w:left="1984" w:right="721"/>
        <w:jc w:val="both"/>
      </w:pPr>
      <w:r>
        <w:rPr/>
        <w:t>To reveal the microstructure, the polished surfaces were chemically etched using a 5% Nital solution (5 ml HCL+ 95 ml Ethanol) for approximately 10-30 seconds. This </w:t>
      </w:r>
      <w:r>
        <w:rPr/>
        <w:t>etchant preferentially attacks grain boundaries and twin boundaries, rendering them visible under reflected light.</w:t>
      </w:r>
    </w:p>
    <w:p>
      <w:pPr>
        <w:pStyle w:val="BodyText"/>
        <w:spacing w:after="0"/>
        <w:jc w:val="both"/>
        <w:sectPr>
          <w:headerReference w:type="default" r:id="rId12"/>
          <w:pgSz w:w="12240" w:h="15840"/>
          <w:pgMar w:header="576" w:footer="0" w:top="860" w:bottom="280" w:left="0" w:right="360"/>
        </w:sectPr>
      </w:pPr>
    </w:p>
    <w:p>
      <w:pPr>
        <w:pStyle w:val="BodyText"/>
        <w:rPr>
          <w:sz w:val="20"/>
        </w:rPr>
      </w:pPr>
    </w:p>
    <w:p>
      <w:pPr>
        <w:pStyle w:val="BodyText"/>
        <w:spacing w:before="222"/>
        <w:rPr>
          <w:sz w:val="20"/>
        </w:rPr>
      </w:pPr>
    </w:p>
    <w:p>
      <w:pPr>
        <w:tabs>
          <w:tab w:pos="5614" w:val="left" w:leader="none"/>
        </w:tabs>
        <w:spacing w:line="240" w:lineRule="auto"/>
        <w:ind w:left="2014" w:right="0" w:firstLine="0"/>
        <w:rPr>
          <w:sz w:val="20"/>
        </w:rPr>
      </w:pPr>
      <w:r>
        <w:rPr>
          <w:position w:val="6"/>
          <w:sz w:val="20"/>
        </w:rPr>
        <w:drawing>
          <wp:inline distT="0" distB="0" distL="0" distR="0">
            <wp:extent cx="1930984" cy="2340864"/>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1930984" cy="2340864"/>
                    </a:xfrm>
                    <a:prstGeom prst="rect">
                      <a:avLst/>
                    </a:prstGeom>
                  </pic:spPr>
                </pic:pic>
              </a:graphicData>
            </a:graphic>
          </wp:inline>
        </w:drawing>
      </w:r>
      <w:r>
        <w:rPr>
          <w:position w:val="6"/>
          <w:sz w:val="20"/>
        </w:rPr>
      </w:r>
      <w:r>
        <w:rPr>
          <w:position w:val="6"/>
          <w:sz w:val="20"/>
        </w:rPr>
        <w:tab/>
      </w:r>
      <w:r>
        <w:rPr>
          <w:sz w:val="20"/>
        </w:rPr>
        <w:drawing>
          <wp:inline distT="0" distB="0" distL="0" distR="0">
            <wp:extent cx="2063291" cy="2340864"/>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2063291" cy="2340864"/>
                    </a:xfrm>
                    <a:prstGeom prst="rect">
                      <a:avLst/>
                    </a:prstGeom>
                  </pic:spPr>
                </pic:pic>
              </a:graphicData>
            </a:graphic>
          </wp:inline>
        </w:drawing>
      </w:r>
      <w:r>
        <w:rPr>
          <w:sz w:val="20"/>
        </w:rPr>
      </w:r>
    </w:p>
    <w:p>
      <w:pPr>
        <w:tabs>
          <w:tab w:pos="5584" w:val="left" w:leader="none"/>
        </w:tabs>
        <w:spacing w:before="168"/>
        <w:ind w:left="1984" w:right="0" w:firstLine="0"/>
        <w:jc w:val="left"/>
        <w:rPr>
          <w:sz w:val="28"/>
        </w:rPr>
      </w:pPr>
      <w:r>
        <w:rPr>
          <w:sz w:val="28"/>
        </w:rPr>
        <w:t>Fig</w:t>
      </w:r>
      <w:r>
        <w:rPr>
          <w:spacing w:val="-4"/>
          <w:sz w:val="28"/>
        </w:rPr>
        <w:t> </w:t>
      </w:r>
      <w:r>
        <w:rPr>
          <w:sz w:val="28"/>
        </w:rPr>
        <w:t>-</w:t>
      </w:r>
      <w:r>
        <w:rPr>
          <w:spacing w:val="-3"/>
          <w:sz w:val="28"/>
        </w:rPr>
        <w:t> </w:t>
      </w:r>
      <w:r>
        <w:rPr>
          <w:sz w:val="28"/>
        </w:rPr>
        <w:t>Metal</w:t>
      </w:r>
      <w:r>
        <w:rPr>
          <w:spacing w:val="-3"/>
          <w:sz w:val="28"/>
        </w:rPr>
        <w:t> </w:t>
      </w:r>
      <w:r>
        <w:rPr>
          <w:sz w:val="28"/>
        </w:rPr>
        <w:t>Chop</w:t>
      </w:r>
      <w:r>
        <w:rPr>
          <w:spacing w:val="-3"/>
          <w:sz w:val="28"/>
        </w:rPr>
        <w:t> </w:t>
      </w:r>
      <w:r>
        <w:rPr>
          <w:spacing w:val="-5"/>
          <w:sz w:val="28"/>
        </w:rPr>
        <w:t>Saw</w:t>
      </w:r>
      <w:r>
        <w:rPr>
          <w:sz w:val="28"/>
        </w:rPr>
        <w:tab/>
        <w:t>Fig</w:t>
      </w:r>
      <w:r>
        <w:rPr>
          <w:spacing w:val="-2"/>
          <w:sz w:val="28"/>
        </w:rPr>
        <w:t> </w:t>
      </w:r>
      <w:r>
        <w:rPr>
          <w:sz w:val="28"/>
        </w:rPr>
        <w:t>-</w:t>
      </w:r>
      <w:r>
        <w:rPr>
          <w:spacing w:val="-2"/>
          <w:sz w:val="28"/>
        </w:rPr>
        <w:t> Grinder</w:t>
      </w:r>
    </w:p>
    <w:p>
      <w:pPr>
        <w:pStyle w:val="BodyText"/>
        <w:spacing w:before="98"/>
        <w:rPr>
          <w:sz w:val="20"/>
        </w:rPr>
      </w:pPr>
      <w:r>
        <w:rPr>
          <w:sz w:val="20"/>
        </w:rPr>
        <w:drawing>
          <wp:anchor distT="0" distB="0" distL="0" distR="0" allowOverlap="1" layoutInCell="1" locked="0" behindDoc="1" simplePos="0" relativeHeight="487589888">
            <wp:simplePos x="0" y="0"/>
            <wp:positionH relativeFrom="page">
              <wp:posOffset>1279050</wp:posOffset>
            </wp:positionH>
            <wp:positionV relativeFrom="paragraph">
              <wp:posOffset>223862</wp:posOffset>
            </wp:positionV>
            <wp:extent cx="1890425" cy="2535936"/>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1890425" cy="2535936"/>
                    </a:xfrm>
                    <a:prstGeom prst="rect">
                      <a:avLst/>
                    </a:prstGeom>
                  </pic:spPr>
                </pic:pic>
              </a:graphicData>
            </a:graphic>
          </wp:anchor>
        </w:drawing>
      </w:r>
      <w:r>
        <w:rPr>
          <w:sz w:val="20"/>
        </w:rPr>
        <w:drawing>
          <wp:anchor distT="0" distB="0" distL="0" distR="0" allowOverlap="1" layoutInCell="1" locked="0" behindDoc="1" simplePos="0" relativeHeight="487590400">
            <wp:simplePos x="0" y="0"/>
            <wp:positionH relativeFrom="page">
              <wp:posOffset>3384345</wp:posOffset>
            </wp:positionH>
            <wp:positionV relativeFrom="paragraph">
              <wp:posOffset>1223164</wp:posOffset>
            </wp:positionV>
            <wp:extent cx="2787245" cy="1488281"/>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2787245" cy="1488281"/>
                    </a:xfrm>
                    <a:prstGeom prst="rect">
                      <a:avLst/>
                    </a:prstGeom>
                  </pic:spPr>
                </pic:pic>
              </a:graphicData>
            </a:graphic>
          </wp:anchor>
        </w:drawing>
      </w:r>
    </w:p>
    <w:p>
      <w:pPr>
        <w:tabs>
          <w:tab w:pos="4319" w:val="left" w:leader="none"/>
        </w:tabs>
        <w:spacing w:before="192"/>
        <w:ind w:left="0" w:right="167" w:firstLine="0"/>
        <w:jc w:val="center"/>
        <w:rPr>
          <w:sz w:val="28"/>
        </w:rPr>
      </w:pPr>
      <w:r>
        <w:rPr>
          <w:sz w:val="28"/>
        </w:rPr>
        <w:t>Fig</w:t>
      </w:r>
      <w:r>
        <w:rPr>
          <w:spacing w:val="-3"/>
          <w:sz w:val="28"/>
        </w:rPr>
        <w:t> </w:t>
      </w:r>
      <w:r>
        <w:rPr>
          <w:sz w:val="28"/>
        </w:rPr>
        <w:t>-</w:t>
      </w:r>
      <w:r>
        <w:rPr>
          <w:spacing w:val="-3"/>
          <w:sz w:val="28"/>
        </w:rPr>
        <w:t> </w:t>
      </w:r>
      <w:r>
        <w:rPr>
          <w:sz w:val="28"/>
        </w:rPr>
        <w:t>Belt</w:t>
      </w:r>
      <w:r>
        <w:rPr>
          <w:spacing w:val="-2"/>
          <w:sz w:val="28"/>
        </w:rPr>
        <w:t> Grinder</w:t>
      </w:r>
      <w:r>
        <w:rPr>
          <w:sz w:val="28"/>
        </w:rPr>
        <w:tab/>
        <w:t>Fig</w:t>
      </w:r>
      <w:r>
        <w:rPr>
          <w:spacing w:val="-5"/>
          <w:sz w:val="28"/>
        </w:rPr>
        <w:t> </w:t>
      </w:r>
      <w:r>
        <w:rPr>
          <w:sz w:val="28"/>
        </w:rPr>
        <w:t>-</w:t>
      </w:r>
      <w:r>
        <w:rPr>
          <w:spacing w:val="-3"/>
          <w:sz w:val="28"/>
        </w:rPr>
        <w:t> </w:t>
      </w:r>
      <w:r>
        <w:rPr>
          <w:sz w:val="28"/>
        </w:rPr>
        <w:t>Hand</w:t>
      </w:r>
      <w:r>
        <w:rPr>
          <w:spacing w:val="-2"/>
          <w:sz w:val="28"/>
        </w:rPr>
        <w:t> Cutter</w:t>
      </w:r>
    </w:p>
    <w:p>
      <w:pPr>
        <w:pStyle w:val="BodyText"/>
        <w:spacing w:before="322"/>
        <w:ind w:left="1984" w:right="718"/>
      </w:pPr>
      <w:r>
        <w:rPr/>
        <w:t>Materials used in preparing samples. For cutting we used Chop saw and Hand Cutter, and </w:t>
      </w:r>
      <w:r>
        <w:rPr/>
        <w:t>for grinding and surface flattening, we used Belt Grinder.</w:t>
      </w:r>
    </w:p>
    <w:p>
      <w:pPr>
        <w:pStyle w:val="BodyText"/>
        <w:spacing w:before="45"/>
      </w:pPr>
    </w:p>
    <w:p>
      <w:pPr>
        <w:pStyle w:val="BodyText"/>
        <w:spacing w:before="1"/>
        <w:ind w:left="1984" w:right="718"/>
      </w:pPr>
      <w:r>
        <w:rPr/>
        <w:t>We used Disc Polisher for material polishing</w:t>
      </w:r>
      <w:r>
        <w:rPr>
          <w:spacing w:val="-4"/>
        </w:rPr>
        <w:t> </w:t>
      </w:r>
      <w:r>
        <w:rPr/>
        <w:t>with</w:t>
      </w:r>
      <w:r>
        <w:rPr>
          <w:spacing w:val="-4"/>
        </w:rPr>
        <w:t> </w:t>
      </w:r>
      <w:r>
        <w:rPr/>
        <w:t>cloth</w:t>
      </w:r>
      <w:r>
        <w:rPr>
          <w:spacing w:val="-4"/>
        </w:rPr>
        <w:t> </w:t>
      </w:r>
      <w:r>
        <w:rPr/>
        <w:t>and</w:t>
      </w:r>
      <w:r>
        <w:rPr>
          <w:spacing w:val="-4"/>
        </w:rPr>
        <w:t> </w:t>
      </w:r>
      <w:r>
        <w:rPr/>
        <w:t>Alumina,</w:t>
      </w:r>
      <w:r>
        <w:rPr>
          <w:spacing w:val="-4"/>
        </w:rPr>
        <w:t> </w:t>
      </w:r>
      <w:r>
        <w:rPr/>
        <w:t>used</w:t>
      </w:r>
      <w:r>
        <w:rPr>
          <w:spacing w:val="-4"/>
        </w:rPr>
        <w:t> </w:t>
      </w:r>
      <w:r>
        <w:rPr/>
        <w:t>optical</w:t>
      </w:r>
      <w:r>
        <w:rPr>
          <w:spacing w:val="-4"/>
        </w:rPr>
        <w:t> </w:t>
      </w:r>
      <w:r>
        <w:rPr/>
        <w:t>microscope for microstructure images.</w:t>
      </w:r>
    </w:p>
    <w:p>
      <w:pPr>
        <w:pStyle w:val="BodyText"/>
      </w:pPr>
    </w:p>
    <w:p>
      <w:pPr>
        <w:pStyle w:val="BodyText"/>
        <w:spacing w:before="91"/>
      </w:pPr>
    </w:p>
    <w:p>
      <w:pPr>
        <w:pStyle w:val="Heading4"/>
        <w:numPr>
          <w:ilvl w:val="1"/>
          <w:numId w:val="2"/>
        </w:numPr>
        <w:tabs>
          <w:tab w:pos="2461" w:val="left" w:leader="none"/>
        </w:tabs>
        <w:spacing w:line="240" w:lineRule="auto" w:before="1" w:after="0"/>
        <w:ind w:left="2461" w:right="0" w:hanging="477"/>
        <w:jc w:val="left"/>
      </w:pPr>
      <w:r>
        <w:rPr/>
        <w:t>Mechanical</w:t>
      </w:r>
      <w:r>
        <w:rPr>
          <w:spacing w:val="-13"/>
        </w:rPr>
        <w:t> </w:t>
      </w:r>
      <w:r>
        <w:rPr/>
        <w:t>Characterization</w:t>
      </w:r>
      <w:r>
        <w:rPr>
          <w:spacing w:val="-13"/>
        </w:rPr>
        <w:t> </w:t>
      </w:r>
      <w:r>
        <w:rPr>
          <w:spacing w:val="-10"/>
        </w:rPr>
        <w:t>:</w:t>
      </w:r>
    </w:p>
    <w:p>
      <w:pPr>
        <w:pStyle w:val="BodyText"/>
        <w:ind w:left="1984" w:right="1277"/>
      </w:pPr>
      <w:r>
        <w:rPr/>
        <w:t>The</w:t>
      </w:r>
      <w:r>
        <w:rPr>
          <w:spacing w:val="-6"/>
        </w:rPr>
        <w:t> </w:t>
      </w:r>
      <w:r>
        <w:rPr/>
        <w:t>polished</w:t>
      </w:r>
      <w:r>
        <w:rPr>
          <w:spacing w:val="-6"/>
        </w:rPr>
        <w:t> </w:t>
      </w:r>
      <w:r>
        <w:rPr/>
        <w:t>and</w:t>
      </w:r>
      <w:r>
        <w:rPr>
          <w:spacing w:val="-6"/>
        </w:rPr>
        <w:t> </w:t>
      </w:r>
      <w:r>
        <w:rPr/>
        <w:t>etched</w:t>
      </w:r>
      <w:r>
        <w:rPr>
          <w:spacing w:val="-6"/>
        </w:rPr>
        <w:t> </w:t>
      </w:r>
      <w:r>
        <w:rPr/>
        <w:t>specimens,</w:t>
      </w:r>
      <w:r>
        <w:rPr>
          <w:spacing w:val="-6"/>
        </w:rPr>
        <w:t> </w:t>
      </w:r>
      <w:r>
        <w:rPr/>
        <w:t>prepared</w:t>
      </w:r>
      <w:r>
        <w:rPr>
          <w:spacing w:val="-6"/>
        </w:rPr>
        <w:t> </w:t>
      </w:r>
      <w:r>
        <w:rPr/>
        <w:t>earlier,</w:t>
      </w:r>
      <w:r>
        <w:rPr>
          <w:spacing w:val="-6"/>
        </w:rPr>
        <w:t> </w:t>
      </w:r>
      <w:r>
        <w:rPr/>
        <w:t>were</w:t>
      </w:r>
      <w:r>
        <w:rPr>
          <w:spacing w:val="-6"/>
        </w:rPr>
        <w:t> </w:t>
      </w:r>
      <w:r>
        <w:rPr/>
        <w:t>subjected</w:t>
      </w:r>
      <w:r>
        <w:rPr>
          <w:spacing w:val="-6"/>
        </w:rPr>
        <w:t> </w:t>
      </w:r>
      <w:r>
        <w:rPr/>
        <w:t>to</w:t>
      </w:r>
      <w:r>
        <w:rPr>
          <w:spacing w:val="-6"/>
        </w:rPr>
        <w:t> </w:t>
      </w:r>
      <w:r>
        <w:rPr/>
        <w:t>Vickers</w:t>
      </w:r>
      <w:r>
        <w:rPr>
          <w:spacing w:val="-6"/>
        </w:rPr>
        <w:t> </w:t>
      </w:r>
      <w:r>
        <w:rPr/>
        <w:t>hardness testing to evaluate the mechanical hardness.</w:t>
      </w:r>
    </w:p>
    <w:p>
      <w:pPr>
        <w:pStyle w:val="BodyText"/>
        <w:spacing w:after="0"/>
        <w:sectPr>
          <w:headerReference w:type="default" r:id="rId14"/>
          <w:pgSz w:w="12240" w:h="15840"/>
          <w:pgMar w:header="830" w:footer="0" w:top="1080" w:bottom="280" w:left="0" w:right="360"/>
        </w:sectPr>
      </w:pPr>
    </w:p>
    <w:p>
      <w:pPr>
        <w:pStyle w:val="Heading4"/>
        <w:numPr>
          <w:ilvl w:val="1"/>
          <w:numId w:val="2"/>
        </w:numPr>
        <w:tabs>
          <w:tab w:pos="2461" w:val="left" w:leader="none"/>
        </w:tabs>
        <w:spacing w:line="240" w:lineRule="auto" w:before="92" w:after="0"/>
        <w:ind w:left="2461" w:right="0" w:hanging="477"/>
        <w:jc w:val="left"/>
      </w:pPr>
      <w:r>
        <w:rPr/>
        <w:t>Grain</w:t>
      </w:r>
      <w:r>
        <w:rPr>
          <w:spacing w:val="-8"/>
        </w:rPr>
        <w:t> </w:t>
      </w:r>
      <w:r>
        <w:rPr/>
        <w:t>Size</w:t>
      </w:r>
      <w:r>
        <w:rPr>
          <w:spacing w:val="-7"/>
        </w:rPr>
        <w:t> </w:t>
      </w:r>
      <w:r>
        <w:rPr/>
        <w:t>Measurement</w:t>
      </w:r>
      <w:r>
        <w:rPr>
          <w:spacing w:val="-7"/>
        </w:rPr>
        <w:t> </w:t>
      </w:r>
      <w:r>
        <w:rPr/>
        <w:t>Procedure</w:t>
      </w:r>
      <w:r>
        <w:rPr>
          <w:spacing w:val="-7"/>
        </w:rPr>
        <w:t> </w:t>
      </w:r>
      <w:r>
        <w:rPr>
          <w:spacing w:val="-10"/>
        </w:rPr>
        <w:t>:</w:t>
      </w:r>
    </w:p>
    <w:p>
      <w:pPr>
        <w:pStyle w:val="BodyText"/>
        <w:ind w:left="2044"/>
        <w:jc w:val="both"/>
      </w:pPr>
      <w:r>
        <w:rPr/>
        <w:t>Grain size of the sample was measured using the point intercept method with ImageJ </w:t>
      </w:r>
      <w:r>
        <w:rPr>
          <w:spacing w:val="-2"/>
        </w:rPr>
        <w:t>software.</w:t>
      </w:r>
    </w:p>
    <w:p>
      <w:pPr>
        <w:pStyle w:val="BodyText"/>
        <w:spacing w:before="276"/>
        <w:ind w:left="1984" w:right="718"/>
        <w:jc w:val="both"/>
      </w:pPr>
      <w:r>
        <w:rPr/>
        <w:t>First, images of the sample were captured under a microscope and then imported into ImageJ for analysis. A grid of points was applied</w:t>
      </w:r>
      <w:r>
        <w:rPr>
          <w:spacing w:val="-2"/>
        </w:rPr>
        <w:t> </w:t>
      </w:r>
      <w:r>
        <w:rPr/>
        <w:t>over</w:t>
      </w:r>
      <w:r>
        <w:rPr>
          <w:spacing w:val="-2"/>
        </w:rPr>
        <w:t> </w:t>
      </w:r>
      <w:r>
        <w:rPr/>
        <w:t>each</w:t>
      </w:r>
      <w:r>
        <w:rPr>
          <w:spacing w:val="-2"/>
        </w:rPr>
        <w:t> </w:t>
      </w:r>
      <w:r>
        <w:rPr/>
        <w:t>image,</w:t>
      </w:r>
      <w:r>
        <w:rPr>
          <w:spacing w:val="-2"/>
        </w:rPr>
        <w:t> </w:t>
      </w:r>
      <w:r>
        <w:rPr/>
        <w:t>and</w:t>
      </w:r>
      <w:r>
        <w:rPr>
          <w:spacing w:val="-2"/>
        </w:rPr>
        <w:t> </w:t>
      </w:r>
      <w:r>
        <w:rPr/>
        <w:t>the</w:t>
      </w:r>
      <w:r>
        <w:rPr>
          <w:spacing w:val="-2"/>
        </w:rPr>
        <w:t> </w:t>
      </w:r>
      <w:r>
        <w:rPr/>
        <w:t>points</w:t>
      </w:r>
      <w:r>
        <w:rPr>
          <w:spacing w:val="-2"/>
        </w:rPr>
        <w:t> </w:t>
      </w:r>
      <w:r>
        <w:rPr/>
        <w:t>that</w:t>
      </w:r>
      <w:r>
        <w:rPr>
          <w:spacing w:val="-2"/>
        </w:rPr>
        <w:t> </w:t>
      </w:r>
      <w:r>
        <w:rPr/>
        <w:t>fell</w:t>
      </w:r>
      <w:r>
        <w:rPr>
          <w:spacing w:val="-2"/>
        </w:rPr>
        <w:t> </w:t>
      </w:r>
      <w:r>
        <w:rPr/>
        <w:t>on</w:t>
      </w:r>
      <w:r>
        <w:rPr>
          <w:spacing w:val="-2"/>
        </w:rPr>
        <w:t> </w:t>
      </w:r>
      <w:r>
        <w:rPr/>
        <w:t>the</w:t>
      </w:r>
      <w:r>
        <w:rPr>
          <w:spacing w:val="-2"/>
        </w:rPr>
        <w:t> </w:t>
      </w:r>
      <w:r>
        <w:rPr/>
        <w:t>grain boundaries were carefully counted. By</w:t>
      </w:r>
      <w:r>
        <w:rPr>
          <w:spacing w:val="-2"/>
        </w:rPr>
        <w:t> </w:t>
      </w:r>
      <w:r>
        <w:rPr/>
        <w:t>comparing</w:t>
      </w:r>
      <w:r>
        <w:rPr>
          <w:spacing w:val="-2"/>
        </w:rPr>
        <w:t> </w:t>
      </w:r>
      <w:r>
        <w:rPr/>
        <w:t>the</w:t>
      </w:r>
      <w:r>
        <w:rPr>
          <w:spacing w:val="-2"/>
        </w:rPr>
        <w:t> </w:t>
      </w:r>
      <w:r>
        <w:rPr/>
        <w:t>number</w:t>
      </w:r>
      <w:r>
        <w:rPr>
          <w:spacing w:val="-2"/>
        </w:rPr>
        <w:t> </w:t>
      </w:r>
      <w:r>
        <w:rPr/>
        <w:t>of</w:t>
      </w:r>
      <w:r>
        <w:rPr>
          <w:spacing w:val="-2"/>
        </w:rPr>
        <w:t> </w:t>
      </w:r>
      <w:r>
        <w:rPr/>
        <w:t>points</w:t>
      </w:r>
      <w:r>
        <w:rPr>
          <w:spacing w:val="-2"/>
        </w:rPr>
        <w:t> </w:t>
      </w:r>
      <w:r>
        <w:rPr/>
        <w:t>on</w:t>
      </w:r>
      <w:r>
        <w:rPr>
          <w:spacing w:val="-2"/>
        </w:rPr>
        <w:t> </w:t>
      </w:r>
      <w:r>
        <w:rPr/>
        <w:t>the</w:t>
      </w:r>
      <w:r>
        <w:rPr>
          <w:spacing w:val="-2"/>
        </w:rPr>
        <w:t> </w:t>
      </w:r>
      <w:r>
        <w:rPr/>
        <w:t>boundaries</w:t>
      </w:r>
      <w:r>
        <w:rPr>
          <w:spacing w:val="-2"/>
        </w:rPr>
        <w:t> </w:t>
      </w:r>
      <w:r>
        <w:rPr/>
        <w:t>with the total number of points, the average size of the grains in the sample was calculated. This method is useful because it provides a reliable estimate of grain size and allows for accurate measurement of the microstructure using digital image analysis. In addition to this, grain size can also be measured using the linear intercept method, where the average distance</w:t>
      </w:r>
      <w:r>
        <w:rPr>
          <w:spacing w:val="-2"/>
        </w:rPr>
        <w:t> </w:t>
      </w:r>
      <w:r>
        <w:rPr/>
        <w:t>across</w:t>
      </w:r>
      <w:r>
        <w:rPr>
          <w:spacing w:val="-2"/>
        </w:rPr>
        <w:t> </w:t>
      </w:r>
      <w:r>
        <w:rPr/>
        <w:t>the grains is measured directly. This distance is then converted into a standard grain size number using a simple formula, which helps in comparing the grain structure of different samples. Using these methods together ensures that the grain size is determined accurately and consistently, providing valuable information about the material’s properties and its microstructural features, which are important for understanding its mechanical behavior and performance in practical applications.</w:t>
      </w:r>
    </w:p>
    <w:p>
      <w:pPr>
        <w:pStyle w:val="BodyText"/>
        <w:spacing w:before="45"/>
      </w:pPr>
    </w:p>
    <w:p>
      <w:pPr>
        <w:pStyle w:val="Heading4"/>
        <w:numPr>
          <w:ilvl w:val="1"/>
          <w:numId w:val="2"/>
        </w:numPr>
        <w:tabs>
          <w:tab w:pos="2461" w:val="left" w:leader="none"/>
        </w:tabs>
        <w:spacing w:line="240" w:lineRule="auto" w:before="1" w:after="0"/>
        <w:ind w:left="2461" w:right="0" w:hanging="477"/>
        <w:jc w:val="left"/>
      </w:pPr>
      <w:r>
        <w:rPr/>
        <w:t>Hardness</w:t>
      </w:r>
      <w:r>
        <w:rPr>
          <w:spacing w:val="-10"/>
        </w:rPr>
        <w:t> </w:t>
      </w:r>
      <w:r>
        <w:rPr/>
        <w:t>Measurement</w:t>
      </w:r>
      <w:r>
        <w:rPr>
          <w:spacing w:val="-9"/>
        </w:rPr>
        <w:t> </w:t>
      </w:r>
      <w:r>
        <w:rPr>
          <w:spacing w:val="-2"/>
        </w:rPr>
        <w:t>Procedure:</w:t>
      </w:r>
    </w:p>
    <w:p>
      <w:pPr>
        <w:pStyle w:val="BodyText"/>
        <w:ind w:left="1984" w:right="719"/>
        <w:jc w:val="both"/>
      </w:pPr>
      <w:r>
        <w:rPr/>
        <w:t>Hardness of the sample was measured using a Vickers hardness tester, which applies a controlled force to a diamond-shaped indenter pressed onto the surface of the material. The sample was first cleaned and polished to ensure a smooth surface for accurate measurement. The</w:t>
      </w:r>
      <w:r>
        <w:rPr>
          <w:spacing w:val="13"/>
        </w:rPr>
        <w:t> </w:t>
      </w:r>
      <w:r>
        <w:rPr/>
        <w:t>indenter</w:t>
      </w:r>
      <w:r>
        <w:rPr>
          <w:spacing w:val="13"/>
        </w:rPr>
        <w:t> </w:t>
      </w:r>
      <w:r>
        <w:rPr/>
        <w:t>was</w:t>
      </w:r>
      <w:r>
        <w:rPr>
          <w:spacing w:val="13"/>
        </w:rPr>
        <w:t> </w:t>
      </w:r>
      <w:r>
        <w:rPr/>
        <w:t>then</w:t>
      </w:r>
      <w:r>
        <w:rPr>
          <w:spacing w:val="13"/>
        </w:rPr>
        <w:t> </w:t>
      </w:r>
      <w:r>
        <w:rPr/>
        <w:t>pressed</w:t>
      </w:r>
      <w:r>
        <w:rPr>
          <w:spacing w:val="13"/>
        </w:rPr>
        <w:t> </w:t>
      </w:r>
      <w:r>
        <w:rPr/>
        <w:t>into</w:t>
      </w:r>
      <w:r>
        <w:rPr>
          <w:spacing w:val="13"/>
        </w:rPr>
        <w:t> </w:t>
      </w:r>
      <w:r>
        <w:rPr/>
        <w:t>the</w:t>
      </w:r>
      <w:r>
        <w:rPr>
          <w:spacing w:val="13"/>
        </w:rPr>
        <w:t> </w:t>
      </w:r>
      <w:r>
        <w:rPr/>
        <w:t>material</w:t>
      </w:r>
      <w:r>
        <w:rPr>
          <w:spacing w:val="13"/>
        </w:rPr>
        <w:t> </w:t>
      </w:r>
      <w:r>
        <w:rPr/>
        <w:t>under</w:t>
      </w:r>
      <w:r>
        <w:rPr>
          <w:spacing w:val="13"/>
        </w:rPr>
        <w:t> </w:t>
      </w:r>
      <w:r>
        <w:rPr/>
        <w:t>a</w:t>
      </w:r>
      <w:r>
        <w:rPr>
          <w:spacing w:val="-2"/>
        </w:rPr>
        <w:t> </w:t>
      </w:r>
      <w:r>
        <w:rPr/>
        <w:t>specific</w:t>
      </w:r>
      <w:r>
        <w:rPr>
          <w:spacing w:val="-2"/>
        </w:rPr>
        <w:t> </w:t>
      </w:r>
      <w:r>
        <w:rPr/>
        <w:t>load</w:t>
      </w:r>
      <w:r>
        <w:rPr>
          <w:spacing w:val="-2"/>
        </w:rPr>
        <w:t> </w:t>
      </w:r>
      <w:r>
        <w:rPr/>
        <w:t>for</w:t>
      </w:r>
      <w:r>
        <w:rPr>
          <w:spacing w:val="-2"/>
        </w:rPr>
        <w:t> </w:t>
      </w:r>
      <w:r>
        <w:rPr/>
        <w:t>a</w:t>
      </w:r>
      <w:r>
        <w:rPr>
          <w:spacing w:val="-2"/>
        </w:rPr>
        <w:t> </w:t>
      </w:r>
      <w:r>
        <w:rPr/>
        <w:t>fixed</w:t>
      </w:r>
      <w:r>
        <w:rPr>
          <w:spacing w:val="-2"/>
        </w:rPr>
        <w:t> </w:t>
      </w:r>
      <w:r>
        <w:rPr/>
        <w:t>time,</w:t>
      </w:r>
      <w:r>
        <w:rPr>
          <w:spacing w:val="-2"/>
        </w:rPr>
        <w:t> </w:t>
      </w:r>
      <w:r>
        <w:rPr/>
        <w:t>creating a small indentation. The diagonals of the indentation were measured using a microscope attached to the tester, and the Vickers hardness number (VHN) was calculated based on </w:t>
      </w:r>
      <w:r>
        <w:rPr/>
        <w:t>the applied load and the average diagonal length. This method allows precise determination of hardness, even for small or thin samples, and provides a reliable indication of the material’s resistance to deformation. Vickers hardness testing is widely used because it</w:t>
      </w:r>
      <w:r>
        <w:rPr>
          <w:spacing w:val="-3"/>
        </w:rPr>
        <w:t> </w:t>
      </w:r>
      <w:r>
        <w:rPr/>
        <w:t>can</w:t>
      </w:r>
      <w:r>
        <w:rPr>
          <w:spacing w:val="-3"/>
        </w:rPr>
        <w:t> </w:t>
      </w:r>
      <w:r>
        <w:rPr/>
        <w:t>be</w:t>
      </w:r>
      <w:r>
        <w:rPr>
          <w:spacing w:val="-3"/>
        </w:rPr>
        <w:t> </w:t>
      </w:r>
      <w:r>
        <w:rPr/>
        <w:t>applied</w:t>
      </w:r>
      <w:r>
        <w:rPr>
          <w:spacing w:val="-3"/>
        </w:rPr>
        <w:t> </w:t>
      </w:r>
      <w:r>
        <w:rPr/>
        <w:t>to</w:t>
      </w:r>
      <w:r>
        <w:rPr>
          <w:spacing w:val="40"/>
        </w:rPr>
        <w:t> </w:t>
      </w:r>
      <w:r>
        <w:rPr/>
        <w:t>a</w:t>
      </w:r>
      <w:r>
        <w:rPr>
          <w:spacing w:val="-2"/>
        </w:rPr>
        <w:t> </w:t>
      </w:r>
      <w:r>
        <w:rPr/>
        <w:t>variety</w:t>
      </w:r>
      <w:r>
        <w:rPr>
          <w:spacing w:val="-2"/>
        </w:rPr>
        <w:t> </w:t>
      </w:r>
      <w:r>
        <w:rPr/>
        <w:t>of</w:t>
      </w:r>
      <w:r>
        <w:rPr>
          <w:spacing w:val="-2"/>
        </w:rPr>
        <w:t> </w:t>
      </w:r>
      <w:r>
        <w:rPr/>
        <w:t>metals</w:t>
      </w:r>
      <w:r>
        <w:rPr>
          <w:spacing w:val="-2"/>
        </w:rPr>
        <w:t> </w:t>
      </w:r>
      <w:r>
        <w:rPr/>
        <w:t>and</w:t>
      </w:r>
      <w:r>
        <w:rPr>
          <w:spacing w:val="-2"/>
        </w:rPr>
        <w:t> </w:t>
      </w:r>
      <w:r>
        <w:rPr/>
        <w:t>alloys,</w:t>
      </w:r>
      <w:r>
        <w:rPr>
          <w:spacing w:val="-2"/>
        </w:rPr>
        <w:t> </w:t>
      </w:r>
      <w:r>
        <w:rPr/>
        <w:t>and</w:t>
      </w:r>
      <w:r>
        <w:rPr>
          <w:spacing w:val="-2"/>
        </w:rPr>
        <w:t> </w:t>
      </w:r>
      <w:r>
        <w:rPr/>
        <w:t>the</w:t>
      </w:r>
      <w:r>
        <w:rPr>
          <w:spacing w:val="-2"/>
        </w:rPr>
        <w:t> </w:t>
      </w:r>
      <w:r>
        <w:rPr/>
        <w:t>results</w:t>
      </w:r>
      <w:r>
        <w:rPr>
          <w:spacing w:val="-2"/>
        </w:rPr>
        <w:t> </w:t>
      </w:r>
      <w:r>
        <w:rPr/>
        <w:t>can</w:t>
      </w:r>
      <w:r>
        <w:rPr>
          <w:spacing w:val="-2"/>
        </w:rPr>
        <w:t> </w:t>
      </w:r>
      <w:r>
        <w:rPr/>
        <w:t>be</w:t>
      </w:r>
      <w:r>
        <w:rPr>
          <w:spacing w:val="-2"/>
        </w:rPr>
        <w:t> </w:t>
      </w:r>
      <w:r>
        <w:rPr/>
        <w:t>used</w:t>
      </w:r>
      <w:r>
        <w:rPr>
          <w:spacing w:val="-2"/>
        </w:rPr>
        <w:t> </w:t>
      </w:r>
      <w:r>
        <w:rPr/>
        <w:t>to</w:t>
      </w:r>
      <w:r>
        <w:rPr>
          <w:spacing w:val="-2"/>
        </w:rPr>
        <w:t> </w:t>
      </w:r>
      <w:r>
        <w:rPr/>
        <w:t>compare</w:t>
      </w:r>
      <w:r>
        <w:rPr>
          <w:spacing w:val="-2"/>
        </w:rPr>
        <w:t> </w:t>
      </w:r>
      <w:r>
        <w:rPr/>
        <w:t>the</w:t>
      </w:r>
      <w:r>
        <w:rPr>
          <w:spacing w:val="-2"/>
        </w:rPr>
        <w:t> </w:t>
      </w:r>
      <w:r>
        <w:rPr/>
        <w:t>mechanical</w:t>
      </w:r>
      <w:r>
        <w:rPr>
          <w:spacing w:val="-2"/>
        </w:rPr>
        <w:t> </w:t>
      </w:r>
      <w:r>
        <w:rPr/>
        <w:t>properties of different samples or to assess the effects of treatments such as heat treatment, alloying, or rolling on material strength. The test is straightforward, repeatable, and provides detailed insight into the surface hardness and overall mechanical behavior of the material.</w:t>
      </w:r>
    </w:p>
    <w:p>
      <w:pPr>
        <w:pStyle w:val="Heading4"/>
        <w:numPr>
          <w:ilvl w:val="1"/>
          <w:numId w:val="2"/>
        </w:numPr>
        <w:tabs>
          <w:tab w:pos="2461" w:val="left" w:leader="none"/>
        </w:tabs>
        <w:spacing w:line="240" w:lineRule="auto" w:before="276" w:after="0"/>
        <w:ind w:left="2461" w:right="0" w:hanging="477"/>
        <w:jc w:val="left"/>
      </w:pPr>
      <w:r>
        <w:rPr/>
        <w:t>Twin</w:t>
      </w:r>
      <w:r>
        <w:rPr>
          <w:spacing w:val="-15"/>
        </w:rPr>
        <w:t> </w:t>
      </w:r>
      <w:r>
        <w:rPr/>
        <w:t>Density</w:t>
      </w:r>
      <w:r>
        <w:rPr>
          <w:spacing w:val="-15"/>
        </w:rPr>
        <w:t> </w:t>
      </w:r>
      <w:r>
        <w:rPr/>
        <w:t>Measurement</w:t>
      </w:r>
      <w:r>
        <w:rPr>
          <w:spacing w:val="-14"/>
        </w:rPr>
        <w:t> </w:t>
      </w:r>
      <w:r>
        <w:rPr>
          <w:spacing w:val="-2"/>
        </w:rPr>
        <w:t>Procedure:</w:t>
      </w:r>
    </w:p>
    <w:p>
      <w:pPr>
        <w:pStyle w:val="BodyText"/>
        <w:ind w:left="1984" w:right="718"/>
        <w:jc w:val="both"/>
      </w:pPr>
      <w:r>
        <w:rPr/>
        <w:t>Twin density is quantified as the number of twin boundaries per unit length or area, </w:t>
      </w:r>
      <w:r>
        <w:rPr/>
        <w:t>often reported as the mean twin spacing or the number of twins per grain, measured along defined linear traverses perpendicular to the twinning plane.Twin density of the sample was</w:t>
      </w:r>
      <w:r>
        <w:rPr>
          <w:spacing w:val="-3"/>
        </w:rPr>
        <w:t> </w:t>
      </w:r>
      <w:r>
        <w:rPr/>
        <w:t>measured using the line intercept method with ImageJ software, providing a quantitative evaluation of</w:t>
      </w:r>
      <w:r>
        <w:rPr>
          <w:spacing w:val="40"/>
        </w:rPr>
        <w:t> </w:t>
      </w:r>
      <w:r>
        <w:rPr/>
        <w:t>the twinning in the microstructure. First, high-quality microstructural images of the sample were captured under an optical microscope and then imported into ImageJ for analysis. In the software, straight lines were drawn across the images at different orientations to ensure representative sampling of the microstructure. The number of twin boundaries intersecting</w:t>
      </w:r>
      <w:r>
        <w:rPr>
          <w:spacing w:val="40"/>
        </w:rPr>
        <w:t> </w:t>
      </w:r>
      <w:r>
        <w:rPr/>
        <w:t>each line was carefully counted, and the total line length and</w:t>
      </w:r>
      <w:r>
        <w:rPr>
          <w:spacing w:val="-3"/>
        </w:rPr>
        <w:t> </w:t>
      </w:r>
      <w:r>
        <w:rPr/>
        <w:t>the</w:t>
      </w:r>
      <w:r>
        <w:rPr>
          <w:spacing w:val="-3"/>
        </w:rPr>
        <w:t> </w:t>
      </w:r>
      <w:r>
        <w:rPr/>
        <w:t>number</w:t>
      </w:r>
      <w:r>
        <w:rPr>
          <w:spacing w:val="-3"/>
        </w:rPr>
        <w:t> </w:t>
      </w:r>
      <w:r>
        <w:rPr/>
        <w:t>of</w:t>
      </w:r>
      <w:r>
        <w:rPr>
          <w:spacing w:val="-3"/>
        </w:rPr>
        <w:t> </w:t>
      </w:r>
      <w:r>
        <w:rPr/>
        <w:t>intersections</w:t>
      </w:r>
      <w:r>
        <w:rPr>
          <w:spacing w:val="-3"/>
        </w:rPr>
        <w:t> </w:t>
      </w:r>
      <w:r>
        <w:rPr/>
        <w:t>were used to calculate the twin density, which is expressed as the number of twins per unit length. This method is highly effective because it allows for precise, repeatable measurement of twin structures, minimizing human error through digital analysis. Twin density is an important parameter for understanding the deformation behavior and mechanical properties</w:t>
      </w:r>
      <w:r>
        <w:rPr>
          <w:spacing w:val="-3"/>
        </w:rPr>
        <w:t> </w:t>
      </w:r>
      <w:r>
        <w:rPr/>
        <w:t>of</w:t>
      </w:r>
      <w:r>
        <w:rPr>
          <w:spacing w:val="-3"/>
        </w:rPr>
        <w:t> </w:t>
      </w:r>
      <w:r>
        <w:rPr/>
        <w:t>metals,</w:t>
      </w:r>
      <w:r>
        <w:rPr>
          <w:spacing w:val="-3"/>
        </w:rPr>
        <w:t> </w:t>
      </w:r>
      <w:r>
        <w:rPr/>
        <w:t>as the</w:t>
      </w:r>
      <w:r>
        <w:rPr>
          <w:spacing w:val="40"/>
        </w:rPr>
        <w:t> </w:t>
      </w:r>
      <w:r>
        <w:rPr/>
        <w:t>presence</w:t>
      </w:r>
      <w:r>
        <w:rPr>
          <w:spacing w:val="40"/>
        </w:rPr>
        <w:t> </w:t>
      </w:r>
      <w:r>
        <w:rPr/>
        <w:t>and</w:t>
      </w:r>
      <w:r>
        <w:rPr>
          <w:spacing w:val="40"/>
        </w:rPr>
        <w:t> </w:t>
      </w:r>
      <w:r>
        <w:rPr/>
        <w:t>distribution</w:t>
      </w:r>
      <w:r>
        <w:rPr>
          <w:spacing w:val="40"/>
        </w:rPr>
        <w:t> </w:t>
      </w:r>
      <w:r>
        <w:rPr/>
        <w:t>of</w:t>
      </w:r>
      <w:r>
        <w:rPr>
          <w:spacing w:val="40"/>
        </w:rPr>
        <w:t> </w:t>
      </w:r>
      <w:r>
        <w:rPr/>
        <w:t>twins</w:t>
      </w:r>
      <w:r>
        <w:rPr>
          <w:spacing w:val="40"/>
        </w:rPr>
        <w:t> </w:t>
      </w:r>
      <w:r>
        <w:rPr/>
        <w:t>can</w:t>
      </w:r>
      <w:r>
        <w:rPr>
          <w:spacing w:val="40"/>
        </w:rPr>
        <w:t> </w:t>
      </w:r>
      <w:r>
        <w:rPr/>
        <w:t>significantly</w:t>
      </w:r>
      <w:r>
        <w:rPr>
          <w:spacing w:val="40"/>
        </w:rPr>
        <w:t> </w:t>
      </w:r>
      <w:r>
        <w:rPr/>
        <w:t>influence</w:t>
      </w:r>
      <w:r>
        <w:rPr>
          <w:spacing w:val="40"/>
        </w:rPr>
        <w:t> </w:t>
      </w:r>
      <w:r>
        <w:rPr/>
        <w:t>strength,</w:t>
      </w:r>
      <w:r>
        <w:rPr>
          <w:spacing w:val="40"/>
        </w:rPr>
        <w:t> </w:t>
      </w:r>
      <w:r>
        <w:rPr/>
        <w:t>ductility,</w:t>
      </w:r>
      <w:r>
        <w:rPr>
          <w:spacing w:val="40"/>
        </w:rPr>
        <w:t> </w:t>
      </w:r>
      <w:r>
        <w:rPr/>
        <w:t>and work-hardening characteristics. Measuring</w:t>
      </w:r>
      <w:r>
        <w:rPr>
          <w:spacing w:val="-4"/>
        </w:rPr>
        <w:t> </w:t>
      </w:r>
      <w:r>
        <w:rPr/>
        <w:t>twin</w:t>
      </w:r>
      <w:r>
        <w:rPr>
          <w:spacing w:val="-4"/>
        </w:rPr>
        <w:t> </w:t>
      </w:r>
      <w:r>
        <w:rPr/>
        <w:t>density</w:t>
      </w:r>
      <w:r>
        <w:rPr>
          <w:spacing w:val="-4"/>
        </w:rPr>
        <w:t> </w:t>
      </w:r>
      <w:r>
        <w:rPr/>
        <w:t>also</w:t>
      </w:r>
      <w:r>
        <w:rPr>
          <w:spacing w:val="-4"/>
        </w:rPr>
        <w:t> </w:t>
      </w:r>
      <w:r>
        <w:rPr/>
        <w:t>provides</w:t>
      </w:r>
      <w:r>
        <w:rPr>
          <w:spacing w:val="-4"/>
        </w:rPr>
        <w:t> </w:t>
      </w:r>
      <w:r>
        <w:rPr/>
        <w:t>insight</w:t>
      </w:r>
      <w:r>
        <w:rPr>
          <w:spacing w:val="-4"/>
        </w:rPr>
        <w:t> </w:t>
      </w:r>
      <w:r>
        <w:rPr/>
        <w:t>into</w:t>
      </w:r>
      <w:r>
        <w:rPr>
          <w:spacing w:val="-4"/>
        </w:rPr>
        <w:t> </w:t>
      </w:r>
      <w:r>
        <w:rPr/>
        <w:t>the</w:t>
      </w:r>
      <w:r>
        <w:rPr>
          <w:spacing w:val="-4"/>
        </w:rPr>
        <w:t> </w:t>
      </w:r>
      <w:r>
        <w:rPr/>
        <w:t>effects</w:t>
      </w:r>
      <w:r>
        <w:rPr>
          <w:spacing w:val="-4"/>
        </w:rPr>
        <w:t> </w:t>
      </w:r>
      <w:r>
        <w:rPr/>
        <w:t>of various processing methods, such as hot rolling, annealing, or alloying, on the microstructure.</w:t>
      </w:r>
    </w:p>
    <w:p>
      <w:pPr>
        <w:pStyle w:val="BodyText"/>
        <w:spacing w:after="0"/>
        <w:jc w:val="both"/>
        <w:sectPr>
          <w:headerReference w:type="default" r:id="rId19"/>
          <w:pgSz w:w="12240" w:h="15840"/>
          <w:pgMar w:header="545" w:footer="0" w:top="720" w:bottom="280" w:left="0" w:right="360"/>
          <w:pgNumType w:start="8"/>
        </w:sectPr>
      </w:pPr>
    </w:p>
    <w:p>
      <w:pPr>
        <w:pStyle w:val="BodyText"/>
        <w:ind w:left="1984" w:right="718"/>
        <w:jc w:val="both"/>
      </w:pPr>
      <w:r>
        <w:rPr/>
        <w:t>By analyzing twin density alongside other microstructural features like grain size and </w:t>
      </w:r>
      <w:r>
        <w:rPr/>
        <w:t>phase distribution, researchers can better understand the relationship between processing, microstructure, and material performance, which is crucial for optimizing mechanical properties and designing materials for specific engineering applications. Overall, the line intercept</w:t>
      </w:r>
      <w:r>
        <w:rPr>
          <w:spacing w:val="44"/>
        </w:rPr>
        <w:t> </w:t>
      </w:r>
      <w:r>
        <w:rPr/>
        <w:t>method</w:t>
      </w:r>
      <w:r>
        <w:rPr>
          <w:spacing w:val="44"/>
        </w:rPr>
        <w:t> </w:t>
      </w:r>
      <w:r>
        <w:rPr/>
        <w:t>with</w:t>
      </w:r>
      <w:r>
        <w:rPr>
          <w:spacing w:val="44"/>
        </w:rPr>
        <w:t> </w:t>
      </w:r>
      <w:r>
        <w:rPr/>
        <w:t>ImageJ</w:t>
      </w:r>
      <w:r>
        <w:rPr>
          <w:spacing w:val="44"/>
        </w:rPr>
        <w:t> </w:t>
      </w:r>
      <w:r>
        <w:rPr/>
        <w:t>offers</w:t>
      </w:r>
      <w:r>
        <w:rPr>
          <w:spacing w:val="44"/>
        </w:rPr>
        <w:t> </w:t>
      </w:r>
      <w:r>
        <w:rPr/>
        <w:t>a</w:t>
      </w:r>
      <w:r>
        <w:rPr>
          <w:spacing w:val="44"/>
        </w:rPr>
        <w:t> </w:t>
      </w:r>
      <w:r>
        <w:rPr/>
        <w:t>reliable</w:t>
      </w:r>
      <w:r>
        <w:rPr>
          <w:spacing w:val="44"/>
        </w:rPr>
        <w:t> </w:t>
      </w:r>
      <w:r>
        <w:rPr/>
        <w:t>and</w:t>
      </w:r>
      <w:r>
        <w:rPr>
          <w:spacing w:val="30"/>
        </w:rPr>
        <w:t> </w:t>
      </w:r>
      <w:r>
        <w:rPr/>
        <w:t>efficient</w:t>
      </w:r>
      <w:r>
        <w:rPr>
          <w:spacing w:val="29"/>
        </w:rPr>
        <w:t> </w:t>
      </w:r>
      <w:r>
        <w:rPr/>
        <w:t>approach</w:t>
      </w:r>
      <w:r>
        <w:rPr>
          <w:spacing w:val="29"/>
        </w:rPr>
        <w:t> </w:t>
      </w:r>
      <w:r>
        <w:rPr/>
        <w:t>to</w:t>
      </w:r>
      <w:r>
        <w:rPr>
          <w:spacing w:val="29"/>
        </w:rPr>
        <w:t> </w:t>
      </w:r>
      <w:r>
        <w:rPr/>
        <w:t>quantify</w:t>
      </w:r>
      <w:r>
        <w:rPr>
          <w:spacing w:val="30"/>
        </w:rPr>
        <w:t> </w:t>
      </w:r>
      <w:r>
        <w:rPr>
          <w:spacing w:val="-2"/>
        </w:rPr>
        <w:t>twinning,</w:t>
      </w:r>
    </w:p>
    <w:p>
      <w:pPr>
        <w:pStyle w:val="BodyText"/>
        <w:spacing w:before="37"/>
        <w:ind w:left="1984"/>
        <w:jc w:val="both"/>
      </w:pPr>
      <w:r>
        <w:rPr/>
        <w:t>contributing to a deeper understanding of material behavior at the microscopic </w:t>
      </w:r>
      <w:r>
        <w:rPr>
          <w:spacing w:val="-2"/>
        </w:rPr>
        <w:t>level.</w:t>
      </w:r>
    </w:p>
    <w:p>
      <w:pPr>
        <w:pStyle w:val="BodyText"/>
        <w:spacing w:after="0"/>
        <w:jc w:val="both"/>
        <w:sectPr>
          <w:pgSz w:w="12240" w:h="15840"/>
          <w:pgMar w:header="545" w:footer="0" w:top="720" w:bottom="280" w:left="0" w:right="360"/>
        </w:sectPr>
      </w:pPr>
    </w:p>
    <w:p>
      <w:pPr>
        <w:pStyle w:val="Heading2"/>
        <w:numPr>
          <w:ilvl w:val="0"/>
          <w:numId w:val="2"/>
        </w:numPr>
        <w:tabs>
          <w:tab w:pos="2344" w:val="left" w:leader="none"/>
        </w:tabs>
        <w:spacing w:line="240" w:lineRule="auto" w:before="8" w:after="0"/>
        <w:ind w:left="2344" w:right="0" w:hanging="360"/>
        <w:jc w:val="left"/>
      </w:pPr>
      <w:r>
        <w:rPr/>
        <w:t>Results and Discussion </w:t>
      </w:r>
      <w:r>
        <w:rPr>
          <w:spacing w:val="-10"/>
        </w:rPr>
        <w:t>:</w:t>
      </w:r>
    </w:p>
    <w:p>
      <w:pPr>
        <w:pStyle w:val="Heading4"/>
        <w:numPr>
          <w:ilvl w:val="1"/>
          <w:numId w:val="2"/>
        </w:numPr>
        <w:tabs>
          <w:tab w:pos="2461" w:val="left" w:leader="none"/>
        </w:tabs>
        <w:spacing w:line="240" w:lineRule="auto" w:before="345" w:after="0"/>
        <w:ind w:left="2461" w:right="0" w:hanging="477"/>
        <w:jc w:val="left"/>
      </w:pPr>
      <w:r>
        <w:rPr>
          <w:color w:val="000101"/>
        </w:rPr>
        <w:t>Chemical</w:t>
      </w:r>
      <w:r>
        <w:rPr>
          <w:color w:val="000101"/>
          <w:spacing w:val="-9"/>
        </w:rPr>
        <w:t> </w:t>
      </w:r>
      <w:r>
        <w:rPr>
          <w:color w:val="000101"/>
        </w:rPr>
        <w:t>Composition</w:t>
      </w:r>
      <w:r>
        <w:rPr>
          <w:color w:val="000101"/>
          <w:spacing w:val="-6"/>
        </w:rPr>
        <w:t> </w:t>
      </w:r>
      <w:r>
        <w:rPr>
          <w:color w:val="000101"/>
        </w:rPr>
        <w:t>of</w:t>
      </w:r>
      <w:r>
        <w:rPr>
          <w:color w:val="000101"/>
          <w:spacing w:val="-6"/>
        </w:rPr>
        <w:t> </w:t>
      </w:r>
      <w:r>
        <w:rPr>
          <w:color w:val="000101"/>
        </w:rPr>
        <w:t>as</w:t>
      </w:r>
      <w:r>
        <w:rPr>
          <w:color w:val="000101"/>
          <w:spacing w:val="-6"/>
        </w:rPr>
        <w:t> </w:t>
      </w:r>
      <w:r>
        <w:rPr>
          <w:color w:val="000101"/>
        </w:rPr>
        <w:t>received</w:t>
      </w:r>
      <w:r>
        <w:rPr>
          <w:color w:val="000101"/>
          <w:spacing w:val="-6"/>
        </w:rPr>
        <w:t> </w:t>
      </w:r>
      <w:r>
        <w:rPr>
          <w:color w:val="000101"/>
          <w:spacing w:val="-2"/>
        </w:rPr>
        <w:t>sample</w:t>
      </w:r>
    </w:p>
    <w:p>
      <w:pPr>
        <w:pStyle w:val="BodyText"/>
        <w:ind w:left="1984" w:right="718"/>
      </w:pPr>
      <w:r>
        <w:rPr>
          <w:color w:val="000101"/>
        </w:rPr>
        <w:t>We</w:t>
      </w:r>
      <w:r>
        <w:rPr>
          <w:color w:val="000101"/>
          <w:spacing w:val="-5"/>
        </w:rPr>
        <w:t> </w:t>
      </w:r>
      <w:r>
        <w:rPr>
          <w:color w:val="000101"/>
        </w:rPr>
        <w:t>had</w:t>
      </w:r>
      <w:r>
        <w:rPr>
          <w:color w:val="000101"/>
          <w:spacing w:val="-5"/>
        </w:rPr>
        <w:t> </w:t>
      </w:r>
      <w:r>
        <w:rPr>
          <w:color w:val="000101"/>
        </w:rPr>
        <w:t>samples</w:t>
      </w:r>
      <w:r>
        <w:rPr>
          <w:color w:val="000101"/>
          <w:spacing w:val="-5"/>
        </w:rPr>
        <w:t> </w:t>
      </w:r>
      <w:r>
        <w:rPr>
          <w:color w:val="000101"/>
        </w:rPr>
        <w:t>of</w:t>
      </w:r>
      <w:r>
        <w:rPr>
          <w:color w:val="000101"/>
          <w:spacing w:val="-5"/>
        </w:rPr>
        <w:t> </w:t>
      </w:r>
      <w:r>
        <w:rPr>
          <w:color w:val="000101"/>
        </w:rPr>
        <w:t>three</w:t>
      </w:r>
      <w:r>
        <w:rPr>
          <w:color w:val="000101"/>
          <w:spacing w:val="-5"/>
        </w:rPr>
        <w:t> </w:t>
      </w:r>
      <w:r>
        <w:rPr>
          <w:color w:val="000101"/>
        </w:rPr>
        <w:t>types</w:t>
      </w:r>
      <w:r>
        <w:rPr>
          <w:color w:val="000101"/>
          <w:spacing w:val="-5"/>
        </w:rPr>
        <w:t> </w:t>
      </w:r>
      <w:r>
        <w:rPr>
          <w:color w:val="000101"/>
        </w:rPr>
        <w:t>consisting</w:t>
      </w:r>
      <w:r>
        <w:rPr>
          <w:color w:val="000101"/>
          <w:spacing w:val="-5"/>
        </w:rPr>
        <w:t> </w:t>
      </w:r>
      <w:r>
        <w:rPr>
          <w:color w:val="000101"/>
        </w:rPr>
        <w:t>of</w:t>
      </w:r>
      <w:r>
        <w:rPr>
          <w:color w:val="000101"/>
          <w:spacing w:val="-5"/>
        </w:rPr>
        <w:t> </w:t>
      </w:r>
      <w:r>
        <w:rPr>
          <w:color w:val="000101"/>
        </w:rPr>
        <w:t>0%,0.04%</w:t>
      </w:r>
      <w:r>
        <w:rPr>
          <w:color w:val="000101"/>
          <w:spacing w:val="-5"/>
        </w:rPr>
        <w:t> </w:t>
      </w:r>
      <w:r>
        <w:rPr>
          <w:color w:val="000101"/>
        </w:rPr>
        <w:t>and</w:t>
      </w:r>
      <w:r>
        <w:rPr>
          <w:color w:val="000101"/>
          <w:spacing w:val="-5"/>
        </w:rPr>
        <w:t> </w:t>
      </w:r>
      <w:r>
        <w:rPr>
          <w:color w:val="000101"/>
        </w:rPr>
        <w:t>0.06%</w:t>
      </w:r>
      <w:r>
        <w:rPr>
          <w:color w:val="000101"/>
          <w:spacing w:val="-5"/>
        </w:rPr>
        <w:t> </w:t>
      </w:r>
      <w:r>
        <w:rPr>
          <w:color w:val="000101"/>
        </w:rPr>
        <w:t>Ce</w:t>
      </w:r>
      <w:r>
        <w:rPr>
          <w:color w:val="000101"/>
          <w:spacing w:val="-5"/>
        </w:rPr>
        <w:t> </w:t>
      </w:r>
      <w:r>
        <w:rPr>
          <w:color w:val="000101"/>
        </w:rPr>
        <w:t>Reinforcement</w:t>
      </w:r>
      <w:r>
        <w:rPr>
          <w:color w:val="000101"/>
          <w:spacing w:val="-5"/>
        </w:rPr>
        <w:t> </w:t>
      </w:r>
      <w:r>
        <w:rPr>
          <w:color w:val="000101"/>
        </w:rPr>
        <w:t>in</w:t>
      </w:r>
      <w:r>
        <w:rPr>
          <w:color w:val="000101"/>
          <w:spacing w:val="-5"/>
        </w:rPr>
        <w:t> </w:t>
      </w:r>
      <w:r>
        <w:rPr>
          <w:color w:val="000101"/>
        </w:rPr>
        <w:t>High Mn Steels.</w:t>
      </w:r>
    </w:p>
    <w:p>
      <w:pPr>
        <w:pStyle w:val="BodyText"/>
        <w:rPr>
          <w:sz w:val="20"/>
        </w:rPr>
      </w:pPr>
    </w:p>
    <w:p>
      <w:pPr>
        <w:pStyle w:val="BodyText"/>
        <w:spacing w:before="199" w:after="1"/>
        <w:rPr>
          <w:sz w:val="20"/>
        </w:rPr>
      </w:pPr>
    </w:p>
    <w:tbl>
      <w:tblPr>
        <w:tblW w:w="0" w:type="auto"/>
        <w:jc w:val="left"/>
        <w:tblInd w:w="1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0"/>
        <w:gridCol w:w="840"/>
        <w:gridCol w:w="840"/>
        <w:gridCol w:w="840"/>
        <w:gridCol w:w="840"/>
        <w:gridCol w:w="840"/>
        <w:gridCol w:w="840"/>
        <w:gridCol w:w="820"/>
        <w:gridCol w:w="820"/>
        <w:gridCol w:w="1240"/>
      </w:tblGrid>
      <w:tr>
        <w:trPr>
          <w:trHeight w:val="460" w:hRule="atLeast"/>
        </w:trPr>
        <w:tc>
          <w:tcPr>
            <w:tcW w:w="1660" w:type="dxa"/>
          </w:tcPr>
          <w:p>
            <w:pPr>
              <w:pStyle w:val="TableParagraph"/>
              <w:spacing w:before="106"/>
              <w:ind w:left="109"/>
              <w:rPr>
                <w:rFonts w:ascii="Tahoma"/>
                <w:b/>
                <w:sz w:val="20"/>
              </w:rPr>
            </w:pPr>
            <w:r>
              <w:rPr>
                <w:rFonts w:ascii="Tahoma"/>
                <w:b/>
                <w:color w:val="1F1F1F"/>
                <w:spacing w:val="-2"/>
                <w:sz w:val="20"/>
              </w:rPr>
              <w:t>Specimen</w:t>
            </w:r>
          </w:p>
        </w:tc>
        <w:tc>
          <w:tcPr>
            <w:tcW w:w="840" w:type="dxa"/>
          </w:tcPr>
          <w:p>
            <w:pPr>
              <w:pStyle w:val="TableParagraph"/>
              <w:spacing w:before="106"/>
              <w:rPr>
                <w:rFonts w:ascii="Tahoma"/>
                <w:b/>
                <w:sz w:val="20"/>
              </w:rPr>
            </w:pPr>
            <w:r>
              <w:rPr>
                <w:rFonts w:ascii="Tahoma"/>
                <w:b/>
                <w:color w:val="1F1F1F"/>
                <w:spacing w:val="-10"/>
                <w:w w:val="110"/>
                <w:sz w:val="20"/>
              </w:rPr>
              <w:t>C</w:t>
            </w:r>
          </w:p>
        </w:tc>
        <w:tc>
          <w:tcPr>
            <w:tcW w:w="840" w:type="dxa"/>
          </w:tcPr>
          <w:p>
            <w:pPr>
              <w:pStyle w:val="TableParagraph"/>
              <w:spacing w:before="106"/>
              <w:rPr>
                <w:rFonts w:ascii="Tahoma"/>
                <w:b/>
                <w:sz w:val="20"/>
              </w:rPr>
            </w:pPr>
            <w:r>
              <w:rPr>
                <w:rFonts w:ascii="Tahoma"/>
                <w:b/>
                <w:color w:val="1F1F1F"/>
                <w:spacing w:val="-5"/>
                <w:sz w:val="20"/>
              </w:rPr>
              <w:t>Mn</w:t>
            </w:r>
          </w:p>
        </w:tc>
        <w:tc>
          <w:tcPr>
            <w:tcW w:w="840" w:type="dxa"/>
          </w:tcPr>
          <w:p>
            <w:pPr>
              <w:pStyle w:val="TableParagraph"/>
              <w:spacing w:before="106"/>
              <w:rPr>
                <w:rFonts w:ascii="Tahoma"/>
                <w:b/>
                <w:sz w:val="20"/>
              </w:rPr>
            </w:pPr>
            <w:r>
              <w:rPr>
                <w:rFonts w:ascii="Tahoma"/>
                <w:b/>
                <w:color w:val="1F1F1F"/>
                <w:spacing w:val="-5"/>
                <w:w w:val="105"/>
                <w:sz w:val="20"/>
              </w:rPr>
              <w:t>Cr</w:t>
            </w:r>
          </w:p>
        </w:tc>
        <w:tc>
          <w:tcPr>
            <w:tcW w:w="840" w:type="dxa"/>
          </w:tcPr>
          <w:p>
            <w:pPr>
              <w:pStyle w:val="TableParagraph"/>
              <w:spacing w:before="106"/>
              <w:rPr>
                <w:rFonts w:ascii="Tahoma"/>
                <w:b/>
                <w:sz w:val="20"/>
              </w:rPr>
            </w:pPr>
            <w:r>
              <w:rPr>
                <w:rFonts w:ascii="Tahoma"/>
                <w:b/>
                <w:color w:val="1F1F1F"/>
                <w:spacing w:val="-5"/>
                <w:sz w:val="20"/>
              </w:rPr>
              <w:t>Mo</w:t>
            </w:r>
          </w:p>
        </w:tc>
        <w:tc>
          <w:tcPr>
            <w:tcW w:w="840" w:type="dxa"/>
          </w:tcPr>
          <w:p>
            <w:pPr>
              <w:pStyle w:val="TableParagraph"/>
              <w:spacing w:before="106"/>
              <w:rPr>
                <w:rFonts w:ascii="Tahoma"/>
                <w:b/>
                <w:sz w:val="20"/>
              </w:rPr>
            </w:pPr>
            <w:r>
              <w:rPr>
                <w:rFonts w:ascii="Tahoma"/>
                <w:b/>
                <w:color w:val="1F1F1F"/>
                <w:spacing w:val="-5"/>
                <w:sz w:val="20"/>
              </w:rPr>
              <w:t>Ni</w:t>
            </w:r>
          </w:p>
        </w:tc>
        <w:tc>
          <w:tcPr>
            <w:tcW w:w="840" w:type="dxa"/>
          </w:tcPr>
          <w:p>
            <w:pPr>
              <w:pStyle w:val="TableParagraph"/>
              <w:spacing w:before="106"/>
              <w:rPr>
                <w:rFonts w:ascii="Tahoma"/>
                <w:b/>
                <w:sz w:val="20"/>
              </w:rPr>
            </w:pPr>
            <w:r>
              <w:rPr>
                <w:rFonts w:ascii="Tahoma"/>
                <w:b/>
                <w:color w:val="1F1F1F"/>
                <w:spacing w:val="-5"/>
                <w:sz w:val="20"/>
              </w:rPr>
              <w:t>Si</w:t>
            </w:r>
          </w:p>
        </w:tc>
        <w:tc>
          <w:tcPr>
            <w:tcW w:w="820" w:type="dxa"/>
          </w:tcPr>
          <w:p>
            <w:pPr>
              <w:pStyle w:val="TableParagraph"/>
              <w:spacing w:before="106"/>
              <w:ind w:left="99"/>
              <w:rPr>
                <w:rFonts w:ascii="Tahoma"/>
                <w:b/>
                <w:sz w:val="20"/>
              </w:rPr>
            </w:pPr>
            <w:r>
              <w:rPr>
                <w:rFonts w:ascii="Tahoma"/>
                <w:b/>
                <w:color w:val="1F1F1F"/>
                <w:spacing w:val="-10"/>
                <w:sz w:val="20"/>
              </w:rPr>
              <w:t>P</w:t>
            </w:r>
          </w:p>
        </w:tc>
        <w:tc>
          <w:tcPr>
            <w:tcW w:w="820" w:type="dxa"/>
          </w:tcPr>
          <w:p>
            <w:pPr>
              <w:pStyle w:val="TableParagraph"/>
              <w:spacing w:before="106"/>
              <w:ind w:left="104"/>
              <w:rPr>
                <w:rFonts w:ascii="Tahoma"/>
                <w:b/>
                <w:sz w:val="20"/>
              </w:rPr>
            </w:pPr>
            <w:r>
              <w:rPr>
                <w:rFonts w:ascii="Tahoma"/>
                <w:b/>
                <w:color w:val="1F1F1F"/>
                <w:spacing w:val="-5"/>
                <w:w w:val="105"/>
                <w:sz w:val="20"/>
              </w:rPr>
              <w:t>Ce</w:t>
            </w:r>
          </w:p>
        </w:tc>
        <w:tc>
          <w:tcPr>
            <w:tcW w:w="1240" w:type="dxa"/>
          </w:tcPr>
          <w:p>
            <w:pPr>
              <w:pStyle w:val="TableParagraph"/>
              <w:spacing w:before="106"/>
              <w:ind w:left="109"/>
              <w:rPr>
                <w:rFonts w:ascii="Tahoma"/>
                <w:b/>
                <w:sz w:val="20"/>
              </w:rPr>
            </w:pPr>
            <w:r>
              <w:rPr>
                <w:rFonts w:ascii="Tahoma"/>
                <w:b/>
                <w:color w:val="1F1F1F"/>
                <w:spacing w:val="-5"/>
                <w:sz w:val="20"/>
              </w:rPr>
              <w:t>Fe</w:t>
            </w:r>
          </w:p>
        </w:tc>
      </w:tr>
      <w:tr>
        <w:trPr>
          <w:trHeight w:val="460" w:hRule="atLeast"/>
        </w:trPr>
        <w:tc>
          <w:tcPr>
            <w:tcW w:w="1660" w:type="dxa"/>
          </w:tcPr>
          <w:p>
            <w:pPr>
              <w:pStyle w:val="TableParagraph"/>
              <w:ind w:left="109"/>
              <w:rPr>
                <w:rFonts w:ascii="Tahoma"/>
                <w:b/>
                <w:sz w:val="20"/>
              </w:rPr>
            </w:pPr>
            <w:r>
              <w:rPr>
                <w:rFonts w:ascii="Tahoma"/>
                <w:b/>
                <w:color w:val="1F1F1F"/>
                <w:w w:val="105"/>
                <w:sz w:val="20"/>
              </w:rPr>
              <w:t>Ce-</w:t>
            </w:r>
            <w:r>
              <w:rPr>
                <w:rFonts w:ascii="Tahoma"/>
                <w:b/>
                <w:color w:val="1F1F1F"/>
                <w:spacing w:val="-10"/>
                <w:w w:val="105"/>
                <w:sz w:val="20"/>
              </w:rPr>
              <w:t>0</w:t>
            </w:r>
          </w:p>
        </w:tc>
        <w:tc>
          <w:tcPr>
            <w:tcW w:w="840" w:type="dxa"/>
          </w:tcPr>
          <w:p>
            <w:pPr>
              <w:pStyle w:val="TableParagraph"/>
              <w:rPr>
                <w:rFonts w:ascii="Tahoma"/>
                <w:b/>
                <w:sz w:val="20"/>
              </w:rPr>
            </w:pPr>
            <w:r>
              <w:rPr>
                <w:rFonts w:ascii="Tahoma"/>
                <w:b/>
                <w:color w:val="1F1F1F"/>
                <w:spacing w:val="-2"/>
                <w:sz w:val="20"/>
              </w:rPr>
              <w:t>0.707</w:t>
            </w:r>
          </w:p>
        </w:tc>
        <w:tc>
          <w:tcPr>
            <w:tcW w:w="840" w:type="dxa"/>
          </w:tcPr>
          <w:p>
            <w:pPr>
              <w:pStyle w:val="TableParagraph"/>
              <w:rPr>
                <w:rFonts w:ascii="Tahoma"/>
                <w:b/>
                <w:sz w:val="20"/>
              </w:rPr>
            </w:pPr>
            <w:r>
              <w:rPr>
                <w:rFonts w:ascii="Tahoma"/>
                <w:b/>
                <w:color w:val="1F1F1F"/>
                <w:spacing w:val="-4"/>
                <w:w w:val="95"/>
                <w:sz w:val="20"/>
              </w:rPr>
              <w:t>12.5</w:t>
            </w:r>
          </w:p>
        </w:tc>
        <w:tc>
          <w:tcPr>
            <w:tcW w:w="840" w:type="dxa"/>
          </w:tcPr>
          <w:p>
            <w:pPr>
              <w:pStyle w:val="TableParagraph"/>
              <w:rPr>
                <w:rFonts w:ascii="Tahoma"/>
                <w:b/>
                <w:sz w:val="20"/>
              </w:rPr>
            </w:pPr>
            <w:r>
              <w:rPr>
                <w:rFonts w:ascii="Tahoma"/>
                <w:b/>
                <w:color w:val="1F1F1F"/>
                <w:spacing w:val="-4"/>
                <w:sz w:val="20"/>
              </w:rPr>
              <w:t>0.76</w:t>
            </w:r>
          </w:p>
        </w:tc>
        <w:tc>
          <w:tcPr>
            <w:tcW w:w="840" w:type="dxa"/>
          </w:tcPr>
          <w:p>
            <w:pPr>
              <w:pStyle w:val="TableParagraph"/>
              <w:rPr>
                <w:rFonts w:ascii="Tahoma"/>
                <w:b/>
                <w:sz w:val="20"/>
              </w:rPr>
            </w:pPr>
            <w:r>
              <w:rPr>
                <w:rFonts w:ascii="Tahoma"/>
                <w:b/>
                <w:color w:val="1F1F1F"/>
                <w:spacing w:val="-4"/>
                <w:sz w:val="20"/>
              </w:rPr>
              <w:t>0.44</w:t>
            </w:r>
          </w:p>
        </w:tc>
        <w:tc>
          <w:tcPr>
            <w:tcW w:w="840" w:type="dxa"/>
          </w:tcPr>
          <w:p>
            <w:pPr>
              <w:pStyle w:val="TableParagraph"/>
              <w:rPr>
                <w:rFonts w:ascii="Tahoma"/>
                <w:b/>
                <w:sz w:val="20"/>
              </w:rPr>
            </w:pPr>
            <w:r>
              <w:rPr>
                <w:rFonts w:ascii="Tahoma"/>
                <w:b/>
                <w:color w:val="1F1F1F"/>
                <w:spacing w:val="-2"/>
                <w:sz w:val="20"/>
              </w:rPr>
              <w:t>0.304</w:t>
            </w:r>
          </w:p>
        </w:tc>
        <w:tc>
          <w:tcPr>
            <w:tcW w:w="840" w:type="dxa"/>
          </w:tcPr>
          <w:p>
            <w:pPr>
              <w:pStyle w:val="TableParagraph"/>
              <w:rPr>
                <w:rFonts w:ascii="Tahoma"/>
                <w:b/>
                <w:sz w:val="20"/>
              </w:rPr>
            </w:pPr>
            <w:r>
              <w:rPr>
                <w:rFonts w:ascii="Tahoma"/>
                <w:b/>
                <w:color w:val="1F1F1F"/>
                <w:spacing w:val="-4"/>
                <w:sz w:val="20"/>
              </w:rPr>
              <w:t>0.76</w:t>
            </w:r>
          </w:p>
        </w:tc>
        <w:tc>
          <w:tcPr>
            <w:tcW w:w="820" w:type="dxa"/>
          </w:tcPr>
          <w:p>
            <w:pPr>
              <w:pStyle w:val="TableParagraph"/>
              <w:ind w:left="99"/>
              <w:rPr>
                <w:rFonts w:ascii="Tahoma"/>
                <w:b/>
                <w:sz w:val="20"/>
              </w:rPr>
            </w:pPr>
            <w:r>
              <w:rPr>
                <w:rFonts w:ascii="Tahoma"/>
                <w:b/>
                <w:color w:val="1F1F1F"/>
                <w:spacing w:val="-2"/>
                <w:sz w:val="20"/>
              </w:rPr>
              <w:t>0.023</w:t>
            </w:r>
          </w:p>
        </w:tc>
        <w:tc>
          <w:tcPr>
            <w:tcW w:w="820" w:type="dxa"/>
          </w:tcPr>
          <w:p>
            <w:pPr>
              <w:pStyle w:val="TableParagraph"/>
              <w:ind w:left="104"/>
              <w:rPr>
                <w:rFonts w:ascii="Tahoma"/>
                <w:b/>
                <w:sz w:val="20"/>
              </w:rPr>
            </w:pPr>
            <w:r>
              <w:rPr>
                <w:rFonts w:ascii="Tahoma"/>
                <w:b/>
                <w:color w:val="1F1F1F"/>
                <w:spacing w:val="-10"/>
                <w:w w:val="105"/>
                <w:sz w:val="20"/>
              </w:rPr>
              <w:t>0</w:t>
            </w:r>
          </w:p>
        </w:tc>
        <w:tc>
          <w:tcPr>
            <w:tcW w:w="1240" w:type="dxa"/>
          </w:tcPr>
          <w:p>
            <w:pPr>
              <w:pStyle w:val="TableParagraph"/>
              <w:ind w:left="109"/>
              <w:rPr>
                <w:rFonts w:ascii="Tahoma"/>
                <w:b/>
                <w:sz w:val="20"/>
              </w:rPr>
            </w:pPr>
            <w:r>
              <w:rPr>
                <w:rFonts w:ascii="Tahoma"/>
                <w:b/>
                <w:color w:val="1F1F1F"/>
                <w:spacing w:val="-4"/>
                <w:sz w:val="20"/>
              </w:rPr>
              <w:t>Bal.</w:t>
            </w:r>
          </w:p>
        </w:tc>
      </w:tr>
      <w:tr>
        <w:trPr>
          <w:trHeight w:val="439" w:hRule="atLeast"/>
        </w:trPr>
        <w:tc>
          <w:tcPr>
            <w:tcW w:w="1660" w:type="dxa"/>
          </w:tcPr>
          <w:p>
            <w:pPr>
              <w:pStyle w:val="TableParagraph"/>
              <w:spacing w:before="96"/>
              <w:ind w:left="109"/>
              <w:rPr>
                <w:rFonts w:ascii="Tahoma"/>
                <w:b/>
                <w:sz w:val="20"/>
              </w:rPr>
            </w:pPr>
            <w:r>
              <w:rPr>
                <w:rFonts w:ascii="Tahoma"/>
                <w:b/>
                <w:color w:val="1F1F1F"/>
                <w:w w:val="105"/>
                <w:sz w:val="20"/>
              </w:rPr>
              <w:t>Ce-</w:t>
            </w:r>
            <w:r>
              <w:rPr>
                <w:rFonts w:ascii="Tahoma"/>
                <w:b/>
                <w:color w:val="1F1F1F"/>
                <w:spacing w:val="-4"/>
                <w:w w:val="105"/>
                <w:sz w:val="20"/>
              </w:rPr>
              <w:t>0.04</w:t>
            </w:r>
          </w:p>
        </w:tc>
        <w:tc>
          <w:tcPr>
            <w:tcW w:w="840" w:type="dxa"/>
          </w:tcPr>
          <w:p>
            <w:pPr>
              <w:pStyle w:val="TableParagraph"/>
              <w:spacing w:before="96"/>
              <w:rPr>
                <w:rFonts w:ascii="Tahoma"/>
                <w:b/>
                <w:sz w:val="20"/>
              </w:rPr>
            </w:pPr>
            <w:r>
              <w:rPr>
                <w:rFonts w:ascii="Tahoma"/>
                <w:b/>
                <w:color w:val="1F1F1F"/>
                <w:spacing w:val="-2"/>
                <w:sz w:val="20"/>
              </w:rPr>
              <w:t>0.703</w:t>
            </w:r>
          </w:p>
        </w:tc>
        <w:tc>
          <w:tcPr>
            <w:tcW w:w="840" w:type="dxa"/>
          </w:tcPr>
          <w:p>
            <w:pPr>
              <w:pStyle w:val="TableParagraph"/>
              <w:spacing w:before="96"/>
              <w:rPr>
                <w:rFonts w:ascii="Tahoma"/>
                <w:b/>
                <w:sz w:val="20"/>
              </w:rPr>
            </w:pPr>
            <w:r>
              <w:rPr>
                <w:rFonts w:ascii="Tahoma"/>
                <w:b/>
                <w:color w:val="1F1F1F"/>
                <w:spacing w:val="-4"/>
                <w:w w:val="95"/>
                <w:sz w:val="20"/>
              </w:rPr>
              <w:t>12.5</w:t>
            </w:r>
          </w:p>
        </w:tc>
        <w:tc>
          <w:tcPr>
            <w:tcW w:w="840" w:type="dxa"/>
          </w:tcPr>
          <w:p>
            <w:pPr>
              <w:pStyle w:val="TableParagraph"/>
              <w:spacing w:before="96"/>
              <w:rPr>
                <w:rFonts w:ascii="Tahoma"/>
                <w:b/>
                <w:sz w:val="20"/>
              </w:rPr>
            </w:pPr>
            <w:r>
              <w:rPr>
                <w:rFonts w:ascii="Tahoma"/>
                <w:b/>
                <w:color w:val="1F1F1F"/>
                <w:spacing w:val="-4"/>
                <w:sz w:val="20"/>
              </w:rPr>
              <w:t>0.75</w:t>
            </w:r>
          </w:p>
        </w:tc>
        <w:tc>
          <w:tcPr>
            <w:tcW w:w="840" w:type="dxa"/>
          </w:tcPr>
          <w:p>
            <w:pPr>
              <w:pStyle w:val="TableParagraph"/>
              <w:spacing w:before="96"/>
              <w:rPr>
                <w:rFonts w:ascii="Tahoma"/>
                <w:b/>
                <w:sz w:val="20"/>
              </w:rPr>
            </w:pPr>
            <w:r>
              <w:rPr>
                <w:rFonts w:ascii="Tahoma"/>
                <w:b/>
                <w:color w:val="1F1F1F"/>
                <w:spacing w:val="-4"/>
                <w:sz w:val="20"/>
              </w:rPr>
              <w:t>0.42</w:t>
            </w:r>
          </w:p>
        </w:tc>
        <w:tc>
          <w:tcPr>
            <w:tcW w:w="840" w:type="dxa"/>
          </w:tcPr>
          <w:p>
            <w:pPr>
              <w:pStyle w:val="TableParagraph"/>
              <w:spacing w:before="96"/>
              <w:rPr>
                <w:rFonts w:ascii="Tahoma"/>
                <w:b/>
                <w:sz w:val="20"/>
              </w:rPr>
            </w:pPr>
            <w:r>
              <w:rPr>
                <w:rFonts w:ascii="Tahoma"/>
                <w:b/>
                <w:color w:val="1F1F1F"/>
                <w:spacing w:val="-2"/>
                <w:sz w:val="20"/>
              </w:rPr>
              <w:t>0.305</w:t>
            </w:r>
          </w:p>
        </w:tc>
        <w:tc>
          <w:tcPr>
            <w:tcW w:w="840" w:type="dxa"/>
          </w:tcPr>
          <w:p>
            <w:pPr>
              <w:pStyle w:val="TableParagraph"/>
              <w:spacing w:before="96"/>
              <w:rPr>
                <w:rFonts w:ascii="Tahoma"/>
                <w:b/>
                <w:sz w:val="20"/>
              </w:rPr>
            </w:pPr>
            <w:r>
              <w:rPr>
                <w:rFonts w:ascii="Tahoma"/>
                <w:b/>
                <w:color w:val="1F1F1F"/>
                <w:spacing w:val="-4"/>
                <w:sz w:val="20"/>
              </w:rPr>
              <w:t>0.74</w:t>
            </w:r>
          </w:p>
        </w:tc>
        <w:tc>
          <w:tcPr>
            <w:tcW w:w="820" w:type="dxa"/>
          </w:tcPr>
          <w:p>
            <w:pPr>
              <w:pStyle w:val="TableParagraph"/>
              <w:spacing w:before="96"/>
              <w:ind w:left="99"/>
              <w:rPr>
                <w:rFonts w:ascii="Tahoma"/>
                <w:b/>
                <w:sz w:val="20"/>
              </w:rPr>
            </w:pPr>
            <w:r>
              <w:rPr>
                <w:rFonts w:ascii="Tahoma"/>
                <w:b/>
                <w:color w:val="1F1F1F"/>
                <w:spacing w:val="-2"/>
                <w:sz w:val="20"/>
              </w:rPr>
              <w:t>0.024</w:t>
            </w:r>
          </w:p>
        </w:tc>
        <w:tc>
          <w:tcPr>
            <w:tcW w:w="820" w:type="dxa"/>
          </w:tcPr>
          <w:p>
            <w:pPr>
              <w:pStyle w:val="TableParagraph"/>
              <w:spacing w:before="96"/>
              <w:ind w:left="104"/>
              <w:rPr>
                <w:rFonts w:ascii="Tahoma"/>
                <w:b/>
                <w:sz w:val="20"/>
              </w:rPr>
            </w:pPr>
            <w:r>
              <w:rPr>
                <w:rFonts w:ascii="Tahoma"/>
                <w:b/>
                <w:color w:val="1F1F1F"/>
                <w:spacing w:val="-4"/>
                <w:sz w:val="20"/>
              </w:rPr>
              <w:t>0.04</w:t>
            </w:r>
          </w:p>
        </w:tc>
        <w:tc>
          <w:tcPr>
            <w:tcW w:w="1240" w:type="dxa"/>
          </w:tcPr>
          <w:p>
            <w:pPr>
              <w:pStyle w:val="TableParagraph"/>
              <w:spacing w:before="96"/>
              <w:ind w:left="109"/>
              <w:rPr>
                <w:rFonts w:ascii="Tahoma"/>
                <w:b/>
                <w:sz w:val="20"/>
              </w:rPr>
            </w:pPr>
            <w:r>
              <w:rPr>
                <w:rFonts w:ascii="Tahoma"/>
                <w:b/>
                <w:color w:val="1F1F1F"/>
                <w:spacing w:val="-4"/>
                <w:sz w:val="20"/>
              </w:rPr>
              <w:t>Bal.</w:t>
            </w:r>
          </w:p>
        </w:tc>
      </w:tr>
      <w:tr>
        <w:trPr>
          <w:trHeight w:val="460" w:hRule="atLeast"/>
        </w:trPr>
        <w:tc>
          <w:tcPr>
            <w:tcW w:w="1660" w:type="dxa"/>
          </w:tcPr>
          <w:p>
            <w:pPr>
              <w:pStyle w:val="TableParagraph"/>
              <w:spacing w:before="112"/>
              <w:ind w:left="109"/>
              <w:rPr>
                <w:rFonts w:ascii="Tahoma"/>
                <w:b/>
                <w:sz w:val="20"/>
              </w:rPr>
            </w:pPr>
            <w:r>
              <w:rPr>
                <w:rFonts w:ascii="Tahoma"/>
                <w:b/>
                <w:color w:val="1F1F1F"/>
                <w:w w:val="105"/>
                <w:sz w:val="20"/>
              </w:rPr>
              <w:t>Ce-</w:t>
            </w:r>
            <w:r>
              <w:rPr>
                <w:rFonts w:ascii="Tahoma"/>
                <w:b/>
                <w:color w:val="1F1F1F"/>
                <w:spacing w:val="-4"/>
                <w:w w:val="105"/>
                <w:sz w:val="20"/>
              </w:rPr>
              <w:t>0.06</w:t>
            </w:r>
          </w:p>
        </w:tc>
        <w:tc>
          <w:tcPr>
            <w:tcW w:w="840" w:type="dxa"/>
          </w:tcPr>
          <w:p>
            <w:pPr>
              <w:pStyle w:val="TableParagraph"/>
              <w:spacing w:before="112"/>
              <w:rPr>
                <w:rFonts w:ascii="Tahoma"/>
                <w:b/>
                <w:sz w:val="20"/>
              </w:rPr>
            </w:pPr>
            <w:r>
              <w:rPr>
                <w:rFonts w:ascii="Tahoma"/>
                <w:b/>
                <w:color w:val="1F1F1F"/>
                <w:spacing w:val="-2"/>
                <w:sz w:val="20"/>
              </w:rPr>
              <w:t>0.705</w:t>
            </w:r>
          </w:p>
        </w:tc>
        <w:tc>
          <w:tcPr>
            <w:tcW w:w="840" w:type="dxa"/>
          </w:tcPr>
          <w:p>
            <w:pPr>
              <w:pStyle w:val="TableParagraph"/>
              <w:spacing w:before="112"/>
              <w:rPr>
                <w:rFonts w:ascii="Tahoma"/>
                <w:b/>
                <w:sz w:val="20"/>
              </w:rPr>
            </w:pPr>
            <w:r>
              <w:rPr>
                <w:rFonts w:ascii="Tahoma"/>
                <w:b/>
                <w:color w:val="1F1F1F"/>
                <w:spacing w:val="-4"/>
                <w:w w:val="95"/>
                <w:sz w:val="20"/>
              </w:rPr>
              <w:t>12.3</w:t>
            </w:r>
          </w:p>
        </w:tc>
        <w:tc>
          <w:tcPr>
            <w:tcW w:w="840" w:type="dxa"/>
          </w:tcPr>
          <w:p>
            <w:pPr>
              <w:pStyle w:val="TableParagraph"/>
              <w:spacing w:before="112"/>
              <w:rPr>
                <w:rFonts w:ascii="Tahoma"/>
                <w:b/>
                <w:sz w:val="20"/>
              </w:rPr>
            </w:pPr>
            <w:r>
              <w:rPr>
                <w:rFonts w:ascii="Tahoma"/>
                <w:b/>
                <w:color w:val="1F1F1F"/>
                <w:spacing w:val="-4"/>
                <w:sz w:val="20"/>
              </w:rPr>
              <w:t>0.73</w:t>
            </w:r>
          </w:p>
        </w:tc>
        <w:tc>
          <w:tcPr>
            <w:tcW w:w="840" w:type="dxa"/>
          </w:tcPr>
          <w:p>
            <w:pPr>
              <w:pStyle w:val="TableParagraph"/>
              <w:spacing w:before="112"/>
              <w:rPr>
                <w:rFonts w:ascii="Tahoma"/>
                <w:b/>
                <w:sz w:val="20"/>
              </w:rPr>
            </w:pPr>
            <w:r>
              <w:rPr>
                <w:rFonts w:ascii="Tahoma"/>
                <w:b/>
                <w:color w:val="1F1F1F"/>
                <w:spacing w:val="-4"/>
                <w:sz w:val="20"/>
              </w:rPr>
              <w:t>0.46</w:t>
            </w:r>
          </w:p>
        </w:tc>
        <w:tc>
          <w:tcPr>
            <w:tcW w:w="840" w:type="dxa"/>
          </w:tcPr>
          <w:p>
            <w:pPr>
              <w:pStyle w:val="TableParagraph"/>
              <w:spacing w:before="112"/>
              <w:rPr>
                <w:rFonts w:ascii="Tahoma"/>
                <w:b/>
                <w:sz w:val="20"/>
              </w:rPr>
            </w:pPr>
            <w:r>
              <w:rPr>
                <w:rFonts w:ascii="Tahoma"/>
                <w:b/>
                <w:color w:val="1F1F1F"/>
                <w:spacing w:val="-2"/>
                <w:sz w:val="20"/>
              </w:rPr>
              <w:t>0.307</w:t>
            </w:r>
          </w:p>
        </w:tc>
        <w:tc>
          <w:tcPr>
            <w:tcW w:w="840" w:type="dxa"/>
          </w:tcPr>
          <w:p>
            <w:pPr>
              <w:pStyle w:val="TableParagraph"/>
              <w:spacing w:before="112"/>
              <w:rPr>
                <w:rFonts w:ascii="Tahoma"/>
                <w:b/>
                <w:sz w:val="20"/>
              </w:rPr>
            </w:pPr>
            <w:r>
              <w:rPr>
                <w:rFonts w:ascii="Tahoma"/>
                <w:b/>
                <w:color w:val="1F1F1F"/>
                <w:spacing w:val="-4"/>
                <w:sz w:val="20"/>
              </w:rPr>
              <w:t>0.78</w:t>
            </w:r>
          </w:p>
        </w:tc>
        <w:tc>
          <w:tcPr>
            <w:tcW w:w="820" w:type="dxa"/>
          </w:tcPr>
          <w:p>
            <w:pPr>
              <w:pStyle w:val="TableParagraph"/>
              <w:spacing w:before="112"/>
              <w:ind w:left="99"/>
              <w:rPr>
                <w:rFonts w:ascii="Tahoma"/>
                <w:b/>
                <w:sz w:val="20"/>
              </w:rPr>
            </w:pPr>
            <w:r>
              <w:rPr>
                <w:rFonts w:ascii="Tahoma"/>
                <w:b/>
                <w:color w:val="1F1F1F"/>
                <w:spacing w:val="-2"/>
                <w:sz w:val="20"/>
              </w:rPr>
              <w:t>0.025</w:t>
            </w:r>
          </w:p>
        </w:tc>
        <w:tc>
          <w:tcPr>
            <w:tcW w:w="820" w:type="dxa"/>
          </w:tcPr>
          <w:p>
            <w:pPr>
              <w:pStyle w:val="TableParagraph"/>
              <w:spacing w:before="112"/>
              <w:ind w:left="104"/>
              <w:rPr>
                <w:rFonts w:ascii="Tahoma"/>
                <w:b/>
                <w:sz w:val="20"/>
              </w:rPr>
            </w:pPr>
            <w:r>
              <w:rPr>
                <w:rFonts w:ascii="Tahoma"/>
                <w:b/>
                <w:color w:val="1F1F1F"/>
                <w:spacing w:val="-4"/>
                <w:sz w:val="20"/>
              </w:rPr>
              <w:t>0.06</w:t>
            </w:r>
          </w:p>
        </w:tc>
        <w:tc>
          <w:tcPr>
            <w:tcW w:w="1240" w:type="dxa"/>
          </w:tcPr>
          <w:p>
            <w:pPr>
              <w:pStyle w:val="TableParagraph"/>
              <w:spacing w:before="112"/>
              <w:ind w:left="109"/>
              <w:rPr>
                <w:rFonts w:ascii="Tahoma"/>
                <w:b/>
                <w:sz w:val="20"/>
              </w:rPr>
            </w:pPr>
            <w:r>
              <w:rPr>
                <w:rFonts w:ascii="Tahoma"/>
                <w:b/>
                <w:color w:val="1F1F1F"/>
                <w:spacing w:val="-4"/>
                <w:sz w:val="20"/>
              </w:rPr>
              <w:t>Bal.</w:t>
            </w:r>
          </w:p>
        </w:tc>
      </w:tr>
    </w:tbl>
    <w:p>
      <w:pPr>
        <w:pStyle w:val="Heading4"/>
        <w:numPr>
          <w:ilvl w:val="1"/>
          <w:numId w:val="2"/>
        </w:numPr>
        <w:tabs>
          <w:tab w:pos="2461" w:val="left" w:leader="none"/>
        </w:tabs>
        <w:spacing w:line="240" w:lineRule="auto" w:before="355" w:after="0"/>
        <w:ind w:left="2461" w:right="0" w:hanging="477"/>
        <w:jc w:val="left"/>
      </w:pPr>
      <w:r>
        <w:rPr/>
        <w:t>Phase</w:t>
      </w:r>
      <w:r>
        <w:rPr>
          <w:spacing w:val="-6"/>
        </w:rPr>
        <w:t> </w:t>
      </w:r>
      <w:r>
        <w:rPr/>
        <w:t>Analysis</w:t>
      </w:r>
      <w:r>
        <w:rPr>
          <w:spacing w:val="-5"/>
        </w:rPr>
        <w:t> </w:t>
      </w:r>
      <w:r>
        <w:rPr/>
        <w:t>using</w:t>
      </w:r>
      <w:r>
        <w:rPr>
          <w:spacing w:val="-5"/>
        </w:rPr>
        <w:t> </w:t>
      </w:r>
      <w:r>
        <w:rPr/>
        <w:t>XRD</w:t>
      </w:r>
      <w:r>
        <w:rPr>
          <w:spacing w:val="-5"/>
        </w:rPr>
        <w:t> </w:t>
      </w:r>
      <w:r>
        <w:rPr>
          <w:spacing w:val="-10"/>
        </w:rPr>
        <w:t>:</w:t>
      </w:r>
    </w:p>
    <w:p>
      <w:pPr>
        <w:pStyle w:val="BodyText"/>
        <w:spacing w:before="345"/>
        <w:ind w:left="1984" w:right="719"/>
        <w:jc w:val="both"/>
      </w:pPr>
      <w:r>
        <w:rPr/>
        <w:t>Phase</w:t>
      </w:r>
      <w:r>
        <w:rPr>
          <w:spacing w:val="-4"/>
        </w:rPr>
        <w:t> </w:t>
      </w:r>
      <w:r>
        <w:rPr/>
        <w:t>analysis</w:t>
      </w:r>
      <w:r>
        <w:rPr>
          <w:spacing w:val="-4"/>
        </w:rPr>
        <w:t> </w:t>
      </w:r>
      <w:r>
        <w:rPr/>
        <w:t>using</w:t>
      </w:r>
      <w:r>
        <w:rPr>
          <w:spacing w:val="-4"/>
        </w:rPr>
        <w:t> </w:t>
      </w:r>
      <w:r>
        <w:rPr/>
        <w:t>X-Ray</w:t>
      </w:r>
      <w:r>
        <w:rPr>
          <w:spacing w:val="-4"/>
        </w:rPr>
        <w:t> </w:t>
      </w:r>
      <w:r>
        <w:rPr/>
        <w:t>Diffraction</w:t>
      </w:r>
      <w:r>
        <w:rPr>
          <w:spacing w:val="-4"/>
        </w:rPr>
        <w:t> </w:t>
      </w:r>
      <w:r>
        <w:rPr/>
        <w:t>(XRD)</w:t>
      </w:r>
      <w:r>
        <w:rPr>
          <w:spacing w:val="-4"/>
        </w:rPr>
        <w:t> </w:t>
      </w:r>
      <w:r>
        <w:rPr/>
        <w:t>is</w:t>
      </w:r>
      <w:r>
        <w:rPr>
          <w:spacing w:val="-4"/>
        </w:rPr>
        <w:t> </w:t>
      </w:r>
      <w:r>
        <w:rPr/>
        <w:t>the</w:t>
      </w:r>
      <w:r>
        <w:rPr>
          <w:spacing w:val="-4"/>
        </w:rPr>
        <w:t> </w:t>
      </w:r>
      <w:r>
        <w:rPr/>
        <w:t>process</w:t>
      </w:r>
      <w:r>
        <w:rPr>
          <w:spacing w:val="-4"/>
        </w:rPr>
        <w:t> </w:t>
      </w:r>
      <w:r>
        <w:rPr/>
        <w:t>of</w:t>
      </w:r>
      <w:r>
        <w:rPr>
          <w:spacing w:val="-4"/>
        </w:rPr>
        <w:t> </w:t>
      </w:r>
      <w:r>
        <w:rPr/>
        <w:t>identifying</w:t>
      </w:r>
      <w:r>
        <w:rPr>
          <w:spacing w:val="-4"/>
        </w:rPr>
        <w:t> </w:t>
      </w:r>
      <w:r>
        <w:rPr/>
        <w:t>and</w:t>
      </w:r>
      <w:r>
        <w:rPr>
          <w:spacing w:val="-4"/>
        </w:rPr>
        <w:t> </w:t>
      </w:r>
      <w:r>
        <w:rPr/>
        <w:t>quantifying</w:t>
      </w:r>
      <w:r>
        <w:rPr>
          <w:spacing w:val="-4"/>
        </w:rPr>
        <w:t> </w:t>
      </w:r>
      <w:r>
        <w:rPr/>
        <w:t>the crystalline phases (compounds or minerals) present in</w:t>
      </w:r>
      <w:r>
        <w:rPr>
          <w:spacing w:val="-3"/>
        </w:rPr>
        <w:t> </w:t>
      </w:r>
      <w:r>
        <w:rPr/>
        <w:t>a</w:t>
      </w:r>
      <w:r>
        <w:rPr>
          <w:spacing w:val="-3"/>
        </w:rPr>
        <w:t> </w:t>
      </w:r>
      <w:r>
        <w:rPr/>
        <w:t>material.</w:t>
      </w:r>
      <w:r>
        <w:rPr>
          <w:spacing w:val="-3"/>
        </w:rPr>
        <w:t> </w:t>
      </w:r>
      <w:r>
        <w:rPr/>
        <w:t>It</w:t>
      </w:r>
      <w:r>
        <w:rPr>
          <w:spacing w:val="-3"/>
        </w:rPr>
        <w:t> </w:t>
      </w:r>
      <w:r>
        <w:rPr/>
        <w:t>works</w:t>
      </w:r>
      <w:r>
        <w:rPr>
          <w:spacing w:val="-3"/>
        </w:rPr>
        <w:t> </w:t>
      </w:r>
      <w:r>
        <w:rPr/>
        <w:t>on</w:t>
      </w:r>
      <w:r>
        <w:rPr>
          <w:spacing w:val="-3"/>
        </w:rPr>
        <w:t> </w:t>
      </w:r>
      <w:r>
        <w:rPr/>
        <w:t>the</w:t>
      </w:r>
      <w:r>
        <w:rPr>
          <w:spacing w:val="-3"/>
        </w:rPr>
        <w:t> </w:t>
      </w:r>
      <w:r>
        <w:rPr/>
        <w:t>principle</w:t>
      </w:r>
      <w:r>
        <w:rPr>
          <w:spacing w:val="-3"/>
        </w:rPr>
        <w:t> </w:t>
      </w:r>
      <w:r>
        <w:rPr/>
        <w:t>that every crystalline substance has a unique atomic structure, which produces</w:t>
      </w:r>
      <w:r>
        <w:rPr>
          <w:spacing w:val="-3"/>
        </w:rPr>
        <w:t> </w:t>
      </w:r>
      <w:r>
        <w:rPr/>
        <w:t>a</w:t>
      </w:r>
      <w:r>
        <w:rPr>
          <w:spacing w:val="-3"/>
        </w:rPr>
        <w:t> </w:t>
      </w:r>
      <w:r>
        <w:rPr/>
        <w:t>unique</w:t>
      </w:r>
      <w:r>
        <w:rPr>
          <w:spacing w:val="-3"/>
        </w:rPr>
        <w:t> </w:t>
      </w:r>
      <w:r>
        <w:rPr/>
        <w:t>diffraction pattern—effectively a "fingerprint."</w:t>
      </w:r>
    </w:p>
    <w:p>
      <w:pPr>
        <w:pStyle w:val="BodyText"/>
        <w:spacing w:before="69"/>
      </w:pPr>
    </w:p>
    <w:p>
      <w:pPr>
        <w:pStyle w:val="BodyText"/>
        <w:ind w:left="1984" w:right="726"/>
        <w:jc w:val="both"/>
      </w:pPr>
      <w:r>
        <w:rPr/>
        <w:t>The X-ray diffraction patterns obtained for the Ce-0, Ce-0.04, and Ce-0.06 specimens </w:t>
      </w:r>
      <w:r>
        <w:rPr/>
        <w:t>are presented in the project data. All three patterns exhibit a similar profile, showing same diffraction peaks at 2(((theta))</w:t>
      </w:r>
      <w:r>
        <w:rPr>
          <w:spacing w:val="-5"/>
        </w:rPr>
        <w:t> </w:t>
      </w:r>
      <w:r>
        <w:rPr/>
        <w:t>angles</w:t>
      </w:r>
      <w:r>
        <w:rPr>
          <w:spacing w:val="-5"/>
        </w:rPr>
        <w:t> </w:t>
      </w:r>
      <w:r>
        <w:rPr/>
        <w:t>corresponding</w:t>
      </w:r>
      <w:r>
        <w:rPr>
          <w:spacing w:val="-5"/>
        </w:rPr>
        <w:t> </w:t>
      </w:r>
      <w:r>
        <w:rPr/>
        <w:t>to</w:t>
      </w:r>
      <w:r>
        <w:rPr>
          <w:spacing w:val="-5"/>
        </w:rPr>
        <w:t> </w:t>
      </w:r>
      <w:r>
        <w:rPr/>
        <w:t>the</w:t>
      </w:r>
      <w:r>
        <w:rPr>
          <w:spacing w:val="-5"/>
        </w:rPr>
        <w:t> </w:t>
      </w:r>
      <w:r>
        <w:rPr/>
        <w:t>(111),</w:t>
      </w:r>
      <w:r>
        <w:rPr>
          <w:spacing w:val="-5"/>
        </w:rPr>
        <w:t> </w:t>
      </w:r>
      <w:r>
        <w:rPr/>
        <w:t>(200),</w:t>
      </w:r>
      <w:r>
        <w:rPr>
          <w:spacing w:val="-5"/>
        </w:rPr>
        <w:t> </w:t>
      </w:r>
      <w:r>
        <w:rPr/>
        <w:t>(220),</w:t>
      </w:r>
      <w:r>
        <w:rPr>
          <w:spacing w:val="-5"/>
        </w:rPr>
        <w:t> </w:t>
      </w:r>
      <w:r>
        <w:rPr/>
        <w:t>(311),</w:t>
      </w:r>
      <w:r>
        <w:rPr>
          <w:spacing w:val="-5"/>
        </w:rPr>
        <w:t> </w:t>
      </w:r>
      <w:r>
        <w:rPr/>
        <w:t>and</w:t>
      </w:r>
      <w:r>
        <w:rPr>
          <w:spacing w:val="-5"/>
        </w:rPr>
        <w:t> </w:t>
      </w:r>
      <w:r>
        <w:rPr/>
        <w:t>(222) crystallographic planes.</w:t>
      </w:r>
    </w:p>
    <w:p>
      <w:pPr>
        <w:pStyle w:val="BodyText"/>
        <w:spacing w:before="98"/>
        <w:rPr>
          <w:sz w:val="20"/>
        </w:rPr>
      </w:pPr>
      <w:r>
        <w:rPr>
          <w:sz w:val="20"/>
        </w:rPr>
        <w:drawing>
          <wp:anchor distT="0" distB="0" distL="0" distR="0" allowOverlap="1" layoutInCell="1" locked="0" behindDoc="1" simplePos="0" relativeHeight="487590912">
            <wp:simplePos x="0" y="0"/>
            <wp:positionH relativeFrom="page">
              <wp:posOffset>1279049</wp:posOffset>
            </wp:positionH>
            <wp:positionV relativeFrom="paragraph">
              <wp:posOffset>223691</wp:posOffset>
            </wp:positionV>
            <wp:extent cx="4111371" cy="3470148"/>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4111371" cy="3470148"/>
                    </a:xfrm>
                    <a:prstGeom prst="rect">
                      <a:avLst/>
                    </a:prstGeom>
                  </pic:spPr>
                </pic:pic>
              </a:graphicData>
            </a:graphic>
          </wp:anchor>
        </w:drawing>
      </w:r>
    </w:p>
    <w:p>
      <w:pPr>
        <w:pStyle w:val="BodyText"/>
        <w:spacing w:after="0"/>
        <w:rPr>
          <w:sz w:val="20"/>
        </w:rPr>
        <w:sectPr>
          <w:pgSz w:w="12240" w:h="15840"/>
          <w:pgMar w:header="545" w:footer="0" w:top="760" w:bottom="280" w:left="0" w:right="360"/>
        </w:sectPr>
      </w:pPr>
    </w:p>
    <w:p>
      <w:pPr>
        <w:pStyle w:val="BodyText"/>
        <w:spacing w:before="79"/>
        <w:ind w:right="1022"/>
        <w:jc w:val="right"/>
      </w:pPr>
      <w:r>
        <w:rPr>
          <w:spacing w:val="-5"/>
        </w:rPr>
        <w:t>11</w:t>
      </w:r>
    </w:p>
    <w:p>
      <w:pPr>
        <w:pStyle w:val="BodyText"/>
        <w:spacing w:before="9"/>
        <w:ind w:left="1984" w:right="718"/>
        <w:jc w:val="both"/>
      </w:pPr>
      <w:r>
        <w:rPr/>
        <w:t>Austenite Stability: Indexing of these peaks confirms that the matrix is</w:t>
      </w:r>
      <w:r>
        <w:rPr>
          <w:spacing w:val="-3"/>
        </w:rPr>
        <w:t> </w:t>
      </w:r>
      <w:r>
        <w:rPr/>
        <w:t>fully</w:t>
      </w:r>
      <w:r>
        <w:rPr>
          <w:spacing w:val="-3"/>
        </w:rPr>
        <w:t> </w:t>
      </w:r>
      <w:r>
        <w:rPr/>
        <w:t>Austenitic.</w:t>
      </w:r>
      <w:r>
        <w:rPr>
          <w:spacing w:val="-3"/>
        </w:rPr>
        <w:t> </w:t>
      </w:r>
      <w:r>
        <w:rPr/>
        <w:t>There are no detectable peaks associated with BCC ferrite.</w:t>
      </w:r>
      <w:r>
        <w:rPr>
          <w:spacing w:val="-3"/>
        </w:rPr>
        <w:t> </w:t>
      </w:r>
      <w:r>
        <w:rPr/>
        <w:t>This</w:t>
      </w:r>
      <w:r>
        <w:rPr>
          <w:spacing w:val="-3"/>
        </w:rPr>
        <w:t> </w:t>
      </w:r>
      <w:r>
        <w:rPr/>
        <w:t>indicates</w:t>
      </w:r>
      <w:r>
        <w:rPr>
          <w:spacing w:val="-3"/>
        </w:rPr>
        <w:t> </w:t>
      </w:r>
      <w:r>
        <w:rPr/>
        <w:t>that</w:t>
      </w:r>
      <w:r>
        <w:rPr>
          <w:spacing w:val="-3"/>
        </w:rPr>
        <w:t> </w:t>
      </w:r>
      <w:r>
        <w:rPr/>
        <w:t>the</w:t>
      </w:r>
      <w:r>
        <w:rPr>
          <w:spacing w:val="-3"/>
        </w:rPr>
        <w:t> </w:t>
      </w:r>
      <w:r>
        <w:rPr/>
        <w:t>addition</w:t>
      </w:r>
      <w:r>
        <w:rPr>
          <w:spacing w:val="-3"/>
        </w:rPr>
        <w:t> </w:t>
      </w:r>
      <w:r>
        <w:rPr/>
        <w:t>of</w:t>
      </w:r>
      <w:r>
        <w:rPr>
          <w:spacing w:val="-3"/>
        </w:rPr>
        <w:t> </w:t>
      </w:r>
      <w:r>
        <w:rPr/>
        <w:t>Cerium up to 0.06 wt.% does not destabilize the austenite phase.</w:t>
      </w:r>
    </w:p>
    <w:p>
      <w:pPr>
        <w:pStyle w:val="BodyText"/>
        <w:spacing w:before="45"/>
      </w:pPr>
    </w:p>
    <w:p>
      <w:pPr>
        <w:pStyle w:val="Heading5"/>
        <w:numPr>
          <w:ilvl w:val="1"/>
          <w:numId w:val="2"/>
        </w:numPr>
        <w:tabs>
          <w:tab w:pos="2434" w:val="left" w:leader="none"/>
        </w:tabs>
        <w:spacing w:line="240" w:lineRule="auto" w:before="1" w:after="0"/>
        <w:ind w:left="2434" w:right="0" w:hanging="450"/>
        <w:jc w:val="left"/>
      </w:pPr>
      <w:r>
        <w:rPr/>
        <w:t>Hardness</w:t>
      </w:r>
      <w:r>
        <w:rPr>
          <w:spacing w:val="-2"/>
        </w:rPr>
        <w:t> </w:t>
      </w:r>
      <w:r>
        <w:rPr/>
        <w:t>and Grain Size </w:t>
      </w:r>
      <w:r>
        <w:rPr>
          <w:spacing w:val="-2"/>
        </w:rPr>
        <w:t>Correlation</w:t>
      </w:r>
    </w:p>
    <w:p>
      <w:pPr>
        <w:pStyle w:val="BodyText"/>
        <w:spacing w:before="97"/>
        <w:rPr>
          <w:b/>
          <w:sz w:val="20"/>
        </w:rPr>
      </w:pPr>
      <w:r>
        <w:rPr>
          <w:b/>
          <w:sz w:val="20"/>
        </w:rPr>
        <w:drawing>
          <wp:anchor distT="0" distB="0" distL="0" distR="0" allowOverlap="1" layoutInCell="1" locked="0" behindDoc="1" simplePos="0" relativeHeight="487591424">
            <wp:simplePos x="0" y="0"/>
            <wp:positionH relativeFrom="page">
              <wp:posOffset>1323475</wp:posOffset>
            </wp:positionH>
            <wp:positionV relativeFrom="paragraph">
              <wp:posOffset>223474</wp:posOffset>
            </wp:positionV>
            <wp:extent cx="4781550" cy="3257550"/>
            <wp:effectExtent l="0" t="0" r="0" b="0"/>
            <wp:wrapTopAndBottom/>
            <wp:docPr id="17" name="Image 17" descr="A graph of different sizes of bars  AI-generated content may be incorrect."/>
            <wp:cNvGraphicFramePr>
              <a:graphicFrameLocks/>
            </wp:cNvGraphicFramePr>
            <a:graphic>
              <a:graphicData uri="http://schemas.openxmlformats.org/drawingml/2006/picture">
                <pic:pic>
                  <pic:nvPicPr>
                    <pic:cNvPr id="17" name="Image 17" descr="A graph of different sizes of bars  AI-generated content may be incorrect."/>
                    <pic:cNvPicPr/>
                  </pic:nvPicPr>
                  <pic:blipFill>
                    <a:blip r:embed="rId22" cstate="print"/>
                    <a:stretch>
                      <a:fillRect/>
                    </a:stretch>
                  </pic:blipFill>
                  <pic:spPr>
                    <a:xfrm>
                      <a:off x="0" y="0"/>
                      <a:ext cx="4781550" cy="3257550"/>
                    </a:xfrm>
                    <a:prstGeom prst="rect">
                      <a:avLst/>
                    </a:prstGeom>
                  </pic:spPr>
                </pic:pic>
              </a:graphicData>
            </a:graphic>
          </wp:anchor>
        </w:drawing>
      </w:r>
    </w:p>
    <w:p>
      <w:pPr>
        <w:spacing w:before="60"/>
        <w:ind w:left="1984" w:right="0" w:firstLine="0"/>
        <w:jc w:val="both"/>
        <w:rPr>
          <w:sz w:val="20"/>
        </w:rPr>
      </w:pPr>
      <w:r>
        <w:rPr>
          <w:sz w:val="20"/>
        </w:rPr>
        <w:t>Fig</w:t>
      </w:r>
      <w:r>
        <w:rPr>
          <w:spacing w:val="-9"/>
          <w:sz w:val="20"/>
        </w:rPr>
        <w:t> </w:t>
      </w:r>
      <w:r>
        <w:rPr>
          <w:sz w:val="20"/>
        </w:rPr>
        <w:t>:</w:t>
      </w:r>
      <w:r>
        <w:rPr>
          <w:spacing w:val="-6"/>
          <w:sz w:val="20"/>
        </w:rPr>
        <w:t> </w:t>
      </w:r>
      <w:r>
        <w:rPr>
          <w:sz w:val="20"/>
        </w:rPr>
        <w:t>Average</w:t>
      </w:r>
      <w:r>
        <w:rPr>
          <w:spacing w:val="-6"/>
          <w:sz w:val="20"/>
        </w:rPr>
        <w:t> </w:t>
      </w:r>
      <w:r>
        <w:rPr>
          <w:sz w:val="20"/>
        </w:rPr>
        <w:t>hardness</w:t>
      </w:r>
      <w:r>
        <w:rPr>
          <w:spacing w:val="-6"/>
          <w:sz w:val="20"/>
        </w:rPr>
        <w:t> </w:t>
      </w:r>
      <w:r>
        <w:rPr>
          <w:sz w:val="20"/>
        </w:rPr>
        <w:t>value</w:t>
      </w:r>
      <w:r>
        <w:rPr>
          <w:spacing w:val="-7"/>
          <w:sz w:val="20"/>
        </w:rPr>
        <w:t> </w:t>
      </w:r>
      <w:r>
        <w:rPr>
          <w:sz w:val="20"/>
        </w:rPr>
        <w:t>and</w:t>
      </w:r>
      <w:r>
        <w:rPr>
          <w:spacing w:val="-6"/>
          <w:sz w:val="20"/>
        </w:rPr>
        <w:t> </w:t>
      </w:r>
      <w:r>
        <w:rPr>
          <w:sz w:val="20"/>
        </w:rPr>
        <w:t>average</w:t>
      </w:r>
      <w:r>
        <w:rPr>
          <w:spacing w:val="-6"/>
          <w:sz w:val="20"/>
        </w:rPr>
        <w:t> </w:t>
      </w:r>
      <w:r>
        <w:rPr>
          <w:sz w:val="20"/>
        </w:rPr>
        <w:t>grain</w:t>
      </w:r>
      <w:r>
        <w:rPr>
          <w:spacing w:val="-6"/>
          <w:sz w:val="20"/>
        </w:rPr>
        <w:t> </w:t>
      </w:r>
      <w:r>
        <w:rPr>
          <w:sz w:val="20"/>
        </w:rPr>
        <w:t>size</w:t>
      </w:r>
      <w:r>
        <w:rPr>
          <w:spacing w:val="-7"/>
          <w:sz w:val="20"/>
        </w:rPr>
        <w:t> </w:t>
      </w:r>
      <w:r>
        <w:rPr>
          <w:sz w:val="20"/>
        </w:rPr>
        <w:t>of</w:t>
      </w:r>
      <w:r>
        <w:rPr>
          <w:spacing w:val="-6"/>
          <w:sz w:val="20"/>
        </w:rPr>
        <w:t> </w:t>
      </w:r>
      <w:r>
        <w:rPr>
          <w:sz w:val="20"/>
        </w:rPr>
        <w:t>Ce-0,Ce-0.04</w:t>
      </w:r>
      <w:r>
        <w:rPr>
          <w:spacing w:val="-6"/>
          <w:sz w:val="20"/>
        </w:rPr>
        <w:t> </w:t>
      </w:r>
      <w:r>
        <w:rPr>
          <w:sz w:val="20"/>
        </w:rPr>
        <w:t>and</w:t>
      </w:r>
      <w:r>
        <w:rPr>
          <w:spacing w:val="-6"/>
          <w:sz w:val="20"/>
        </w:rPr>
        <w:t> </w:t>
      </w:r>
      <w:r>
        <w:rPr>
          <w:sz w:val="20"/>
        </w:rPr>
        <w:t>Ce-0.06</w:t>
      </w:r>
      <w:r>
        <w:rPr>
          <w:spacing w:val="-6"/>
          <w:sz w:val="20"/>
        </w:rPr>
        <w:t> </w:t>
      </w:r>
      <w:r>
        <w:rPr>
          <w:spacing w:val="-2"/>
          <w:sz w:val="20"/>
        </w:rPr>
        <w:t>specimens.</w:t>
      </w:r>
    </w:p>
    <w:p>
      <w:pPr>
        <w:pStyle w:val="BodyText"/>
        <w:rPr>
          <w:sz w:val="20"/>
        </w:rPr>
      </w:pPr>
    </w:p>
    <w:p>
      <w:pPr>
        <w:pStyle w:val="BodyText"/>
        <w:ind w:left="1984" w:right="721"/>
        <w:jc w:val="both"/>
      </w:pPr>
      <w:r>
        <w:rPr/>
        <w:t>Above Figure illustrates the simultaneous variation of Vickers microhardness and average</w:t>
      </w:r>
      <w:r>
        <w:rPr>
          <w:spacing w:val="40"/>
        </w:rPr>
        <w:t> </w:t>
      </w:r>
      <w:r>
        <w:rPr/>
        <w:t>grain size for the high manganese steel specimens with varying Cerium content. A </w:t>
      </w:r>
      <w:r>
        <w:rPr/>
        <w:t>distinct inverse correlation is observed between the two parameters.</w:t>
      </w:r>
    </w:p>
    <w:p>
      <w:pPr>
        <w:pStyle w:val="BodyText"/>
        <w:ind w:left="1984" w:right="721"/>
        <w:jc w:val="both"/>
      </w:pPr>
      <w:r>
        <w:rPr/>
        <w:t>The addition of Cerium appears to</w:t>
      </w:r>
      <w:r>
        <w:rPr>
          <w:spacing w:val="-3"/>
        </w:rPr>
        <w:t> </w:t>
      </w:r>
      <w:r>
        <w:rPr/>
        <w:t>promote</w:t>
      </w:r>
      <w:r>
        <w:rPr>
          <w:spacing w:val="-3"/>
        </w:rPr>
        <w:t> </w:t>
      </w:r>
      <w:r>
        <w:rPr/>
        <w:t>grain</w:t>
      </w:r>
      <w:r>
        <w:rPr>
          <w:spacing w:val="-3"/>
        </w:rPr>
        <w:t> </w:t>
      </w:r>
      <w:r>
        <w:rPr/>
        <w:t>boundary</w:t>
      </w:r>
      <w:r>
        <w:rPr>
          <w:spacing w:val="-3"/>
        </w:rPr>
        <w:t> </w:t>
      </w:r>
      <w:r>
        <w:rPr/>
        <w:t>pinning,</w:t>
      </w:r>
      <w:r>
        <w:rPr>
          <w:spacing w:val="-3"/>
        </w:rPr>
        <w:t> </w:t>
      </w:r>
      <w:r>
        <w:rPr/>
        <w:t>leading</w:t>
      </w:r>
      <w:r>
        <w:rPr>
          <w:spacing w:val="-3"/>
        </w:rPr>
        <w:t> </w:t>
      </w:r>
      <w:r>
        <w:rPr/>
        <w:t>to</w:t>
      </w:r>
      <w:r>
        <w:rPr>
          <w:spacing w:val="-3"/>
        </w:rPr>
        <w:t> </w:t>
      </w:r>
      <w:r>
        <w:rPr/>
        <w:t>a</w:t>
      </w:r>
      <w:r>
        <w:rPr>
          <w:spacing w:val="-3"/>
        </w:rPr>
        <w:t> </w:t>
      </w:r>
      <w:r>
        <w:rPr/>
        <w:t>more</w:t>
      </w:r>
      <w:r>
        <w:rPr>
          <w:spacing w:val="-3"/>
        </w:rPr>
        <w:t> </w:t>
      </w:r>
      <w:r>
        <w:rPr/>
        <w:t>uniform and slightly finer grain size distribution compared to the base alloy.</w:t>
      </w:r>
    </w:p>
    <w:p>
      <w:pPr>
        <w:pStyle w:val="BodyText"/>
        <w:spacing w:before="46"/>
      </w:pPr>
    </w:p>
    <w:p>
      <w:pPr>
        <w:pStyle w:val="Heading3"/>
        <w:numPr>
          <w:ilvl w:val="1"/>
          <w:numId w:val="2"/>
        </w:numPr>
        <w:tabs>
          <w:tab w:pos="2532" w:val="left" w:leader="none"/>
        </w:tabs>
        <w:spacing w:line="240" w:lineRule="auto" w:before="0" w:after="0"/>
        <w:ind w:left="2532" w:right="0" w:hanging="548"/>
        <w:jc w:val="left"/>
        <w:rPr>
          <w:sz w:val="30"/>
        </w:rPr>
      </w:pPr>
      <w:r>
        <w:rPr/>
        <w:t>Hardness,</w:t>
      </w:r>
      <w:r>
        <w:rPr>
          <w:spacing w:val="-12"/>
        </w:rPr>
        <w:t> </w:t>
      </w:r>
      <w:r>
        <w:rPr/>
        <w:t>Grain</w:t>
      </w:r>
      <w:r>
        <w:rPr>
          <w:spacing w:val="-9"/>
        </w:rPr>
        <w:t> </w:t>
      </w:r>
      <w:r>
        <w:rPr/>
        <w:t>Size</w:t>
      </w:r>
      <w:r>
        <w:rPr>
          <w:spacing w:val="-9"/>
        </w:rPr>
        <w:t> </w:t>
      </w:r>
      <w:r>
        <w:rPr/>
        <w:t>and</w:t>
      </w:r>
      <w:r>
        <w:rPr>
          <w:spacing w:val="-9"/>
        </w:rPr>
        <w:t> </w:t>
      </w:r>
      <w:r>
        <w:rPr/>
        <w:t>Twin</w:t>
      </w:r>
      <w:r>
        <w:rPr>
          <w:spacing w:val="-9"/>
        </w:rPr>
        <w:t> </w:t>
      </w:r>
      <w:r>
        <w:rPr/>
        <w:t>Density</w:t>
      </w:r>
      <w:r>
        <w:rPr>
          <w:spacing w:val="-9"/>
        </w:rPr>
        <w:t> </w:t>
      </w:r>
      <w:r>
        <w:rPr>
          <w:spacing w:val="-2"/>
        </w:rPr>
        <w:t>Correlation</w:t>
      </w:r>
    </w:p>
    <w:p>
      <w:pPr>
        <w:pStyle w:val="BodyText"/>
        <w:rPr>
          <w:b/>
          <w:sz w:val="20"/>
        </w:rPr>
      </w:pPr>
    </w:p>
    <w:p>
      <w:pPr>
        <w:pStyle w:val="BodyText"/>
        <w:spacing w:before="229"/>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20"/>
        <w:gridCol w:w="1660"/>
        <w:gridCol w:w="2700"/>
        <w:gridCol w:w="2540"/>
        <w:gridCol w:w="2880"/>
      </w:tblGrid>
      <w:tr>
        <w:trPr>
          <w:trHeight w:val="419" w:hRule="atLeast"/>
        </w:trPr>
        <w:tc>
          <w:tcPr>
            <w:tcW w:w="920" w:type="dxa"/>
          </w:tcPr>
          <w:p>
            <w:pPr>
              <w:pStyle w:val="TableParagraph"/>
              <w:ind w:left="99"/>
              <w:rPr>
                <w:b/>
                <w:sz w:val="20"/>
              </w:rPr>
            </w:pPr>
            <w:r>
              <w:rPr>
                <w:b/>
                <w:spacing w:val="-2"/>
                <w:sz w:val="20"/>
              </w:rPr>
              <w:t>S.No.</w:t>
            </w:r>
          </w:p>
        </w:tc>
        <w:tc>
          <w:tcPr>
            <w:tcW w:w="1660" w:type="dxa"/>
          </w:tcPr>
          <w:p>
            <w:pPr>
              <w:pStyle w:val="TableParagraph"/>
              <w:ind w:left="109"/>
              <w:rPr>
                <w:b/>
                <w:sz w:val="20"/>
              </w:rPr>
            </w:pPr>
            <w:r>
              <w:rPr>
                <w:b/>
                <w:spacing w:val="-2"/>
                <w:sz w:val="20"/>
              </w:rPr>
              <w:t>Specimen</w:t>
            </w:r>
          </w:p>
        </w:tc>
        <w:tc>
          <w:tcPr>
            <w:tcW w:w="2700" w:type="dxa"/>
          </w:tcPr>
          <w:p>
            <w:pPr>
              <w:pStyle w:val="TableParagraph"/>
              <w:rPr>
                <w:b/>
                <w:sz w:val="20"/>
              </w:rPr>
            </w:pPr>
            <w:r>
              <w:rPr>
                <w:b/>
                <w:sz w:val="20"/>
              </w:rPr>
              <w:t>Avg.</w:t>
            </w:r>
            <w:r>
              <w:rPr>
                <w:b/>
                <w:spacing w:val="-12"/>
                <w:sz w:val="20"/>
              </w:rPr>
              <w:t> </w:t>
            </w:r>
            <w:r>
              <w:rPr>
                <w:b/>
                <w:sz w:val="20"/>
              </w:rPr>
              <w:t>Grain</w:t>
            </w:r>
            <w:r>
              <w:rPr>
                <w:b/>
                <w:spacing w:val="-11"/>
                <w:sz w:val="20"/>
              </w:rPr>
              <w:t> </w:t>
            </w:r>
            <w:r>
              <w:rPr>
                <w:b/>
                <w:spacing w:val="-2"/>
                <w:sz w:val="20"/>
              </w:rPr>
              <w:t>Size(μm)</w:t>
            </w:r>
          </w:p>
        </w:tc>
        <w:tc>
          <w:tcPr>
            <w:tcW w:w="2540" w:type="dxa"/>
          </w:tcPr>
          <w:p>
            <w:pPr>
              <w:pStyle w:val="TableParagraph"/>
              <w:rPr>
                <w:b/>
                <w:sz w:val="20"/>
              </w:rPr>
            </w:pPr>
            <w:r>
              <w:rPr>
                <w:b/>
                <w:spacing w:val="-2"/>
                <w:sz w:val="20"/>
              </w:rPr>
              <w:t>Avg.</w:t>
            </w:r>
            <w:r>
              <w:rPr>
                <w:b/>
                <w:spacing w:val="-10"/>
                <w:sz w:val="20"/>
              </w:rPr>
              <w:t> </w:t>
            </w:r>
            <w:r>
              <w:rPr>
                <w:b/>
                <w:spacing w:val="-2"/>
                <w:sz w:val="20"/>
              </w:rPr>
              <w:t>Hardness(Hv)</w:t>
            </w:r>
          </w:p>
        </w:tc>
        <w:tc>
          <w:tcPr>
            <w:tcW w:w="2880" w:type="dxa"/>
          </w:tcPr>
          <w:p>
            <w:pPr>
              <w:pStyle w:val="TableParagraph"/>
              <w:ind w:left="109"/>
              <w:rPr>
                <w:b/>
                <w:sz w:val="20"/>
              </w:rPr>
            </w:pPr>
            <w:r>
              <w:rPr>
                <w:b/>
                <w:spacing w:val="-2"/>
                <w:sz w:val="20"/>
              </w:rPr>
              <w:t>Avg.Twin</w:t>
            </w:r>
            <w:r>
              <w:rPr>
                <w:b/>
                <w:spacing w:val="-9"/>
                <w:sz w:val="20"/>
              </w:rPr>
              <w:t> </w:t>
            </w:r>
            <w:r>
              <w:rPr>
                <w:b/>
                <w:spacing w:val="-2"/>
                <w:sz w:val="20"/>
              </w:rPr>
              <w:t>Density(mm-</w:t>
            </w:r>
            <w:r>
              <w:rPr>
                <w:b/>
                <w:spacing w:val="-5"/>
                <w:sz w:val="20"/>
              </w:rPr>
              <w:t>1)</w:t>
            </w:r>
          </w:p>
        </w:tc>
      </w:tr>
      <w:tr>
        <w:trPr>
          <w:trHeight w:val="440" w:hRule="atLeast"/>
        </w:trPr>
        <w:tc>
          <w:tcPr>
            <w:tcW w:w="920" w:type="dxa"/>
          </w:tcPr>
          <w:p>
            <w:pPr>
              <w:pStyle w:val="TableParagraph"/>
              <w:spacing w:before="116"/>
              <w:ind w:left="99"/>
              <w:rPr>
                <w:b/>
                <w:sz w:val="20"/>
              </w:rPr>
            </w:pPr>
            <w:r>
              <w:rPr>
                <w:b/>
                <w:spacing w:val="-10"/>
                <w:sz w:val="20"/>
              </w:rPr>
              <w:t>1</w:t>
            </w:r>
          </w:p>
        </w:tc>
        <w:tc>
          <w:tcPr>
            <w:tcW w:w="1660" w:type="dxa"/>
          </w:tcPr>
          <w:p>
            <w:pPr>
              <w:pStyle w:val="TableParagraph"/>
              <w:spacing w:before="116"/>
              <w:ind w:left="109"/>
              <w:rPr>
                <w:b/>
                <w:sz w:val="20"/>
              </w:rPr>
            </w:pPr>
            <w:r>
              <w:rPr>
                <w:b/>
                <w:spacing w:val="-5"/>
                <w:sz w:val="20"/>
              </w:rPr>
              <w:t>Ce</w:t>
            </w:r>
          </w:p>
        </w:tc>
        <w:tc>
          <w:tcPr>
            <w:tcW w:w="2700" w:type="dxa"/>
          </w:tcPr>
          <w:p>
            <w:pPr>
              <w:pStyle w:val="TableParagraph"/>
              <w:spacing w:before="116"/>
              <w:rPr>
                <w:b/>
                <w:sz w:val="20"/>
              </w:rPr>
            </w:pPr>
            <w:r>
              <w:rPr>
                <w:b/>
                <w:sz w:val="20"/>
              </w:rPr>
              <w:t>55.05</w:t>
            </w:r>
            <w:r>
              <w:rPr>
                <w:b/>
                <w:spacing w:val="-3"/>
                <w:sz w:val="20"/>
              </w:rPr>
              <w:t> </w:t>
            </w:r>
            <w:r>
              <w:rPr>
                <w:b/>
                <w:sz w:val="20"/>
              </w:rPr>
              <w:t>+</w:t>
            </w:r>
            <w:r>
              <w:rPr>
                <w:b/>
                <w:spacing w:val="-3"/>
                <w:sz w:val="20"/>
              </w:rPr>
              <w:t> </w:t>
            </w:r>
            <w:r>
              <w:rPr>
                <w:b/>
                <w:spacing w:val="-10"/>
                <w:sz w:val="20"/>
              </w:rPr>
              <w:t>3</w:t>
            </w:r>
          </w:p>
        </w:tc>
        <w:tc>
          <w:tcPr>
            <w:tcW w:w="2540" w:type="dxa"/>
          </w:tcPr>
          <w:p>
            <w:pPr>
              <w:pStyle w:val="TableParagraph"/>
              <w:spacing w:before="116"/>
              <w:rPr>
                <w:b/>
                <w:sz w:val="20"/>
              </w:rPr>
            </w:pPr>
            <w:r>
              <w:rPr>
                <w:b/>
                <w:sz w:val="20"/>
              </w:rPr>
              <w:t>368</w:t>
            </w:r>
            <w:r>
              <w:rPr>
                <w:b/>
                <w:spacing w:val="-2"/>
                <w:sz w:val="20"/>
              </w:rPr>
              <w:t> </w:t>
            </w:r>
            <w:r>
              <w:rPr>
                <w:b/>
                <w:sz w:val="20"/>
              </w:rPr>
              <w:t>+</w:t>
            </w:r>
            <w:r>
              <w:rPr>
                <w:b/>
                <w:spacing w:val="-2"/>
                <w:sz w:val="20"/>
              </w:rPr>
              <w:t> </w:t>
            </w:r>
            <w:r>
              <w:rPr>
                <w:b/>
                <w:spacing w:val="-10"/>
                <w:sz w:val="20"/>
              </w:rPr>
              <w:t>7</w:t>
            </w:r>
          </w:p>
        </w:tc>
        <w:tc>
          <w:tcPr>
            <w:tcW w:w="2880" w:type="dxa"/>
          </w:tcPr>
          <w:p>
            <w:pPr>
              <w:pStyle w:val="TableParagraph"/>
              <w:spacing w:before="116"/>
              <w:ind w:left="109"/>
              <w:rPr>
                <w:b/>
                <w:sz w:val="20"/>
              </w:rPr>
            </w:pPr>
            <w:r>
              <w:rPr>
                <w:b/>
                <w:spacing w:val="-2"/>
                <w:sz w:val="20"/>
              </w:rPr>
              <w:t>145.71</w:t>
            </w:r>
          </w:p>
        </w:tc>
      </w:tr>
      <w:tr>
        <w:trPr>
          <w:trHeight w:val="440" w:hRule="atLeast"/>
        </w:trPr>
        <w:tc>
          <w:tcPr>
            <w:tcW w:w="920" w:type="dxa"/>
          </w:tcPr>
          <w:p>
            <w:pPr>
              <w:pStyle w:val="TableParagraph"/>
              <w:spacing w:before="111"/>
              <w:ind w:left="99"/>
              <w:rPr>
                <w:b/>
                <w:sz w:val="20"/>
              </w:rPr>
            </w:pPr>
            <w:r>
              <w:rPr>
                <w:b/>
                <w:spacing w:val="-10"/>
                <w:sz w:val="20"/>
              </w:rPr>
              <w:t>2</w:t>
            </w:r>
          </w:p>
        </w:tc>
        <w:tc>
          <w:tcPr>
            <w:tcW w:w="1660" w:type="dxa"/>
          </w:tcPr>
          <w:p>
            <w:pPr>
              <w:pStyle w:val="TableParagraph"/>
              <w:spacing w:before="111"/>
              <w:ind w:left="109"/>
              <w:rPr>
                <w:b/>
                <w:sz w:val="20"/>
              </w:rPr>
            </w:pPr>
            <w:r>
              <w:rPr>
                <w:b/>
                <w:spacing w:val="-2"/>
                <w:sz w:val="20"/>
              </w:rPr>
              <w:t>Ce-</w:t>
            </w:r>
            <w:r>
              <w:rPr>
                <w:b/>
                <w:spacing w:val="-4"/>
                <w:sz w:val="20"/>
              </w:rPr>
              <w:t>0.04</w:t>
            </w:r>
          </w:p>
        </w:tc>
        <w:tc>
          <w:tcPr>
            <w:tcW w:w="2700" w:type="dxa"/>
          </w:tcPr>
          <w:p>
            <w:pPr>
              <w:pStyle w:val="TableParagraph"/>
              <w:spacing w:before="111"/>
              <w:rPr>
                <w:b/>
                <w:sz w:val="20"/>
              </w:rPr>
            </w:pPr>
            <w:r>
              <w:rPr>
                <w:b/>
                <w:sz w:val="20"/>
              </w:rPr>
              <w:t>41.45</w:t>
            </w:r>
            <w:r>
              <w:rPr>
                <w:b/>
                <w:spacing w:val="-3"/>
                <w:sz w:val="20"/>
              </w:rPr>
              <w:t> </w:t>
            </w:r>
            <w:r>
              <w:rPr>
                <w:b/>
                <w:sz w:val="20"/>
              </w:rPr>
              <w:t>+</w:t>
            </w:r>
            <w:r>
              <w:rPr>
                <w:b/>
                <w:spacing w:val="-3"/>
                <w:sz w:val="20"/>
              </w:rPr>
              <w:t> </w:t>
            </w:r>
            <w:r>
              <w:rPr>
                <w:b/>
                <w:spacing w:val="-10"/>
                <w:sz w:val="20"/>
              </w:rPr>
              <w:t>2</w:t>
            </w:r>
          </w:p>
        </w:tc>
        <w:tc>
          <w:tcPr>
            <w:tcW w:w="2540" w:type="dxa"/>
          </w:tcPr>
          <w:p>
            <w:pPr>
              <w:pStyle w:val="TableParagraph"/>
              <w:spacing w:before="111"/>
              <w:rPr>
                <w:b/>
                <w:sz w:val="20"/>
              </w:rPr>
            </w:pPr>
            <w:r>
              <w:rPr>
                <w:b/>
                <w:sz w:val="20"/>
              </w:rPr>
              <w:t>483</w:t>
            </w:r>
            <w:r>
              <w:rPr>
                <w:b/>
                <w:spacing w:val="-2"/>
                <w:sz w:val="20"/>
              </w:rPr>
              <w:t> </w:t>
            </w:r>
            <w:r>
              <w:rPr>
                <w:b/>
                <w:sz w:val="20"/>
              </w:rPr>
              <w:t>+</w:t>
            </w:r>
            <w:r>
              <w:rPr>
                <w:b/>
                <w:spacing w:val="-2"/>
                <w:sz w:val="20"/>
              </w:rPr>
              <w:t> </w:t>
            </w:r>
            <w:r>
              <w:rPr>
                <w:b/>
                <w:spacing w:val="-10"/>
                <w:sz w:val="20"/>
              </w:rPr>
              <w:t>9</w:t>
            </w:r>
          </w:p>
        </w:tc>
        <w:tc>
          <w:tcPr>
            <w:tcW w:w="2880" w:type="dxa"/>
          </w:tcPr>
          <w:p>
            <w:pPr>
              <w:pStyle w:val="TableParagraph"/>
              <w:spacing w:before="111"/>
              <w:ind w:left="109"/>
              <w:rPr>
                <w:b/>
                <w:sz w:val="20"/>
              </w:rPr>
            </w:pPr>
            <w:r>
              <w:rPr>
                <w:b/>
                <w:spacing w:val="-2"/>
                <w:sz w:val="20"/>
              </w:rPr>
              <w:t>168.73</w:t>
            </w:r>
          </w:p>
        </w:tc>
      </w:tr>
      <w:tr>
        <w:trPr>
          <w:trHeight w:val="439" w:hRule="atLeast"/>
        </w:trPr>
        <w:tc>
          <w:tcPr>
            <w:tcW w:w="920" w:type="dxa"/>
          </w:tcPr>
          <w:p>
            <w:pPr>
              <w:pStyle w:val="TableParagraph"/>
              <w:spacing w:before="106"/>
              <w:ind w:left="99"/>
              <w:rPr>
                <w:b/>
                <w:sz w:val="20"/>
              </w:rPr>
            </w:pPr>
            <w:r>
              <w:rPr>
                <w:b/>
                <w:spacing w:val="-10"/>
                <w:sz w:val="20"/>
              </w:rPr>
              <w:t>3</w:t>
            </w:r>
          </w:p>
        </w:tc>
        <w:tc>
          <w:tcPr>
            <w:tcW w:w="1660" w:type="dxa"/>
          </w:tcPr>
          <w:p>
            <w:pPr>
              <w:pStyle w:val="TableParagraph"/>
              <w:spacing w:before="106"/>
              <w:ind w:left="109"/>
              <w:rPr>
                <w:b/>
                <w:sz w:val="20"/>
              </w:rPr>
            </w:pPr>
            <w:r>
              <w:rPr>
                <w:b/>
                <w:spacing w:val="-2"/>
                <w:sz w:val="20"/>
              </w:rPr>
              <w:t>Ce-</w:t>
            </w:r>
            <w:r>
              <w:rPr>
                <w:b/>
                <w:spacing w:val="-4"/>
                <w:sz w:val="20"/>
              </w:rPr>
              <w:t>0.06</w:t>
            </w:r>
          </w:p>
        </w:tc>
        <w:tc>
          <w:tcPr>
            <w:tcW w:w="2700" w:type="dxa"/>
          </w:tcPr>
          <w:p>
            <w:pPr>
              <w:pStyle w:val="TableParagraph"/>
              <w:spacing w:before="106"/>
              <w:rPr>
                <w:b/>
                <w:sz w:val="20"/>
              </w:rPr>
            </w:pPr>
            <w:r>
              <w:rPr>
                <w:b/>
                <w:sz w:val="20"/>
              </w:rPr>
              <w:t>33.43</w:t>
            </w:r>
            <w:r>
              <w:rPr>
                <w:b/>
                <w:spacing w:val="-3"/>
                <w:sz w:val="20"/>
              </w:rPr>
              <w:t> </w:t>
            </w:r>
            <w:r>
              <w:rPr>
                <w:b/>
                <w:sz w:val="20"/>
              </w:rPr>
              <w:t>+</w:t>
            </w:r>
            <w:r>
              <w:rPr>
                <w:b/>
                <w:spacing w:val="-3"/>
                <w:sz w:val="20"/>
              </w:rPr>
              <w:t> </w:t>
            </w:r>
            <w:r>
              <w:rPr>
                <w:b/>
                <w:spacing w:val="-10"/>
                <w:sz w:val="20"/>
              </w:rPr>
              <w:t>2</w:t>
            </w:r>
          </w:p>
        </w:tc>
        <w:tc>
          <w:tcPr>
            <w:tcW w:w="2540" w:type="dxa"/>
          </w:tcPr>
          <w:p>
            <w:pPr>
              <w:pStyle w:val="TableParagraph"/>
              <w:spacing w:before="106"/>
              <w:rPr>
                <w:b/>
                <w:sz w:val="20"/>
              </w:rPr>
            </w:pPr>
            <w:r>
              <w:rPr>
                <w:b/>
                <w:sz w:val="20"/>
              </w:rPr>
              <w:t>552</w:t>
            </w:r>
            <w:r>
              <w:rPr>
                <w:b/>
                <w:spacing w:val="-2"/>
                <w:sz w:val="20"/>
              </w:rPr>
              <w:t> </w:t>
            </w:r>
            <w:r>
              <w:rPr>
                <w:b/>
                <w:sz w:val="20"/>
              </w:rPr>
              <w:t>+</w:t>
            </w:r>
            <w:r>
              <w:rPr>
                <w:b/>
                <w:spacing w:val="-2"/>
                <w:sz w:val="20"/>
              </w:rPr>
              <w:t> </w:t>
            </w:r>
            <w:r>
              <w:rPr>
                <w:b/>
                <w:spacing w:val="-5"/>
                <w:sz w:val="20"/>
              </w:rPr>
              <w:t>10</w:t>
            </w:r>
          </w:p>
        </w:tc>
        <w:tc>
          <w:tcPr>
            <w:tcW w:w="2880" w:type="dxa"/>
          </w:tcPr>
          <w:p>
            <w:pPr>
              <w:pStyle w:val="TableParagraph"/>
              <w:spacing w:before="106"/>
              <w:ind w:left="109"/>
              <w:rPr>
                <w:b/>
                <w:sz w:val="20"/>
              </w:rPr>
            </w:pPr>
            <w:r>
              <w:rPr>
                <w:b/>
                <w:spacing w:val="-2"/>
                <w:sz w:val="20"/>
              </w:rPr>
              <w:t>187.36</w:t>
            </w:r>
          </w:p>
        </w:tc>
      </w:tr>
    </w:tbl>
    <w:p>
      <w:pPr>
        <w:pStyle w:val="BodyText"/>
        <w:spacing w:before="193"/>
        <w:ind w:left="1984" w:right="718"/>
        <w:jc w:val="both"/>
      </w:pPr>
      <w:r>
        <w:rPr>
          <w:color w:val="000000"/>
          <w:shd w:fill="F5F5F5" w:color="auto" w:val="clear"/>
        </w:rPr>
        <w:t>Table 2 - Summary of average grain size, twin density, and Vickers microhardness for </w:t>
      </w:r>
      <w:r>
        <w:rPr>
          <w:color w:val="000000"/>
          <w:shd w:fill="F5F5F5" w:color="auto" w:val="clear"/>
        </w:rPr>
        <w:t>the</w:t>
      </w:r>
      <w:r>
        <w:rPr>
          <w:color w:val="000000"/>
        </w:rPr>
        <w:t> </w:t>
      </w:r>
      <w:r>
        <w:rPr>
          <w:color w:val="000000"/>
          <w:shd w:fill="F5F5F5" w:color="auto" w:val="clear"/>
        </w:rPr>
        <w:t>investigated high manganese steel specimen</w:t>
      </w:r>
    </w:p>
    <w:p>
      <w:pPr>
        <w:pStyle w:val="BodyText"/>
        <w:spacing w:after="0"/>
        <w:jc w:val="both"/>
        <w:sectPr>
          <w:headerReference w:type="default" r:id="rId21"/>
          <w:pgSz w:w="12240" w:h="15840"/>
          <w:pgMar w:header="0" w:footer="0" w:top="740" w:bottom="280" w:left="0" w:right="360"/>
        </w:sectPr>
      </w:pPr>
    </w:p>
    <w:p>
      <w:pPr>
        <w:pStyle w:val="BodyText"/>
        <w:ind w:left="1984"/>
        <w:rPr>
          <w:sz w:val="20"/>
        </w:rPr>
      </w:pPr>
      <w:r>
        <w:rPr>
          <w:sz w:val="20"/>
        </w:rPr>
        <mc:AlternateContent>
          <mc:Choice Requires="wps">
            <w:drawing>
              <wp:inline distT="0" distB="0" distL="0" distR="0">
                <wp:extent cx="5638800" cy="175260"/>
                <wp:effectExtent l="0" t="0" r="0" b="0"/>
                <wp:docPr id="18" name="Textbox 18"/>
                <wp:cNvGraphicFramePr>
                  <a:graphicFrameLocks/>
                </wp:cNvGraphicFramePr>
                <a:graphic>
                  <a:graphicData uri="http://schemas.microsoft.com/office/word/2010/wordprocessingShape">
                    <wps:wsp>
                      <wps:cNvPr id="18" name="Textbox 18"/>
                      <wps:cNvSpPr txBox="1"/>
                      <wps:spPr>
                        <a:xfrm>
                          <a:off x="0" y="0"/>
                          <a:ext cx="5638800" cy="175260"/>
                        </a:xfrm>
                        <a:prstGeom prst="rect">
                          <a:avLst/>
                        </a:prstGeom>
                        <a:solidFill>
                          <a:srgbClr val="F5F5F5"/>
                        </a:solidFill>
                      </wps:spPr>
                      <wps:txbx>
                        <w:txbxContent>
                          <w:p>
                            <w:pPr>
                              <w:pStyle w:val="BodyText"/>
                              <w:ind w:right="-15"/>
                              <w:jc w:val="right"/>
                              <w:rPr>
                                <w:color w:val="000000"/>
                              </w:rPr>
                            </w:pPr>
                            <w:r>
                              <w:rPr>
                                <w:color w:val="000000"/>
                                <w:spacing w:val="-5"/>
                              </w:rPr>
                              <w:t>12</w:t>
                            </w:r>
                          </w:p>
                        </w:txbxContent>
                      </wps:txbx>
                      <wps:bodyPr wrap="square" lIns="0" tIns="0" rIns="0" bIns="0" rtlCol="0">
                        <a:noAutofit/>
                      </wps:bodyPr>
                    </wps:wsp>
                  </a:graphicData>
                </a:graphic>
              </wp:inline>
            </w:drawing>
          </mc:Choice>
          <mc:Fallback>
            <w:pict>
              <v:shape style="width:444pt;height:13.8pt;mso-position-horizontal-relative:char;mso-position-vertical-relative:line" type="#_x0000_t202" id="docshape8" filled="true" fillcolor="#f5f5f5" stroked="false">
                <w10:anchorlock/>
                <v:textbox inset="0,0,0,0">
                  <w:txbxContent>
                    <w:p>
                      <w:pPr>
                        <w:pStyle w:val="BodyText"/>
                        <w:ind w:right="-15"/>
                        <w:jc w:val="right"/>
                        <w:rPr>
                          <w:color w:val="000000"/>
                        </w:rPr>
                      </w:pPr>
                      <w:r>
                        <w:rPr>
                          <w:color w:val="000000"/>
                          <w:spacing w:val="-5"/>
                        </w:rPr>
                        <w:t>12</w:t>
                      </w:r>
                    </w:p>
                  </w:txbxContent>
                </v:textbox>
                <v:fill type="solid"/>
              </v:shape>
            </w:pict>
          </mc:Fallback>
        </mc:AlternateContent>
      </w:r>
      <w:r>
        <w:rPr>
          <w:sz w:val="20"/>
        </w:rPr>
      </w:r>
    </w:p>
    <w:p>
      <w:pPr>
        <w:pStyle w:val="BodyText"/>
        <w:spacing w:line="235" w:lineRule="auto"/>
        <w:ind w:left="1984" w:right="898"/>
      </w:pPr>
      <w:r>
        <w:rPr>
          <w:color w:val="000000"/>
          <w:shd w:fill="F5F5F5" w:color="auto" w:val="clear"/>
        </w:rPr>
        <w:t>The quantitative data presented in Table 2. indicates a distinct inverse relationship between</w:t>
      </w:r>
      <w:r>
        <w:rPr>
          <w:color w:val="000000"/>
        </w:rPr>
        <w:t> </w:t>
      </w:r>
      <w:r>
        <w:rPr>
          <w:color w:val="000000"/>
          <w:shd w:fill="F5F5F5" w:color="auto" w:val="clear"/>
        </w:rPr>
        <w:t>the</w:t>
      </w:r>
      <w:r>
        <w:rPr>
          <w:color w:val="000000"/>
          <w:spacing w:val="-4"/>
          <w:shd w:fill="F5F5F5" w:color="auto" w:val="clear"/>
        </w:rPr>
        <w:t> </w:t>
      </w:r>
      <w:r>
        <w:rPr>
          <w:color w:val="000000"/>
          <w:shd w:fill="F5F5F5" w:color="auto" w:val="clear"/>
        </w:rPr>
        <w:t>average</w:t>
      </w:r>
      <w:r>
        <w:rPr>
          <w:color w:val="000000"/>
          <w:spacing w:val="-4"/>
          <w:shd w:fill="F5F5F5" w:color="auto" w:val="clear"/>
        </w:rPr>
        <w:t> </w:t>
      </w:r>
      <w:r>
        <w:rPr>
          <w:color w:val="000000"/>
          <w:shd w:fill="F5F5F5" w:color="auto" w:val="clear"/>
        </w:rPr>
        <w:t>grain</w:t>
      </w:r>
      <w:r>
        <w:rPr>
          <w:color w:val="000000"/>
          <w:spacing w:val="-4"/>
          <w:shd w:fill="F5F5F5" w:color="auto" w:val="clear"/>
        </w:rPr>
        <w:t> </w:t>
      </w:r>
      <w:r>
        <w:rPr>
          <w:color w:val="000000"/>
          <w:shd w:fill="F5F5F5" w:color="auto" w:val="clear"/>
        </w:rPr>
        <w:t>size</w:t>
      </w:r>
      <w:r>
        <w:rPr>
          <w:color w:val="000000"/>
          <w:spacing w:val="-4"/>
          <w:shd w:fill="F5F5F5" w:color="auto" w:val="clear"/>
        </w:rPr>
        <w:t> </w:t>
      </w:r>
      <w:r>
        <w:rPr>
          <w:color w:val="000000"/>
          <w:shd w:fill="F5F5F5" w:color="auto" w:val="clear"/>
        </w:rPr>
        <w:t>and</w:t>
      </w:r>
      <w:r>
        <w:rPr>
          <w:color w:val="000000"/>
          <w:spacing w:val="-4"/>
          <w:shd w:fill="F5F5F5" w:color="auto" w:val="clear"/>
        </w:rPr>
        <w:t> </w:t>
      </w:r>
      <w:r>
        <w:rPr>
          <w:color w:val="000000"/>
          <w:shd w:fill="F5F5F5" w:color="auto" w:val="clear"/>
        </w:rPr>
        <w:t>the</w:t>
      </w:r>
      <w:r>
        <w:rPr>
          <w:color w:val="000000"/>
          <w:spacing w:val="-4"/>
          <w:shd w:fill="F5F5F5" w:color="auto" w:val="clear"/>
        </w:rPr>
        <w:t> </w:t>
      </w:r>
      <w:r>
        <w:rPr>
          <w:color w:val="000000"/>
          <w:shd w:fill="F5F5F5" w:color="auto" w:val="clear"/>
        </w:rPr>
        <w:t>mechanical</w:t>
      </w:r>
      <w:r>
        <w:rPr>
          <w:color w:val="000000"/>
          <w:spacing w:val="-4"/>
          <w:shd w:fill="F5F5F5" w:color="auto" w:val="clear"/>
        </w:rPr>
        <w:t> </w:t>
      </w:r>
      <w:r>
        <w:rPr>
          <w:color w:val="000000"/>
          <w:shd w:fill="F5F5F5" w:color="auto" w:val="clear"/>
        </w:rPr>
        <w:t>microhardness.</w:t>
      </w:r>
      <w:r>
        <w:rPr>
          <w:color w:val="000000"/>
          <w:spacing w:val="-4"/>
          <w:shd w:fill="F5F5F5" w:color="auto" w:val="clear"/>
        </w:rPr>
        <w:t> </w:t>
      </w:r>
      <w:r>
        <w:rPr>
          <w:color w:val="000000"/>
          <w:shd w:fill="F5F5F5" w:color="auto" w:val="clear"/>
        </w:rPr>
        <w:t>With</w:t>
      </w:r>
      <w:r>
        <w:rPr>
          <w:color w:val="000000"/>
          <w:spacing w:val="-4"/>
          <w:shd w:fill="F5F5F5" w:color="auto" w:val="clear"/>
        </w:rPr>
        <w:t> </w:t>
      </w:r>
      <w:r>
        <w:rPr>
          <w:color w:val="000000"/>
          <w:shd w:fill="F5F5F5" w:color="auto" w:val="clear"/>
        </w:rPr>
        <w:t>the</w:t>
      </w:r>
      <w:r>
        <w:rPr>
          <w:color w:val="000000"/>
          <w:spacing w:val="-4"/>
          <w:shd w:fill="F5F5F5" w:color="auto" w:val="clear"/>
        </w:rPr>
        <w:t> </w:t>
      </w:r>
      <w:r>
        <w:rPr>
          <w:color w:val="000000"/>
          <w:shd w:fill="F5F5F5" w:color="auto" w:val="clear"/>
        </w:rPr>
        <w:t>addition</w:t>
      </w:r>
      <w:r>
        <w:rPr>
          <w:color w:val="000000"/>
          <w:spacing w:val="-4"/>
          <w:shd w:fill="F5F5F5" w:color="auto" w:val="clear"/>
        </w:rPr>
        <w:t> </w:t>
      </w:r>
      <w:r>
        <w:rPr>
          <w:color w:val="000000"/>
          <w:shd w:fill="F5F5F5" w:color="auto" w:val="clear"/>
        </w:rPr>
        <w:t>of</w:t>
      </w:r>
      <w:r>
        <w:rPr>
          <w:color w:val="000000"/>
          <w:spacing w:val="-4"/>
          <w:shd w:fill="F5F5F5" w:color="auto" w:val="clear"/>
        </w:rPr>
        <w:t> </w:t>
      </w:r>
      <w:r>
        <w:rPr>
          <w:color w:val="000000"/>
          <w:shd w:fill="F5F5F5" w:color="auto" w:val="clear"/>
        </w:rPr>
        <w:t>Cerium</w:t>
      </w:r>
      <w:r>
        <w:rPr>
          <w:color w:val="000000"/>
          <w:spacing w:val="-4"/>
          <w:shd w:fill="F5F5F5" w:color="auto" w:val="clear"/>
        </w:rPr>
        <w:t> </w:t>
      </w:r>
      <w:r>
        <w:rPr>
          <w:color w:val="000000"/>
          <w:shd w:fill="F5F5F5" w:color="auto" w:val="clear"/>
        </w:rPr>
        <w:t>(0</w:t>
      </w:r>
      <w:r>
        <w:rPr>
          <w:color w:val="000000"/>
          <w:spacing w:val="-4"/>
          <w:shd w:fill="F5F5F5" w:color="auto" w:val="clear"/>
        </w:rPr>
        <w:t> </w:t>
      </w:r>
      <w:r>
        <w:rPr>
          <w:color w:val="000000"/>
          <w:shd w:fill="F5F5F5" w:color="auto" w:val="clear"/>
        </w:rPr>
        <w:t>to</w:t>
      </w:r>
      <w:r>
        <w:rPr>
          <w:color w:val="000000"/>
        </w:rPr>
        <w:t> </w:t>
      </w:r>
      <w:r>
        <w:rPr>
          <w:color w:val="000000"/>
          <w:shd w:fill="F5F5F5" w:color="auto" w:val="clear"/>
        </w:rPr>
        <w:t>0.06 wt.%), the average grain size decreased significantly from 55.05 ± 3 µm to 33.43 ± 2</w:t>
      </w:r>
      <w:r>
        <w:rPr>
          <w:color w:val="000000"/>
        </w:rPr>
        <w:t> </w:t>
      </w:r>
      <w:r>
        <w:rPr>
          <w:color w:val="000000"/>
          <w:shd w:fill="F5F5F5" w:color="auto" w:val="clear"/>
        </w:rPr>
        <w:t>µm.</w:t>
      </w:r>
      <w:r>
        <w:rPr>
          <w:color w:val="000000"/>
          <w:spacing w:val="-3"/>
          <w:shd w:fill="F5F5F5" w:color="auto" w:val="clear"/>
        </w:rPr>
        <w:t> </w:t>
      </w:r>
      <w:r>
        <w:rPr>
          <w:color w:val="000000"/>
          <w:shd w:fill="F5F5F5" w:color="auto" w:val="clear"/>
        </w:rPr>
        <w:t>Concurrently,</w:t>
      </w:r>
      <w:r>
        <w:rPr>
          <w:color w:val="000000"/>
          <w:spacing w:val="-3"/>
          <w:shd w:fill="F5F5F5" w:color="auto" w:val="clear"/>
        </w:rPr>
        <w:t> </w:t>
      </w:r>
      <w:r>
        <w:rPr>
          <w:color w:val="000000"/>
          <w:shd w:fill="F5F5F5" w:color="auto" w:val="clear"/>
        </w:rPr>
        <w:t>the</w:t>
      </w:r>
      <w:r>
        <w:rPr>
          <w:color w:val="000000"/>
          <w:spacing w:val="-3"/>
          <w:shd w:fill="F5F5F5" w:color="auto" w:val="clear"/>
        </w:rPr>
        <w:t> </w:t>
      </w:r>
      <w:r>
        <w:rPr>
          <w:color w:val="000000"/>
          <w:shd w:fill="F5F5F5" w:color="auto" w:val="clear"/>
        </w:rPr>
        <w:t>twin</w:t>
      </w:r>
      <w:r>
        <w:rPr>
          <w:color w:val="000000"/>
          <w:spacing w:val="-3"/>
          <w:shd w:fill="F5F5F5" w:color="auto" w:val="clear"/>
        </w:rPr>
        <w:t> </w:t>
      </w:r>
      <w:r>
        <w:rPr>
          <w:color w:val="000000"/>
          <w:shd w:fill="F5F5F5" w:color="auto" w:val="clear"/>
        </w:rPr>
        <w:t>density</w:t>
      </w:r>
      <w:r>
        <w:rPr>
          <w:color w:val="000000"/>
          <w:spacing w:val="-3"/>
          <w:shd w:fill="F5F5F5" w:color="auto" w:val="clear"/>
        </w:rPr>
        <w:t> </w:t>
      </w:r>
      <w:r>
        <w:rPr>
          <w:color w:val="000000"/>
          <w:shd w:fill="F5F5F5" w:color="auto" w:val="clear"/>
        </w:rPr>
        <w:t>exhibited</w:t>
      </w:r>
      <w:r>
        <w:rPr>
          <w:color w:val="000000"/>
          <w:spacing w:val="-3"/>
          <w:shd w:fill="F5F5F5" w:color="auto" w:val="clear"/>
        </w:rPr>
        <w:t> </w:t>
      </w:r>
      <w:r>
        <w:rPr>
          <w:color w:val="000000"/>
          <w:shd w:fill="F5F5F5" w:color="auto" w:val="clear"/>
        </w:rPr>
        <w:t>a</w:t>
      </w:r>
      <w:r>
        <w:rPr>
          <w:color w:val="000000"/>
          <w:spacing w:val="-3"/>
          <w:shd w:fill="F5F5F5" w:color="auto" w:val="clear"/>
        </w:rPr>
        <w:t> </w:t>
      </w:r>
      <w:r>
        <w:rPr>
          <w:color w:val="000000"/>
          <w:shd w:fill="F5F5F5" w:color="auto" w:val="clear"/>
        </w:rPr>
        <w:t>monotonic</w:t>
      </w:r>
      <w:r>
        <w:rPr>
          <w:color w:val="000000"/>
          <w:spacing w:val="-3"/>
          <w:shd w:fill="F5F5F5" w:color="auto" w:val="clear"/>
        </w:rPr>
        <w:t> </w:t>
      </w:r>
      <w:r>
        <w:rPr>
          <w:color w:val="000000"/>
          <w:shd w:fill="F5F5F5" w:color="auto" w:val="clear"/>
        </w:rPr>
        <w:t>increase</w:t>
      </w:r>
      <w:r>
        <w:rPr>
          <w:color w:val="000000"/>
          <w:spacing w:val="-3"/>
          <w:shd w:fill="F5F5F5" w:color="auto" w:val="clear"/>
        </w:rPr>
        <w:t> </w:t>
      </w:r>
      <w:r>
        <w:rPr>
          <w:color w:val="000000"/>
          <w:shd w:fill="F5F5F5" w:color="auto" w:val="clear"/>
        </w:rPr>
        <w:t>from</w:t>
      </w:r>
      <w:r>
        <w:rPr>
          <w:color w:val="000000"/>
          <w:spacing w:val="-3"/>
          <w:shd w:fill="F5F5F5" w:color="auto" w:val="clear"/>
        </w:rPr>
        <w:t> </w:t>
      </w:r>
      <w:r>
        <w:rPr>
          <w:color w:val="000000"/>
          <w:shd w:fill="F5F5F5" w:color="auto" w:val="clear"/>
        </w:rPr>
        <w:t>145.71</w:t>
      </w:r>
      <w:r>
        <w:rPr>
          <w:color w:val="000000"/>
          <w:spacing w:val="-3"/>
          <w:shd w:fill="F5F5F5" w:color="auto" w:val="clear"/>
        </w:rPr>
        <w:t> </w:t>
      </w:r>
      <w:r>
        <w:rPr>
          <w:color w:val="000000"/>
          <w:shd w:fill="F5F5F5" w:color="auto" w:val="clear"/>
        </w:rPr>
        <w:t>mm</w:t>
      </w:r>
      <w:r>
        <w:rPr>
          <w:rFonts w:ascii="SimSun-ExtB" w:hAnsi="SimSun-ExtB"/>
          <w:color w:val="000000"/>
          <w:shd w:fill="F5F5F5" w:color="auto" w:val="clear"/>
        </w:rPr>
        <w:t>⁻</w:t>
      </w:r>
      <w:r>
        <w:rPr>
          <w:color w:val="000000"/>
          <w:shd w:fill="F5F5F5" w:color="auto" w:val="clear"/>
        </w:rPr>
        <w:t>¹</w:t>
      </w:r>
      <w:r>
        <w:rPr>
          <w:color w:val="000000"/>
          <w:spacing w:val="-3"/>
          <w:shd w:fill="F5F5F5" w:color="auto" w:val="clear"/>
        </w:rPr>
        <w:t> </w:t>
      </w:r>
      <w:r>
        <w:rPr>
          <w:color w:val="000000"/>
          <w:shd w:fill="F5F5F5" w:color="auto" w:val="clear"/>
        </w:rPr>
        <w:t>to</w:t>
      </w:r>
    </w:p>
    <w:p>
      <w:pPr>
        <w:pStyle w:val="BodyText"/>
        <w:spacing w:line="278" w:lineRule="exact"/>
        <w:ind w:left="1984"/>
      </w:pPr>
      <w:r>
        <w:rPr>
          <w:color w:val="000000"/>
          <w:shd w:fill="F5F5F5" w:color="auto" w:val="clear"/>
        </w:rPr>
        <w:t>187.36 </w:t>
      </w:r>
      <w:r>
        <w:rPr>
          <w:color w:val="000000"/>
          <w:spacing w:val="-2"/>
          <w:shd w:fill="F5F5F5" w:color="auto" w:val="clear"/>
        </w:rPr>
        <w:t>mm</w:t>
      </w:r>
      <w:r>
        <w:rPr>
          <w:rFonts w:ascii="SimSun-ExtB" w:hAnsi="SimSun-ExtB"/>
          <w:color w:val="000000"/>
          <w:spacing w:val="-2"/>
          <w:shd w:fill="F5F5F5" w:color="auto" w:val="clear"/>
        </w:rPr>
        <w:t>⁻</w:t>
      </w:r>
      <w:r>
        <w:rPr>
          <w:color w:val="000000"/>
          <w:spacing w:val="-2"/>
          <w:shd w:fill="F5F5F5" w:color="auto" w:val="clear"/>
        </w:rPr>
        <w:t>¹.</w:t>
      </w:r>
    </w:p>
    <w:p>
      <w:pPr>
        <w:pStyle w:val="BodyText"/>
        <w:spacing w:before="237"/>
        <w:ind w:left="1984" w:right="720"/>
        <w:jc w:val="both"/>
      </w:pPr>
      <w:r>
        <w:rPr/>
        <w:t>The substantial increase in hardness from 368 ± 7 Hv (Ce-0) to 552 ± 10 Hv (Ce-0.06) </w:t>
      </w:r>
      <w:r>
        <w:rPr/>
        <w:t>is primarily governed by grain boundary strengthening, adhering to the classical Hall-Petch </w:t>
      </w:r>
      <w:r>
        <w:rPr>
          <w:spacing w:val="-2"/>
        </w:rPr>
        <w:t>relationship:</w:t>
      </w:r>
    </w:p>
    <w:p>
      <w:pPr>
        <w:spacing w:before="0"/>
        <w:ind w:left="1984" w:right="0" w:firstLine="0"/>
        <w:jc w:val="both"/>
        <w:rPr>
          <w:b/>
          <w:sz w:val="28"/>
        </w:rPr>
      </w:pPr>
      <w:r>
        <w:rPr>
          <w:b/>
          <w:sz w:val="28"/>
        </w:rPr>
        <w:t>σ</w:t>
      </w:r>
      <w:r>
        <w:rPr>
          <w:b/>
          <w:sz w:val="28"/>
          <w:vertAlign w:val="subscript"/>
        </w:rPr>
        <w:t>y</w:t>
      </w:r>
      <w:r>
        <w:rPr>
          <w:b/>
          <w:spacing w:val="-5"/>
          <w:sz w:val="28"/>
          <w:vertAlign w:val="baseline"/>
        </w:rPr>
        <w:t> </w:t>
      </w:r>
      <w:r>
        <w:rPr>
          <w:b/>
          <w:sz w:val="28"/>
          <w:vertAlign w:val="baseline"/>
        </w:rPr>
        <w:t>=</w:t>
      </w:r>
      <w:r>
        <w:rPr>
          <w:b/>
          <w:spacing w:val="-4"/>
          <w:sz w:val="28"/>
          <w:vertAlign w:val="baseline"/>
        </w:rPr>
        <w:t> </w:t>
      </w:r>
      <w:r>
        <w:rPr>
          <w:b/>
          <w:sz w:val="28"/>
          <w:vertAlign w:val="baseline"/>
        </w:rPr>
        <w:t>σ</w:t>
      </w:r>
      <w:r>
        <w:rPr>
          <w:b/>
          <w:sz w:val="28"/>
          <w:vertAlign w:val="subscript"/>
        </w:rPr>
        <w:t>0</w:t>
      </w:r>
      <w:r>
        <w:rPr>
          <w:b/>
          <w:spacing w:val="-4"/>
          <w:sz w:val="28"/>
          <w:vertAlign w:val="baseline"/>
        </w:rPr>
        <w:t> </w:t>
      </w:r>
      <w:r>
        <w:rPr>
          <w:b/>
          <w:sz w:val="28"/>
          <w:vertAlign w:val="baseline"/>
        </w:rPr>
        <w:t>+</w:t>
      </w:r>
      <w:r>
        <w:rPr>
          <w:b/>
          <w:spacing w:val="-4"/>
          <w:sz w:val="28"/>
          <w:vertAlign w:val="baseline"/>
        </w:rPr>
        <w:t> </w:t>
      </w:r>
      <w:r>
        <w:rPr>
          <w:b/>
          <w:sz w:val="28"/>
          <w:vertAlign w:val="baseline"/>
        </w:rPr>
        <w:t>k.d</w:t>
      </w:r>
      <w:r>
        <w:rPr>
          <w:b/>
          <w:sz w:val="28"/>
          <w:vertAlign w:val="superscript"/>
        </w:rPr>
        <w:t>(-</w:t>
      </w:r>
      <w:r>
        <w:rPr>
          <w:b/>
          <w:spacing w:val="-5"/>
          <w:sz w:val="28"/>
          <w:vertAlign w:val="superscript"/>
        </w:rPr>
        <w:t>½)</w:t>
      </w:r>
    </w:p>
    <w:p>
      <w:pPr>
        <w:pStyle w:val="BodyText"/>
        <w:ind w:left="2704" w:firstLine="720"/>
        <w:rPr>
          <w:b/>
        </w:rPr>
      </w:pPr>
      <w:r>
        <w:rPr/>
        <w:t>where</w:t>
      </w:r>
      <w:r>
        <w:rPr>
          <w:spacing w:val="40"/>
        </w:rPr>
        <w:t> </w:t>
      </w:r>
      <w:r>
        <w:rPr/>
        <w:t>is</w:t>
      </w:r>
      <w:r>
        <w:rPr>
          <w:spacing w:val="40"/>
        </w:rPr>
        <w:t> </w:t>
      </w:r>
      <w:r>
        <w:rPr/>
        <w:t>the</w:t>
      </w:r>
      <w:r>
        <w:rPr>
          <w:spacing w:val="40"/>
        </w:rPr>
        <w:t> </w:t>
      </w:r>
      <w:r>
        <w:rPr/>
        <w:t>yield</w:t>
      </w:r>
      <w:r>
        <w:rPr>
          <w:spacing w:val="40"/>
        </w:rPr>
        <w:t> </w:t>
      </w:r>
      <w:r>
        <w:rPr/>
        <w:t>stress,</w:t>
      </w:r>
      <w:r>
        <w:rPr>
          <w:spacing w:val="40"/>
        </w:rPr>
        <w:t> </w:t>
      </w:r>
      <w:r>
        <w:rPr/>
        <w:t>is</w:t>
      </w:r>
      <w:r>
        <w:rPr>
          <w:spacing w:val="40"/>
        </w:rPr>
        <w:t> </w:t>
      </w:r>
      <w:r>
        <w:rPr/>
        <w:t>the</w:t>
      </w:r>
      <w:r>
        <w:rPr>
          <w:spacing w:val="40"/>
        </w:rPr>
        <w:t> </w:t>
      </w:r>
      <w:r>
        <w:rPr/>
        <w:t>friction</w:t>
      </w:r>
      <w:r>
        <w:rPr>
          <w:spacing w:val="40"/>
        </w:rPr>
        <w:t> </w:t>
      </w:r>
      <w:r>
        <w:rPr/>
        <w:t>stress,</w:t>
      </w:r>
      <w:r>
        <w:rPr>
          <w:spacing w:val="40"/>
        </w:rPr>
        <w:t> </w:t>
      </w:r>
      <w:r>
        <w:rPr/>
        <w:t>d</w:t>
      </w:r>
      <w:r>
        <w:rPr>
          <w:spacing w:val="40"/>
        </w:rPr>
        <w:t> </w:t>
      </w:r>
      <w:r>
        <w:rPr/>
        <w:t>is</w:t>
      </w:r>
      <w:r>
        <w:rPr>
          <w:spacing w:val="40"/>
        </w:rPr>
        <w:t> </w:t>
      </w:r>
      <w:r>
        <w:rPr/>
        <w:t>grain</w:t>
      </w:r>
      <w:r>
        <w:rPr>
          <w:spacing w:val="40"/>
        </w:rPr>
        <w:t> </w:t>
      </w:r>
      <w:r>
        <w:rPr/>
        <w:t>diameter</w:t>
      </w:r>
      <w:r>
        <w:rPr>
          <w:spacing w:val="40"/>
        </w:rPr>
        <w:t> </w:t>
      </w:r>
      <w:r>
        <w:rPr/>
        <w:t>and</w:t>
      </w:r>
      <w:r>
        <w:rPr>
          <w:spacing w:val="40"/>
        </w:rPr>
        <w:t> </w:t>
      </w:r>
      <w:r>
        <w:rPr/>
        <w:t>k</w:t>
      </w:r>
      <w:r>
        <w:rPr>
          <w:spacing w:val="40"/>
        </w:rPr>
        <w:t> </w:t>
      </w:r>
      <w:r>
        <w:rPr/>
        <w:t>is strengthening coefficient</w:t>
      </w:r>
      <w:r>
        <w:rPr>
          <w:b/>
        </w:rPr>
        <w:t>.</w:t>
      </w:r>
    </w:p>
    <w:p>
      <w:pPr>
        <w:pStyle w:val="BodyText"/>
        <w:spacing w:after="0"/>
        <w:rPr>
          <w:b/>
        </w:rPr>
        <w:sectPr>
          <w:headerReference w:type="default" r:id="rId23"/>
          <w:pgSz w:w="12240" w:h="15840"/>
          <w:pgMar w:header="0" w:footer="0" w:top="740" w:bottom="280" w:left="0" w:right="360"/>
        </w:sectPr>
      </w:pPr>
    </w:p>
    <w:p>
      <w:pPr>
        <w:pStyle w:val="Heading2"/>
        <w:numPr>
          <w:ilvl w:val="0"/>
          <w:numId w:val="2"/>
        </w:numPr>
        <w:tabs>
          <w:tab w:pos="2344" w:val="left" w:leader="none"/>
        </w:tabs>
        <w:spacing w:line="240" w:lineRule="auto" w:before="0" w:after="0"/>
        <w:ind w:left="2344" w:right="0" w:hanging="360"/>
        <w:jc w:val="left"/>
      </w:pPr>
      <w:r>
        <w:rPr>
          <w:spacing w:val="-2"/>
        </w:rPr>
        <w:t>Conclusions</w:t>
      </w:r>
    </w:p>
    <w:p>
      <w:pPr>
        <w:pStyle w:val="BodyText"/>
        <w:spacing w:before="322"/>
        <w:ind w:left="1984"/>
        <w:jc w:val="both"/>
      </w:pPr>
      <w:r>
        <w:rPr/>
        <w:t>The following conclusions has been drawn from the above work </w:t>
      </w:r>
      <w:r>
        <w:rPr>
          <w:spacing w:val="-10"/>
        </w:rPr>
        <w:t>:</w:t>
      </w:r>
    </w:p>
    <w:p>
      <w:pPr>
        <w:pStyle w:val="ListParagraph"/>
        <w:numPr>
          <w:ilvl w:val="0"/>
          <w:numId w:val="4"/>
        </w:numPr>
        <w:tabs>
          <w:tab w:pos="2383" w:val="left" w:leader="none"/>
        </w:tabs>
        <w:spacing w:line="237" w:lineRule="auto" w:before="262" w:after="0"/>
        <w:ind w:left="1984" w:right="720" w:firstLine="0"/>
        <w:jc w:val="both"/>
        <w:rPr>
          <w:sz w:val="24"/>
        </w:rPr>
      </w:pPr>
      <w:r>
        <w:rPr>
          <w:sz w:val="24"/>
        </w:rPr>
        <w:t>The X-ray diffraction (XRD)</w:t>
      </w:r>
      <w:r>
        <w:rPr>
          <w:spacing w:val="-3"/>
          <w:sz w:val="24"/>
        </w:rPr>
        <w:t> </w:t>
      </w:r>
      <w:r>
        <w:rPr>
          <w:sz w:val="24"/>
        </w:rPr>
        <w:t>analysis</w:t>
      </w:r>
      <w:r>
        <w:rPr>
          <w:spacing w:val="-3"/>
          <w:sz w:val="24"/>
        </w:rPr>
        <w:t> </w:t>
      </w:r>
      <w:r>
        <w:rPr>
          <w:sz w:val="24"/>
        </w:rPr>
        <w:t>revealed</w:t>
      </w:r>
      <w:r>
        <w:rPr>
          <w:spacing w:val="-3"/>
          <w:sz w:val="24"/>
        </w:rPr>
        <w:t> </w:t>
      </w:r>
      <w:r>
        <w:rPr>
          <w:sz w:val="24"/>
        </w:rPr>
        <w:t>that</w:t>
      </w:r>
      <w:r>
        <w:rPr>
          <w:spacing w:val="-3"/>
          <w:sz w:val="24"/>
        </w:rPr>
        <w:t> </w:t>
      </w:r>
      <w:r>
        <w:rPr>
          <w:sz w:val="24"/>
        </w:rPr>
        <w:t>all</w:t>
      </w:r>
      <w:r>
        <w:rPr>
          <w:spacing w:val="-3"/>
          <w:sz w:val="24"/>
        </w:rPr>
        <w:t> </w:t>
      </w:r>
      <w:r>
        <w:rPr>
          <w:sz w:val="24"/>
        </w:rPr>
        <w:t>the</w:t>
      </w:r>
      <w:r>
        <w:rPr>
          <w:spacing w:val="-3"/>
          <w:sz w:val="24"/>
        </w:rPr>
        <w:t> </w:t>
      </w:r>
      <w:r>
        <w:rPr>
          <w:sz w:val="24"/>
        </w:rPr>
        <w:t>developed</w:t>
      </w:r>
      <w:r>
        <w:rPr>
          <w:spacing w:val="-3"/>
          <w:sz w:val="24"/>
        </w:rPr>
        <w:t> </w:t>
      </w:r>
      <w:r>
        <w:rPr>
          <w:sz w:val="24"/>
        </w:rPr>
        <w:t>high</w:t>
      </w:r>
      <w:r>
        <w:rPr>
          <w:spacing w:val="-3"/>
          <w:sz w:val="24"/>
        </w:rPr>
        <w:t> </w:t>
      </w:r>
      <w:r>
        <w:rPr>
          <w:sz w:val="24"/>
        </w:rPr>
        <w:t>manganese</w:t>
      </w:r>
      <w:r>
        <w:rPr>
          <w:spacing w:val="-3"/>
          <w:sz w:val="24"/>
        </w:rPr>
        <w:t> </w:t>
      </w:r>
      <w:r>
        <w:rPr>
          <w:sz w:val="24"/>
        </w:rPr>
        <w:t>steel specimens exhibited a stable single-phase face-centered cubic (FCC) austenitic structure. It</w:t>
      </w:r>
      <w:r>
        <w:rPr>
          <w:spacing w:val="40"/>
          <w:sz w:val="24"/>
        </w:rPr>
        <w:t> </w:t>
      </w:r>
      <w:r>
        <w:rPr>
          <w:sz w:val="24"/>
        </w:rPr>
        <w:t>was</w:t>
      </w:r>
      <w:r>
        <w:rPr>
          <w:spacing w:val="-2"/>
          <w:sz w:val="24"/>
        </w:rPr>
        <w:t> </w:t>
      </w:r>
      <w:r>
        <w:rPr>
          <w:sz w:val="24"/>
        </w:rPr>
        <w:t>observed</w:t>
      </w:r>
      <w:r>
        <w:rPr>
          <w:spacing w:val="-2"/>
          <w:sz w:val="24"/>
        </w:rPr>
        <w:t> </w:t>
      </w:r>
      <w:r>
        <w:rPr>
          <w:sz w:val="24"/>
        </w:rPr>
        <w:t>that</w:t>
      </w:r>
      <w:r>
        <w:rPr>
          <w:spacing w:val="-2"/>
          <w:sz w:val="24"/>
        </w:rPr>
        <w:t> </w:t>
      </w:r>
      <w:r>
        <w:rPr>
          <w:sz w:val="24"/>
        </w:rPr>
        <w:t>the</w:t>
      </w:r>
      <w:r>
        <w:rPr>
          <w:spacing w:val="-2"/>
          <w:sz w:val="24"/>
        </w:rPr>
        <w:t> </w:t>
      </w:r>
      <w:r>
        <w:rPr>
          <w:sz w:val="24"/>
        </w:rPr>
        <w:t>addition</w:t>
      </w:r>
      <w:r>
        <w:rPr>
          <w:spacing w:val="-2"/>
          <w:sz w:val="24"/>
        </w:rPr>
        <w:t> </w:t>
      </w:r>
      <w:r>
        <w:rPr>
          <w:sz w:val="24"/>
        </w:rPr>
        <w:t>of</w:t>
      </w:r>
      <w:r>
        <w:rPr>
          <w:spacing w:val="-2"/>
          <w:sz w:val="24"/>
        </w:rPr>
        <w:t> </w:t>
      </w:r>
      <w:r>
        <w:rPr>
          <w:sz w:val="24"/>
        </w:rPr>
        <w:t>Cerium</w:t>
      </w:r>
      <w:r>
        <w:rPr>
          <w:spacing w:val="-2"/>
          <w:sz w:val="24"/>
        </w:rPr>
        <w:t> </w:t>
      </w:r>
      <w:r>
        <w:rPr>
          <w:sz w:val="24"/>
        </w:rPr>
        <w:t>(up</w:t>
      </w:r>
      <w:r>
        <w:rPr>
          <w:spacing w:val="-2"/>
          <w:sz w:val="24"/>
        </w:rPr>
        <w:t> </w:t>
      </w:r>
      <w:r>
        <w:rPr>
          <w:sz w:val="24"/>
        </w:rPr>
        <w:t>to</w:t>
      </w:r>
      <w:r>
        <w:rPr>
          <w:spacing w:val="-2"/>
          <w:sz w:val="24"/>
        </w:rPr>
        <w:t> </w:t>
      </w:r>
      <w:r>
        <w:rPr>
          <w:sz w:val="24"/>
        </w:rPr>
        <w:t>0.06</w:t>
      </w:r>
      <w:r>
        <w:rPr>
          <w:spacing w:val="-2"/>
          <w:sz w:val="24"/>
        </w:rPr>
        <w:t> </w:t>
      </w:r>
      <w:r>
        <w:rPr>
          <w:sz w:val="24"/>
        </w:rPr>
        <w:t>wt.%)</w:t>
      </w:r>
      <w:r>
        <w:rPr>
          <w:spacing w:val="-2"/>
          <w:sz w:val="24"/>
        </w:rPr>
        <w:t> </w:t>
      </w:r>
      <w:r>
        <w:rPr>
          <w:sz w:val="24"/>
        </w:rPr>
        <w:t>did</w:t>
      </w:r>
      <w:r>
        <w:rPr>
          <w:spacing w:val="-2"/>
          <w:sz w:val="24"/>
        </w:rPr>
        <w:t> </w:t>
      </w:r>
      <w:r>
        <w:rPr>
          <w:sz w:val="24"/>
        </w:rPr>
        <w:t>not</w:t>
      </w:r>
      <w:r>
        <w:rPr>
          <w:spacing w:val="-2"/>
          <w:sz w:val="24"/>
        </w:rPr>
        <w:t> </w:t>
      </w:r>
      <w:r>
        <w:rPr>
          <w:sz w:val="24"/>
        </w:rPr>
        <w:t>induce</w:t>
      </w:r>
      <w:r>
        <w:rPr>
          <w:spacing w:val="-2"/>
          <w:sz w:val="24"/>
        </w:rPr>
        <w:t> </w:t>
      </w:r>
      <w:r>
        <w:rPr>
          <w:sz w:val="24"/>
        </w:rPr>
        <w:t>the</w:t>
      </w:r>
      <w:r>
        <w:rPr>
          <w:spacing w:val="-2"/>
          <w:sz w:val="24"/>
        </w:rPr>
        <w:t> </w:t>
      </w:r>
      <w:r>
        <w:rPr>
          <w:sz w:val="24"/>
        </w:rPr>
        <w:t>formation</w:t>
      </w:r>
      <w:r>
        <w:rPr>
          <w:spacing w:val="-2"/>
          <w:sz w:val="24"/>
        </w:rPr>
        <w:t> </w:t>
      </w:r>
      <w:r>
        <w:rPr>
          <w:sz w:val="24"/>
        </w:rPr>
        <w:t>of</w:t>
      </w:r>
      <w:r>
        <w:rPr>
          <w:spacing w:val="-2"/>
          <w:sz w:val="24"/>
        </w:rPr>
        <w:t> </w:t>
      </w:r>
      <w:r>
        <w:rPr>
          <w:sz w:val="24"/>
        </w:rPr>
        <w:t>any deleterious secondary phases, thereby preserving the phase stability essential for cryogenic </w:t>
      </w:r>
      <w:r>
        <w:rPr>
          <w:spacing w:val="-2"/>
          <w:sz w:val="24"/>
        </w:rPr>
        <w:t>applications.</w:t>
      </w:r>
    </w:p>
    <w:p>
      <w:pPr>
        <w:pStyle w:val="ListParagraph"/>
        <w:numPr>
          <w:ilvl w:val="0"/>
          <w:numId w:val="4"/>
        </w:numPr>
        <w:tabs>
          <w:tab w:pos="2383" w:val="left" w:leader="none"/>
        </w:tabs>
        <w:spacing w:line="232" w:lineRule="auto" w:before="0" w:after="0"/>
        <w:ind w:left="1984" w:right="721" w:firstLine="0"/>
        <w:jc w:val="both"/>
        <w:rPr>
          <w:sz w:val="24"/>
        </w:rPr>
      </w:pPr>
      <w:r>
        <w:rPr>
          <w:sz w:val="24"/>
        </w:rPr>
        <w:t>The microstructural examination demonstrated that the reinforcement of Cerium resulted</w:t>
      </w:r>
      <w:r>
        <w:rPr>
          <w:spacing w:val="40"/>
          <w:sz w:val="24"/>
        </w:rPr>
        <w:t> </w:t>
      </w:r>
      <w:r>
        <w:rPr>
          <w:sz w:val="24"/>
        </w:rPr>
        <w:t>in a significant refinement of the prior-austenite grains. This refinement was attributed to </w:t>
      </w:r>
      <w:r>
        <w:rPr>
          <w:sz w:val="24"/>
        </w:rPr>
        <w:t>the solute</w:t>
      </w:r>
      <w:r>
        <w:rPr>
          <w:spacing w:val="40"/>
          <w:sz w:val="24"/>
        </w:rPr>
        <w:t> </w:t>
      </w:r>
      <w:r>
        <w:rPr>
          <w:sz w:val="24"/>
        </w:rPr>
        <w:t>drag</w:t>
      </w:r>
      <w:r>
        <w:rPr>
          <w:spacing w:val="40"/>
          <w:sz w:val="24"/>
        </w:rPr>
        <w:t> </w:t>
      </w:r>
      <w:r>
        <w:rPr>
          <w:sz w:val="24"/>
        </w:rPr>
        <w:t>effect</w:t>
      </w:r>
      <w:r>
        <w:rPr>
          <w:spacing w:val="40"/>
          <w:sz w:val="24"/>
        </w:rPr>
        <w:t> </w:t>
      </w:r>
      <w:r>
        <w:rPr>
          <w:sz w:val="24"/>
        </w:rPr>
        <w:t>and</w:t>
      </w:r>
      <w:r>
        <w:rPr>
          <w:spacing w:val="40"/>
          <w:sz w:val="24"/>
        </w:rPr>
        <w:t> </w:t>
      </w:r>
      <w:r>
        <w:rPr>
          <w:sz w:val="24"/>
        </w:rPr>
        <w:t>the</w:t>
      </w:r>
      <w:r>
        <w:rPr>
          <w:spacing w:val="40"/>
          <w:sz w:val="24"/>
        </w:rPr>
        <w:t> </w:t>
      </w:r>
      <w:r>
        <w:rPr>
          <w:sz w:val="24"/>
        </w:rPr>
        <w:t>pinning</w:t>
      </w:r>
      <w:r>
        <w:rPr>
          <w:spacing w:val="40"/>
          <w:sz w:val="24"/>
        </w:rPr>
        <w:t> </w:t>
      </w:r>
      <w:r>
        <w:rPr>
          <w:sz w:val="24"/>
        </w:rPr>
        <w:t>of</w:t>
      </w:r>
      <w:r>
        <w:rPr>
          <w:spacing w:val="40"/>
          <w:sz w:val="24"/>
        </w:rPr>
        <w:t> </w:t>
      </w:r>
      <w:r>
        <w:rPr>
          <w:sz w:val="24"/>
        </w:rPr>
        <w:t>grain</w:t>
      </w:r>
      <w:r>
        <w:rPr>
          <w:spacing w:val="40"/>
          <w:sz w:val="24"/>
        </w:rPr>
        <w:t> </w:t>
      </w:r>
      <w:r>
        <w:rPr>
          <w:sz w:val="24"/>
        </w:rPr>
        <w:t>boundaries</w:t>
      </w:r>
      <w:r>
        <w:rPr>
          <w:spacing w:val="40"/>
          <w:sz w:val="24"/>
        </w:rPr>
        <w:t> </w:t>
      </w:r>
      <w:r>
        <w:rPr>
          <w:sz w:val="24"/>
        </w:rPr>
        <w:t>by</w:t>
      </w:r>
      <w:r>
        <w:rPr>
          <w:spacing w:val="40"/>
          <w:sz w:val="24"/>
        </w:rPr>
        <w:t> </w:t>
      </w:r>
      <w:r>
        <w:rPr>
          <w:sz w:val="24"/>
        </w:rPr>
        <w:t>Cerium-based</w:t>
      </w:r>
      <w:r>
        <w:rPr>
          <w:spacing w:val="40"/>
          <w:sz w:val="24"/>
        </w:rPr>
        <w:t> </w:t>
      </w:r>
      <w:r>
        <w:rPr>
          <w:sz w:val="24"/>
        </w:rPr>
        <w:t>inclusions,</w:t>
      </w:r>
      <w:r>
        <w:rPr>
          <w:spacing w:val="40"/>
          <w:sz w:val="24"/>
        </w:rPr>
        <w:t> </w:t>
      </w:r>
      <w:r>
        <w:rPr>
          <w:sz w:val="24"/>
        </w:rPr>
        <w:t>which</w:t>
      </w:r>
    </w:p>
    <w:p>
      <w:pPr>
        <w:pStyle w:val="BodyText"/>
        <w:spacing w:line="268" w:lineRule="exact"/>
        <w:ind w:left="1984"/>
        <w:jc w:val="both"/>
      </w:pPr>
      <w:r>
        <w:rPr/>
        <w:t>effectively</w:t>
      </w:r>
      <w:r>
        <w:rPr>
          <w:spacing w:val="-2"/>
        </w:rPr>
        <w:t> </w:t>
      </w:r>
      <w:r>
        <w:rPr/>
        <w:t>restricted</w:t>
      </w:r>
      <w:r>
        <w:rPr>
          <w:spacing w:val="-2"/>
        </w:rPr>
        <w:t> </w:t>
      </w:r>
      <w:r>
        <w:rPr/>
        <w:t>grain</w:t>
      </w:r>
      <w:r>
        <w:rPr>
          <w:spacing w:val="-1"/>
        </w:rPr>
        <w:t> </w:t>
      </w:r>
      <w:r>
        <w:rPr>
          <w:spacing w:val="-2"/>
        </w:rPr>
        <w:t>growth.</w:t>
      </w:r>
    </w:p>
    <w:p>
      <w:pPr>
        <w:pStyle w:val="ListParagraph"/>
        <w:numPr>
          <w:ilvl w:val="0"/>
          <w:numId w:val="4"/>
        </w:numPr>
        <w:tabs>
          <w:tab w:pos="2383" w:val="left" w:leader="none"/>
        </w:tabs>
        <w:spacing w:line="235" w:lineRule="auto" w:before="0" w:after="0"/>
        <w:ind w:left="1984" w:right="728" w:firstLine="0"/>
        <w:jc w:val="both"/>
        <w:rPr>
          <w:sz w:val="24"/>
        </w:rPr>
      </w:pPr>
      <w:r>
        <w:rPr>
          <w:sz w:val="24"/>
        </w:rPr>
        <w:t>The specimens exhibited a distinct presence of twins, wherein the twin density </w:t>
      </w:r>
      <w:r>
        <w:rPr>
          <w:sz w:val="24"/>
        </w:rPr>
        <w:t>increased with increasing Cerium content. The extensive formation of these twins was attributed to the low Stacking Fault Energy (SFE) of the high manganese steel matrix, which energetically favors the formation of twin boundaries during the thermal processing.</w:t>
      </w:r>
    </w:p>
    <w:p>
      <w:pPr>
        <w:pStyle w:val="ListParagraph"/>
        <w:numPr>
          <w:ilvl w:val="0"/>
          <w:numId w:val="4"/>
        </w:numPr>
        <w:tabs>
          <w:tab w:pos="2383" w:val="left" w:leader="none"/>
        </w:tabs>
        <w:spacing w:line="237" w:lineRule="auto" w:before="0" w:after="0"/>
        <w:ind w:left="1984" w:right="718" w:firstLine="0"/>
        <w:jc w:val="both"/>
        <w:rPr>
          <w:sz w:val="24"/>
        </w:rPr>
      </w:pPr>
      <w:r>
        <w:rPr>
          <w:sz w:val="24"/>
        </w:rPr>
        <w:t>The average Vickers microhardness values increased significantly with Cerium </w:t>
      </w:r>
      <w:r>
        <w:rPr>
          <w:sz w:val="24"/>
        </w:rPr>
        <w:t>addition. This enhancement in hardness was correlated with the Hall-Petch relationship, where the refined grain structure and the increased density of twin boundaries (Dynamic Hall-Petch effect) acted as effective barriers to dislocation motion, thereby requiring higher stress for </w:t>
      </w:r>
      <w:r>
        <w:rPr>
          <w:spacing w:val="-2"/>
          <w:sz w:val="24"/>
        </w:rPr>
        <w:t>deformation.</w:t>
      </w:r>
    </w:p>
    <w:p>
      <w:pPr>
        <w:pStyle w:val="ListParagraph"/>
        <w:spacing w:after="0" w:line="237" w:lineRule="auto"/>
        <w:jc w:val="both"/>
        <w:rPr>
          <w:sz w:val="24"/>
        </w:rPr>
        <w:sectPr>
          <w:headerReference w:type="default" r:id="rId24"/>
          <w:pgSz w:w="12240" w:h="15840"/>
          <w:pgMar w:header="470" w:footer="0" w:top="720" w:bottom="280" w:left="0" w:right="360"/>
          <w:pgNumType w:start="13"/>
        </w:sectPr>
      </w:pPr>
    </w:p>
    <w:p>
      <w:pPr>
        <w:pStyle w:val="Heading2"/>
        <w:numPr>
          <w:ilvl w:val="0"/>
          <w:numId w:val="2"/>
        </w:numPr>
        <w:tabs>
          <w:tab w:pos="2344" w:val="left" w:leader="none"/>
        </w:tabs>
        <w:spacing w:line="240" w:lineRule="auto" w:before="8" w:after="0"/>
        <w:ind w:left="2344" w:right="0" w:hanging="360"/>
        <w:jc w:val="left"/>
      </w:pPr>
      <w:r>
        <w:rPr/>
        <w:t>Future</w:t>
      </w:r>
      <w:r>
        <w:rPr>
          <w:spacing w:val="-4"/>
        </w:rPr>
        <w:t> </w:t>
      </w:r>
      <w:r>
        <w:rPr/>
        <w:t>Scope</w:t>
      </w:r>
      <w:r>
        <w:rPr>
          <w:spacing w:val="-3"/>
        </w:rPr>
        <w:t> </w:t>
      </w:r>
      <w:r>
        <w:rPr>
          <w:spacing w:val="-10"/>
          <w:sz w:val="28"/>
        </w:rPr>
        <w:t>:</w:t>
      </w:r>
    </w:p>
    <w:p>
      <w:pPr>
        <w:pStyle w:val="BodyText"/>
        <w:spacing w:before="240"/>
        <w:ind w:left="1984" w:right="723"/>
        <w:jc w:val="both"/>
      </w:pPr>
      <w:r>
        <w:rPr/>
        <w:t>The provided document outlines two specific areas for future research, though it does </w:t>
      </w:r>
      <w:r>
        <w:rPr/>
        <w:t>not elaborate on the specific methodologies to be used for them within this text:</w:t>
      </w:r>
    </w:p>
    <w:p>
      <w:pPr>
        <w:pStyle w:val="ListParagraph"/>
        <w:numPr>
          <w:ilvl w:val="0"/>
          <w:numId w:val="5"/>
        </w:numPr>
        <w:tabs>
          <w:tab w:pos="2704" w:val="left" w:leader="none"/>
        </w:tabs>
        <w:spacing w:line="240" w:lineRule="auto" w:before="240" w:after="0"/>
        <w:ind w:left="2704" w:right="0" w:hanging="360"/>
        <w:jc w:val="left"/>
        <w:rPr>
          <w:sz w:val="24"/>
        </w:rPr>
      </w:pPr>
      <w:r>
        <w:rPr>
          <w:b/>
          <w:sz w:val="24"/>
        </w:rPr>
        <w:t>Corrosion</w:t>
      </w:r>
      <w:r>
        <w:rPr>
          <w:b/>
          <w:spacing w:val="-1"/>
          <w:sz w:val="24"/>
        </w:rPr>
        <w:t> </w:t>
      </w:r>
      <w:r>
        <w:rPr>
          <w:b/>
          <w:sz w:val="24"/>
        </w:rPr>
        <w:t>Study:</w:t>
      </w:r>
      <w:r>
        <w:rPr>
          <w:b/>
          <w:spacing w:val="-1"/>
          <w:sz w:val="24"/>
        </w:rPr>
        <w:t> </w:t>
      </w:r>
      <w:r>
        <w:rPr>
          <w:sz w:val="24"/>
        </w:rPr>
        <w:t>Investigation into</w:t>
      </w:r>
      <w:r>
        <w:rPr>
          <w:spacing w:val="-1"/>
          <w:sz w:val="24"/>
        </w:rPr>
        <w:t> </w:t>
      </w:r>
      <w:r>
        <w:rPr>
          <w:sz w:val="24"/>
        </w:rPr>
        <w:t>the chemical</w:t>
      </w:r>
      <w:r>
        <w:rPr>
          <w:spacing w:val="-1"/>
          <w:sz w:val="24"/>
        </w:rPr>
        <w:t> </w:t>
      </w:r>
      <w:r>
        <w:rPr>
          <w:sz w:val="24"/>
        </w:rPr>
        <w:t>resistance of</w:t>
      </w:r>
      <w:r>
        <w:rPr>
          <w:spacing w:val="-1"/>
          <w:sz w:val="24"/>
        </w:rPr>
        <w:t> </w:t>
      </w:r>
      <w:r>
        <w:rPr>
          <w:sz w:val="24"/>
        </w:rPr>
        <w:t>the </w:t>
      </w:r>
      <w:r>
        <w:rPr>
          <w:spacing w:val="-2"/>
          <w:sz w:val="24"/>
        </w:rPr>
        <w:t>material.</w:t>
      </w:r>
    </w:p>
    <w:p>
      <w:pPr>
        <w:pStyle w:val="ListParagraph"/>
        <w:numPr>
          <w:ilvl w:val="0"/>
          <w:numId w:val="5"/>
        </w:numPr>
        <w:tabs>
          <w:tab w:pos="2704" w:val="left" w:leader="none"/>
        </w:tabs>
        <w:spacing w:line="240" w:lineRule="auto" w:before="0" w:after="0"/>
        <w:ind w:left="2704" w:right="722" w:hanging="360"/>
        <w:jc w:val="left"/>
        <w:rPr>
          <w:sz w:val="24"/>
        </w:rPr>
      </w:pPr>
      <w:r>
        <w:rPr>
          <w:b/>
          <w:sz w:val="24"/>
        </w:rPr>
        <w:t>Tribological</w:t>
      </w:r>
      <w:r>
        <w:rPr>
          <w:b/>
          <w:spacing w:val="37"/>
          <w:sz w:val="24"/>
        </w:rPr>
        <w:t> </w:t>
      </w:r>
      <w:r>
        <w:rPr>
          <w:b/>
          <w:sz w:val="24"/>
        </w:rPr>
        <w:t>Study</w:t>
      </w:r>
      <w:r>
        <w:rPr>
          <w:b/>
          <w:spacing w:val="37"/>
          <w:sz w:val="24"/>
        </w:rPr>
        <w:t> </w:t>
      </w:r>
      <w:r>
        <w:rPr>
          <w:b/>
          <w:sz w:val="24"/>
        </w:rPr>
        <w:t>(Wear</w:t>
      </w:r>
      <w:r>
        <w:rPr>
          <w:b/>
          <w:spacing w:val="37"/>
          <w:sz w:val="24"/>
        </w:rPr>
        <w:t> </w:t>
      </w:r>
      <w:r>
        <w:rPr>
          <w:b/>
          <w:sz w:val="24"/>
        </w:rPr>
        <w:t>Study):</w:t>
      </w:r>
      <w:r>
        <w:rPr>
          <w:b/>
          <w:spacing w:val="37"/>
          <w:sz w:val="24"/>
        </w:rPr>
        <w:t> </w:t>
      </w:r>
      <w:r>
        <w:rPr>
          <w:sz w:val="24"/>
        </w:rPr>
        <w:t>Investigation</w:t>
      </w:r>
      <w:r>
        <w:rPr>
          <w:spacing w:val="37"/>
          <w:sz w:val="24"/>
        </w:rPr>
        <w:t> </w:t>
      </w:r>
      <w:r>
        <w:rPr>
          <w:sz w:val="24"/>
        </w:rPr>
        <w:t>into</w:t>
      </w:r>
      <w:r>
        <w:rPr>
          <w:spacing w:val="37"/>
          <w:sz w:val="24"/>
        </w:rPr>
        <w:t> </w:t>
      </w:r>
      <w:r>
        <w:rPr>
          <w:sz w:val="24"/>
        </w:rPr>
        <w:t>the interaction of the </w:t>
      </w:r>
      <w:r>
        <w:rPr>
          <w:sz w:val="24"/>
        </w:rPr>
        <w:t>material surfaces in motion, specifically focusing on wear and friction.</w:t>
      </w:r>
    </w:p>
    <w:p>
      <w:pPr>
        <w:pStyle w:val="BodyText"/>
        <w:spacing w:before="240"/>
        <w:ind w:left="1984" w:right="718"/>
        <w:jc w:val="both"/>
      </w:pPr>
      <w:r>
        <w:rPr/>
        <w:t>The addition of Cerium and controlled hot-rolling can be further explored</w:t>
      </w:r>
      <w:r>
        <w:rPr>
          <w:spacing w:val="-3"/>
        </w:rPr>
        <w:t> </w:t>
      </w:r>
      <w:r>
        <w:rPr/>
        <w:t>to</w:t>
      </w:r>
      <w:r>
        <w:rPr>
          <w:spacing w:val="-3"/>
        </w:rPr>
        <w:t> </w:t>
      </w:r>
      <w:r>
        <w:rPr/>
        <w:t>enhance</w:t>
      </w:r>
      <w:r>
        <w:rPr>
          <w:spacing w:val="-3"/>
        </w:rPr>
        <w:t> </w:t>
      </w:r>
      <w:r>
        <w:rPr/>
        <w:t>not</w:t>
      </w:r>
      <w:r>
        <w:rPr>
          <w:spacing w:val="-3"/>
        </w:rPr>
        <w:t> </w:t>
      </w:r>
      <w:r>
        <w:rPr/>
        <w:t>only the mechanical properties but also the corrosion</w:t>
      </w:r>
      <w:r>
        <w:rPr>
          <w:spacing w:val="-3"/>
        </w:rPr>
        <w:t> </w:t>
      </w:r>
      <w:r>
        <w:rPr/>
        <w:t>and</w:t>
      </w:r>
      <w:r>
        <w:rPr>
          <w:spacing w:val="-3"/>
        </w:rPr>
        <w:t> </w:t>
      </w:r>
      <w:r>
        <w:rPr/>
        <w:t>wear</w:t>
      </w:r>
      <w:r>
        <w:rPr>
          <w:spacing w:val="-3"/>
        </w:rPr>
        <w:t> </w:t>
      </w:r>
      <w:r>
        <w:rPr/>
        <w:t>resistance</w:t>
      </w:r>
      <w:r>
        <w:rPr>
          <w:spacing w:val="-3"/>
        </w:rPr>
        <w:t> </w:t>
      </w:r>
      <w:r>
        <w:rPr/>
        <w:t>of</w:t>
      </w:r>
      <w:r>
        <w:rPr>
          <w:spacing w:val="-3"/>
        </w:rPr>
        <w:t> </w:t>
      </w:r>
      <w:r>
        <w:rPr/>
        <w:t>high-manganese</w:t>
      </w:r>
      <w:r>
        <w:rPr>
          <w:spacing w:val="-3"/>
        </w:rPr>
        <w:t> </w:t>
      </w:r>
      <w:r>
        <w:rPr/>
        <w:t>steels. Future studies may investigate the effect of varying Ce content on corrosion behavior in different environments and examine the relationship between microstructure refinement and corrosion</w:t>
      </w:r>
      <w:r>
        <w:rPr>
          <w:spacing w:val="40"/>
        </w:rPr>
        <w:t> </w:t>
      </w:r>
      <w:r>
        <w:rPr/>
        <w:t>performance.</w:t>
      </w:r>
      <w:r>
        <w:rPr>
          <w:spacing w:val="40"/>
        </w:rPr>
        <w:t> </w:t>
      </w:r>
      <w:r>
        <w:rPr/>
        <w:t>Tribological</w:t>
      </w:r>
      <w:r>
        <w:rPr>
          <w:spacing w:val="40"/>
        </w:rPr>
        <w:t> </w:t>
      </w:r>
      <w:r>
        <w:rPr/>
        <w:t>studies</w:t>
      </w:r>
      <w:r>
        <w:rPr>
          <w:spacing w:val="40"/>
        </w:rPr>
        <w:t> </w:t>
      </w:r>
      <w:r>
        <w:rPr/>
        <w:t>can</w:t>
      </w:r>
      <w:r>
        <w:rPr>
          <w:spacing w:val="40"/>
        </w:rPr>
        <w:t> </w:t>
      </w:r>
      <w:r>
        <w:rPr/>
        <w:t>evaluate</w:t>
      </w:r>
      <w:r>
        <w:rPr>
          <w:spacing w:val="40"/>
        </w:rPr>
        <w:t> </w:t>
      </w:r>
      <w:r>
        <w:rPr/>
        <w:t>how</w:t>
      </w:r>
      <w:r>
        <w:rPr>
          <w:spacing w:val="40"/>
        </w:rPr>
        <w:t> </w:t>
      </w:r>
      <w:r>
        <w:rPr/>
        <w:t>Ce-modified</w:t>
      </w:r>
      <w:r>
        <w:rPr>
          <w:spacing w:val="40"/>
        </w:rPr>
        <w:t> </w:t>
      </w:r>
      <w:r>
        <w:rPr/>
        <w:t>inclusions and hot-rolled microstructures influence wear mechanisms and friction behavior under various loads and conditions. Combining corrosion and tribology research could lead to the development of high-Mn steels with superior tribocorrosion resistance for industrial applications. Additionally, optimization of Ce content and processing parameters can help design steels with an ideal balance of strength, toughness, corrosion resistance, and wear resistance for demanding service conditions.</w:t>
      </w:r>
    </w:p>
    <w:p>
      <w:pPr>
        <w:pStyle w:val="BodyText"/>
        <w:spacing w:after="0"/>
        <w:jc w:val="both"/>
        <w:sectPr>
          <w:pgSz w:w="12240" w:h="15840"/>
          <w:pgMar w:header="470" w:footer="0" w:top="760" w:bottom="280" w:left="0" w:right="360"/>
        </w:sectPr>
      </w:pPr>
    </w:p>
    <w:p>
      <w:pPr>
        <w:pStyle w:val="Heading2"/>
        <w:numPr>
          <w:ilvl w:val="0"/>
          <w:numId w:val="2"/>
        </w:numPr>
        <w:tabs>
          <w:tab w:pos="2344" w:val="left" w:leader="none"/>
        </w:tabs>
        <w:spacing w:line="240" w:lineRule="auto" w:before="8" w:after="0"/>
        <w:ind w:left="2344" w:right="0" w:hanging="360"/>
        <w:jc w:val="both"/>
      </w:pPr>
      <w:r>
        <w:rPr/>
        <w:t>References</w:t>
      </w:r>
      <w:r>
        <w:rPr>
          <w:spacing w:val="-7"/>
        </w:rPr>
        <w:t> </w:t>
      </w:r>
      <w:r>
        <w:rPr>
          <w:spacing w:val="-10"/>
        </w:rPr>
        <w:t>:</w:t>
      </w:r>
    </w:p>
    <w:p>
      <w:pPr>
        <w:pStyle w:val="ListParagraph"/>
        <w:numPr>
          <w:ilvl w:val="0"/>
          <w:numId w:val="6"/>
        </w:numPr>
        <w:tabs>
          <w:tab w:pos="2284" w:val="left" w:leader="none"/>
        </w:tabs>
        <w:spacing w:line="240" w:lineRule="auto" w:before="322" w:after="0"/>
        <w:ind w:left="1984" w:right="718" w:firstLine="0"/>
        <w:jc w:val="both"/>
        <w:rPr>
          <w:sz w:val="24"/>
        </w:rPr>
      </w:pPr>
      <w:r>
        <w:rPr>
          <w:sz w:val="24"/>
        </w:rPr>
        <w:t>J. Qiu, C. Wei, N. Lv, X. Zhu, and S. Cui, "Effects of Cerium on Microstructure and Corrosion Resistance of High Manganese Steel for</w:t>
      </w:r>
      <w:r>
        <w:rPr>
          <w:spacing w:val="-5"/>
          <w:sz w:val="24"/>
        </w:rPr>
        <w:t> </w:t>
      </w:r>
      <w:r>
        <w:rPr>
          <w:sz w:val="24"/>
        </w:rPr>
        <w:t>Liquefied</w:t>
      </w:r>
      <w:r>
        <w:rPr>
          <w:spacing w:val="-5"/>
          <w:sz w:val="24"/>
        </w:rPr>
        <w:t> </w:t>
      </w:r>
      <w:r>
        <w:rPr>
          <w:sz w:val="24"/>
        </w:rPr>
        <w:t>Natural</w:t>
      </w:r>
      <w:r>
        <w:rPr>
          <w:spacing w:val="-5"/>
          <w:sz w:val="24"/>
        </w:rPr>
        <w:t> </w:t>
      </w:r>
      <w:r>
        <w:rPr>
          <w:sz w:val="24"/>
        </w:rPr>
        <w:t>Gas</w:t>
      </w:r>
      <w:r>
        <w:rPr>
          <w:spacing w:val="-5"/>
          <w:sz w:val="24"/>
        </w:rPr>
        <w:t> </w:t>
      </w:r>
      <w:r>
        <w:rPr>
          <w:sz w:val="24"/>
        </w:rPr>
        <w:t>Tank,"</w:t>
      </w:r>
      <w:r>
        <w:rPr>
          <w:spacing w:val="-5"/>
          <w:sz w:val="24"/>
        </w:rPr>
        <w:t> </w:t>
      </w:r>
      <w:r>
        <w:rPr>
          <w:sz w:val="24"/>
        </w:rPr>
        <w:t>Protection</w:t>
      </w:r>
      <w:r>
        <w:rPr>
          <w:spacing w:val="-5"/>
          <w:sz w:val="24"/>
        </w:rPr>
        <w:t> </w:t>
      </w:r>
      <w:r>
        <w:rPr>
          <w:sz w:val="24"/>
        </w:rPr>
        <w:t>of Metals and Physical Chemistry of Surfaces, vol. 60, pp. 949–958, Oct. 2024. </w:t>
      </w:r>
      <w:r>
        <w:rPr>
          <w:spacing w:val="-2"/>
          <w:sz w:val="24"/>
        </w:rPr>
        <w:t>https://link.springer.com/article/10.1134/S2070205124702265</w:t>
      </w:r>
    </w:p>
    <w:p>
      <w:pPr>
        <w:pStyle w:val="BodyText"/>
      </w:pPr>
    </w:p>
    <w:p>
      <w:pPr>
        <w:pStyle w:val="ListParagraph"/>
        <w:numPr>
          <w:ilvl w:val="0"/>
          <w:numId w:val="6"/>
        </w:numPr>
        <w:tabs>
          <w:tab w:pos="2374" w:val="left" w:leader="none"/>
        </w:tabs>
        <w:spacing w:line="240" w:lineRule="auto" w:before="0" w:after="0"/>
        <w:ind w:left="1984" w:right="720" w:firstLine="0"/>
        <w:jc w:val="both"/>
        <w:rPr>
          <w:sz w:val="24"/>
        </w:rPr>
      </w:pPr>
      <w:r>
        <w:rPr>
          <w:sz w:val="24"/>
        </w:rPr>
        <w:t>M. Z. Jiang, Y. C. Yu, H. Li, X. Ren, and S. B. Wang, "Effect of Rare Earth Cerium Addition on Microstructures and Mechanical Properties of Low Carbon High </w:t>
      </w:r>
      <w:r>
        <w:rPr>
          <w:sz w:val="24"/>
        </w:rPr>
        <w:t>Manganese Steels," High Temperature Materials and Processes, vol. 36, no. 2, pp. 145–153, 2017. </w:t>
      </w:r>
      <w:hyperlink r:id="rId25">
        <w:r>
          <w:rPr>
            <w:spacing w:val="-2"/>
            <w:sz w:val="24"/>
          </w:rPr>
          <w:t>https://www.researchgate.net/publication/303291261_Effect_of_Rare_Earth_Cerium_Addition</w:t>
        </w:r>
      </w:hyperlink>
    </w:p>
    <w:p>
      <w:pPr>
        <w:pStyle w:val="BodyText"/>
        <w:ind w:left="1984"/>
      </w:pPr>
      <w:r>
        <w:rPr>
          <w:spacing w:val="-2"/>
        </w:rPr>
        <w:t>_on_Microstructures_and_Mechanical_Properties_of_Low_Carbon_High_Manganese_Steels</w:t>
      </w:r>
    </w:p>
    <w:p>
      <w:pPr>
        <w:pStyle w:val="BodyText"/>
      </w:pPr>
    </w:p>
    <w:p>
      <w:pPr>
        <w:pStyle w:val="ListParagraph"/>
        <w:numPr>
          <w:ilvl w:val="0"/>
          <w:numId w:val="6"/>
        </w:numPr>
        <w:tabs>
          <w:tab w:pos="2239" w:val="left" w:leader="none"/>
        </w:tabs>
        <w:spacing w:line="240" w:lineRule="auto" w:before="0" w:after="0"/>
        <w:ind w:left="1984" w:right="723" w:firstLine="0"/>
        <w:jc w:val="both"/>
        <w:rPr>
          <w:sz w:val="24"/>
        </w:rPr>
      </w:pPr>
      <w:r>
        <w:rPr>
          <w:sz w:val="24"/>
        </w:rPr>
        <w:t>J. Zhang, G. Li, H. Wang, X. Wan, M. Hu, and Y. Cao,</w:t>
      </w:r>
      <w:r>
        <w:rPr>
          <w:spacing w:val="-6"/>
          <w:sz w:val="24"/>
        </w:rPr>
        <w:t> </w:t>
      </w:r>
      <w:r>
        <w:rPr>
          <w:sz w:val="24"/>
        </w:rPr>
        <w:t>"Effect</w:t>
      </w:r>
      <w:r>
        <w:rPr>
          <w:spacing w:val="-6"/>
          <w:sz w:val="24"/>
        </w:rPr>
        <w:t> </w:t>
      </w:r>
      <w:r>
        <w:rPr>
          <w:sz w:val="24"/>
        </w:rPr>
        <w:t>of</w:t>
      </w:r>
      <w:r>
        <w:rPr>
          <w:spacing w:val="-6"/>
          <w:sz w:val="24"/>
        </w:rPr>
        <w:t> </w:t>
      </w:r>
      <w:r>
        <w:rPr>
          <w:sz w:val="24"/>
        </w:rPr>
        <w:t>cerium</w:t>
      </w:r>
      <w:r>
        <w:rPr>
          <w:spacing w:val="-6"/>
          <w:sz w:val="24"/>
        </w:rPr>
        <w:t> </w:t>
      </w:r>
      <w:r>
        <w:rPr>
          <w:sz w:val="24"/>
        </w:rPr>
        <w:t>on</w:t>
      </w:r>
      <w:r>
        <w:rPr>
          <w:spacing w:val="-6"/>
          <w:sz w:val="24"/>
        </w:rPr>
        <w:t> </w:t>
      </w:r>
      <w:r>
        <w:rPr>
          <w:sz w:val="24"/>
        </w:rPr>
        <w:t>microstructure and microsegregation behavior of novel cryogenic high-Mn austenitic steel weld metal," Journal of Materials Research and Technology, vol. 9, no. 6, pp. 13667–13678, 2020.</w:t>
      </w:r>
    </w:p>
    <w:p>
      <w:pPr>
        <w:pStyle w:val="BodyText"/>
        <w:ind w:left="1984"/>
      </w:pPr>
      <w:hyperlink r:id="rId26">
        <w:r>
          <w:rPr>
            <w:spacing w:val="-2"/>
          </w:rPr>
          <w:t>https://www.sciencedirect.com/science/article/pii/S1044580322007094</w:t>
        </w:r>
      </w:hyperlink>
    </w:p>
    <w:p>
      <w:pPr>
        <w:pStyle w:val="BodyText"/>
      </w:pPr>
    </w:p>
    <w:p>
      <w:pPr>
        <w:pStyle w:val="ListParagraph"/>
        <w:numPr>
          <w:ilvl w:val="0"/>
          <w:numId w:val="6"/>
        </w:numPr>
        <w:tabs>
          <w:tab w:pos="2239" w:val="left" w:leader="none"/>
        </w:tabs>
        <w:spacing w:line="240" w:lineRule="auto" w:before="0" w:after="0"/>
        <w:ind w:left="1984" w:right="719" w:firstLine="0"/>
        <w:jc w:val="both"/>
        <w:rPr>
          <w:sz w:val="24"/>
        </w:rPr>
      </w:pPr>
      <w:r>
        <w:rPr>
          <w:sz w:val="24"/>
        </w:rPr>
        <w:t>U. Gürol</w:t>
      </w:r>
      <w:r>
        <w:rPr>
          <w:spacing w:val="-3"/>
          <w:sz w:val="24"/>
        </w:rPr>
        <w:t> </w:t>
      </w:r>
      <w:r>
        <w:rPr>
          <w:sz w:val="24"/>
        </w:rPr>
        <w:t>and</w:t>
      </w:r>
      <w:r>
        <w:rPr>
          <w:spacing w:val="-3"/>
          <w:sz w:val="24"/>
        </w:rPr>
        <w:t> </w:t>
      </w:r>
      <w:r>
        <w:rPr>
          <w:sz w:val="24"/>
        </w:rPr>
        <w:t>S.</w:t>
      </w:r>
      <w:r>
        <w:rPr>
          <w:spacing w:val="-3"/>
          <w:sz w:val="24"/>
        </w:rPr>
        <w:t> </w:t>
      </w:r>
      <w:r>
        <w:rPr>
          <w:sz w:val="24"/>
        </w:rPr>
        <w:t>C.</w:t>
      </w:r>
      <w:r>
        <w:rPr>
          <w:spacing w:val="-3"/>
          <w:sz w:val="24"/>
        </w:rPr>
        <w:t> </w:t>
      </w:r>
      <w:r>
        <w:rPr>
          <w:sz w:val="24"/>
        </w:rPr>
        <w:t>Kurnaz,</w:t>
      </w:r>
      <w:r>
        <w:rPr>
          <w:spacing w:val="-3"/>
          <w:sz w:val="24"/>
        </w:rPr>
        <w:t> </w:t>
      </w:r>
      <w:r>
        <w:rPr>
          <w:sz w:val="24"/>
        </w:rPr>
        <w:t>"Effect</w:t>
      </w:r>
      <w:r>
        <w:rPr>
          <w:spacing w:val="-3"/>
          <w:sz w:val="24"/>
        </w:rPr>
        <w:t> </w:t>
      </w:r>
      <w:r>
        <w:rPr>
          <w:sz w:val="24"/>
        </w:rPr>
        <w:t>of</w:t>
      </w:r>
      <w:r>
        <w:rPr>
          <w:spacing w:val="-3"/>
          <w:sz w:val="24"/>
        </w:rPr>
        <w:t> </w:t>
      </w:r>
      <w:r>
        <w:rPr>
          <w:sz w:val="24"/>
        </w:rPr>
        <w:t>Carbon</w:t>
      </w:r>
      <w:r>
        <w:rPr>
          <w:spacing w:val="-3"/>
          <w:sz w:val="24"/>
        </w:rPr>
        <w:t> </w:t>
      </w:r>
      <w:r>
        <w:rPr>
          <w:sz w:val="24"/>
        </w:rPr>
        <w:t>and</w:t>
      </w:r>
      <w:r>
        <w:rPr>
          <w:spacing w:val="-3"/>
          <w:sz w:val="24"/>
        </w:rPr>
        <w:t> </w:t>
      </w:r>
      <w:r>
        <w:rPr>
          <w:sz w:val="24"/>
        </w:rPr>
        <w:t>Manganese</w:t>
      </w:r>
      <w:r>
        <w:rPr>
          <w:spacing w:val="-3"/>
          <w:sz w:val="24"/>
        </w:rPr>
        <w:t> </w:t>
      </w:r>
      <w:r>
        <w:rPr>
          <w:sz w:val="24"/>
        </w:rPr>
        <w:t>Content</w:t>
      </w:r>
      <w:r>
        <w:rPr>
          <w:spacing w:val="-3"/>
          <w:sz w:val="24"/>
        </w:rPr>
        <w:t> </w:t>
      </w:r>
      <w:r>
        <w:rPr>
          <w:sz w:val="24"/>
        </w:rPr>
        <w:t>on</w:t>
      </w:r>
      <w:r>
        <w:rPr>
          <w:spacing w:val="-3"/>
          <w:sz w:val="24"/>
        </w:rPr>
        <w:t> </w:t>
      </w:r>
      <w:r>
        <w:rPr>
          <w:sz w:val="24"/>
        </w:rPr>
        <w:t>the</w:t>
      </w:r>
      <w:r>
        <w:rPr>
          <w:spacing w:val="-3"/>
          <w:sz w:val="24"/>
        </w:rPr>
        <w:t> </w:t>
      </w:r>
      <w:r>
        <w:rPr>
          <w:sz w:val="24"/>
        </w:rPr>
        <w:t>Microstructure and Mechanical Properties of High Manganese Austenitic Steel," Journal of Mining and Metallurgy,</w:t>
      </w:r>
      <w:r>
        <w:rPr>
          <w:spacing w:val="80"/>
          <w:sz w:val="24"/>
        </w:rPr>
        <w:t> </w:t>
      </w:r>
      <w:r>
        <w:rPr>
          <w:sz w:val="24"/>
        </w:rPr>
        <w:t>Section</w:t>
      </w:r>
      <w:r>
        <w:rPr>
          <w:spacing w:val="80"/>
          <w:sz w:val="24"/>
        </w:rPr>
        <w:t> </w:t>
      </w:r>
      <w:r>
        <w:rPr>
          <w:sz w:val="24"/>
        </w:rPr>
        <w:t>B:</w:t>
      </w:r>
      <w:r>
        <w:rPr>
          <w:spacing w:val="80"/>
          <w:sz w:val="24"/>
        </w:rPr>
        <w:t> </w:t>
      </w:r>
      <w:r>
        <w:rPr>
          <w:sz w:val="24"/>
        </w:rPr>
        <w:t>Metallurgy,</w:t>
      </w:r>
      <w:r>
        <w:rPr>
          <w:spacing w:val="80"/>
          <w:sz w:val="24"/>
        </w:rPr>
        <w:t> </w:t>
      </w:r>
      <w:r>
        <w:rPr>
          <w:sz w:val="24"/>
        </w:rPr>
        <w:t>vol.</w:t>
      </w:r>
      <w:r>
        <w:rPr>
          <w:spacing w:val="80"/>
          <w:sz w:val="24"/>
        </w:rPr>
        <w:t> </w:t>
      </w:r>
      <w:r>
        <w:rPr>
          <w:sz w:val="24"/>
        </w:rPr>
        <w:t>56,</w:t>
      </w:r>
      <w:r>
        <w:rPr>
          <w:spacing w:val="80"/>
          <w:sz w:val="24"/>
        </w:rPr>
        <w:t> </w:t>
      </w:r>
      <w:r>
        <w:rPr>
          <w:sz w:val="24"/>
        </w:rPr>
        <w:t>no.</w:t>
      </w:r>
      <w:r>
        <w:rPr>
          <w:spacing w:val="80"/>
          <w:sz w:val="24"/>
        </w:rPr>
        <w:t> </w:t>
      </w:r>
      <w:r>
        <w:rPr>
          <w:sz w:val="24"/>
        </w:rPr>
        <w:t>1,</w:t>
      </w:r>
      <w:r>
        <w:rPr>
          <w:spacing w:val="80"/>
          <w:sz w:val="24"/>
        </w:rPr>
        <w:t> </w:t>
      </w:r>
      <w:r>
        <w:rPr>
          <w:sz w:val="24"/>
        </w:rPr>
        <w:t>pp.</w:t>
      </w:r>
      <w:r>
        <w:rPr>
          <w:spacing w:val="80"/>
          <w:sz w:val="24"/>
        </w:rPr>
        <w:t> </w:t>
      </w:r>
      <w:r>
        <w:rPr>
          <w:sz w:val="24"/>
        </w:rPr>
        <w:t>1–10,</w:t>
      </w:r>
      <w:r>
        <w:rPr>
          <w:spacing w:val="80"/>
          <w:sz w:val="24"/>
        </w:rPr>
        <w:t> </w:t>
      </w:r>
      <w:r>
        <w:rPr>
          <w:sz w:val="24"/>
        </w:rPr>
        <w:t>2020. </w:t>
      </w:r>
      <w:r>
        <w:rPr>
          <w:spacing w:val="-2"/>
          <w:sz w:val="24"/>
        </w:rPr>
        <w:t>https://jmmab.com/wp-content/uploads/2020/08/1450-53392000009G-018.pdf</w:t>
      </w:r>
    </w:p>
    <w:p>
      <w:pPr>
        <w:pStyle w:val="BodyText"/>
      </w:pPr>
    </w:p>
    <w:p>
      <w:pPr>
        <w:pStyle w:val="ListParagraph"/>
        <w:numPr>
          <w:ilvl w:val="0"/>
          <w:numId w:val="6"/>
        </w:numPr>
        <w:tabs>
          <w:tab w:pos="2239" w:val="left" w:leader="none"/>
        </w:tabs>
        <w:spacing w:line="240" w:lineRule="auto" w:before="0" w:after="0"/>
        <w:ind w:left="1984" w:right="718" w:firstLine="0"/>
        <w:jc w:val="both"/>
        <w:rPr>
          <w:sz w:val="24"/>
        </w:rPr>
      </w:pPr>
      <w:r>
        <w:rPr>
          <w:sz w:val="24"/>
        </w:rPr>
        <w:t>R. Singh, S. Sharma, and</w:t>
      </w:r>
      <w:r>
        <w:rPr>
          <w:spacing w:val="-5"/>
          <w:sz w:val="24"/>
        </w:rPr>
        <w:t> </w:t>
      </w:r>
      <w:r>
        <w:rPr>
          <w:sz w:val="24"/>
        </w:rPr>
        <w:t>S.</w:t>
      </w:r>
      <w:r>
        <w:rPr>
          <w:spacing w:val="-5"/>
          <w:sz w:val="24"/>
        </w:rPr>
        <w:t> </w:t>
      </w:r>
      <w:r>
        <w:rPr>
          <w:sz w:val="24"/>
        </w:rPr>
        <w:t>K.</w:t>
      </w:r>
      <w:r>
        <w:rPr>
          <w:spacing w:val="-5"/>
          <w:sz w:val="24"/>
        </w:rPr>
        <w:t> </w:t>
      </w:r>
      <w:r>
        <w:rPr>
          <w:sz w:val="24"/>
        </w:rPr>
        <w:t>Vajpai,</w:t>
      </w:r>
      <w:r>
        <w:rPr>
          <w:spacing w:val="-5"/>
          <w:sz w:val="24"/>
        </w:rPr>
        <w:t> </w:t>
      </w:r>
      <w:r>
        <w:rPr>
          <w:sz w:val="24"/>
        </w:rPr>
        <w:t>"Effect</w:t>
      </w:r>
      <w:r>
        <w:rPr>
          <w:spacing w:val="-5"/>
          <w:sz w:val="24"/>
        </w:rPr>
        <w:t> </w:t>
      </w:r>
      <w:r>
        <w:rPr>
          <w:sz w:val="24"/>
        </w:rPr>
        <w:t>of</w:t>
      </w:r>
      <w:r>
        <w:rPr>
          <w:spacing w:val="-5"/>
          <w:sz w:val="24"/>
        </w:rPr>
        <w:t> </w:t>
      </w:r>
      <w:r>
        <w:rPr>
          <w:sz w:val="24"/>
        </w:rPr>
        <w:t>Reversible</w:t>
      </w:r>
      <w:r>
        <w:rPr>
          <w:spacing w:val="-5"/>
          <w:sz w:val="24"/>
        </w:rPr>
        <w:t> </w:t>
      </w:r>
      <w:r>
        <w:rPr>
          <w:sz w:val="24"/>
        </w:rPr>
        <w:t>Cyclic</w:t>
      </w:r>
      <w:r>
        <w:rPr>
          <w:spacing w:val="-5"/>
          <w:sz w:val="24"/>
        </w:rPr>
        <w:t> </w:t>
      </w:r>
      <w:r>
        <w:rPr>
          <w:sz w:val="24"/>
        </w:rPr>
        <w:t>Plastic</w:t>
      </w:r>
      <w:r>
        <w:rPr>
          <w:spacing w:val="-5"/>
          <w:sz w:val="24"/>
        </w:rPr>
        <w:t> </w:t>
      </w:r>
      <w:r>
        <w:rPr>
          <w:sz w:val="24"/>
        </w:rPr>
        <w:t>Deformation</w:t>
      </w:r>
      <w:r>
        <w:rPr>
          <w:spacing w:val="-5"/>
          <w:sz w:val="24"/>
        </w:rPr>
        <w:t> </w:t>
      </w:r>
      <w:r>
        <w:rPr>
          <w:sz w:val="24"/>
        </w:rPr>
        <w:t>and Thermal Treatment on the Microstructure and Mechanical Properties of SS304L Steel," Transactions of the Indian Institute of Metals, vol. 73, pp. 1603–1614, 2020. </w:t>
      </w:r>
      <w:r>
        <w:rPr>
          <w:spacing w:val="-2"/>
          <w:sz w:val="24"/>
        </w:rPr>
        <w:t>https://doi.org/10.1007/s12666-020-01971-3</w:t>
      </w:r>
    </w:p>
    <w:p>
      <w:pPr>
        <w:pStyle w:val="BodyText"/>
      </w:pPr>
    </w:p>
    <w:p>
      <w:pPr>
        <w:pStyle w:val="ListParagraph"/>
        <w:numPr>
          <w:ilvl w:val="0"/>
          <w:numId w:val="6"/>
        </w:numPr>
        <w:tabs>
          <w:tab w:pos="2284" w:val="left" w:leader="none"/>
        </w:tabs>
        <w:spacing w:line="240" w:lineRule="auto" w:before="0" w:after="0"/>
        <w:ind w:left="1984" w:right="728" w:firstLine="0"/>
        <w:jc w:val="both"/>
        <w:rPr>
          <w:sz w:val="24"/>
        </w:rPr>
      </w:pPr>
      <w:r>
        <w:rPr>
          <w:sz w:val="24"/>
        </w:rPr>
        <w:t>J. Yang, B. Xie, and M. Sun, "Cerium Addition Enhances Impact Energy Stability </w:t>
      </w:r>
      <w:r>
        <w:rPr>
          <w:sz w:val="24"/>
        </w:rPr>
        <w:t>in S355NL Steel by Tailoring Microstructure and Inclusions," Metals, vol. 15, no. 7, p. 802,</w:t>
      </w:r>
      <w:r>
        <w:rPr>
          <w:spacing w:val="-3"/>
          <w:sz w:val="24"/>
        </w:rPr>
        <w:t> </w:t>
      </w:r>
      <w:r>
        <w:rPr>
          <w:sz w:val="24"/>
        </w:rPr>
        <w:t>Jul. 2025. https://doi.org/10.3390/met15070802</w:t>
      </w:r>
    </w:p>
    <w:p>
      <w:pPr>
        <w:pStyle w:val="BodyText"/>
      </w:pPr>
    </w:p>
    <w:p>
      <w:pPr>
        <w:pStyle w:val="ListParagraph"/>
        <w:numPr>
          <w:ilvl w:val="0"/>
          <w:numId w:val="6"/>
        </w:numPr>
        <w:tabs>
          <w:tab w:pos="2344" w:val="left" w:leader="none"/>
        </w:tabs>
        <w:spacing w:line="240" w:lineRule="auto" w:before="0" w:after="0"/>
        <w:ind w:left="1984" w:right="729" w:firstLine="0"/>
        <w:jc w:val="both"/>
        <w:rPr>
          <w:sz w:val="24"/>
        </w:rPr>
      </w:pPr>
      <w:r>
        <w:rPr>
          <w:sz w:val="24"/>
        </w:rPr>
        <w:t>V. Alcántara Alza, "TWIP Steels: Mechanical and Metallurgical Properties - A </w:t>
      </w:r>
      <w:r>
        <w:rPr>
          <w:sz w:val="24"/>
        </w:rPr>
        <w:t>Review," Journal of Multidisciplinary Engineering Science and Technology (JMEST), vol. 8, no. 1, pp. 13333–13339, Jan. 2021.</w:t>
      </w:r>
    </w:p>
    <w:p>
      <w:pPr>
        <w:pStyle w:val="BodyText"/>
        <w:ind w:left="1984" w:right="765"/>
      </w:pPr>
      <w:hyperlink r:id="rId27">
        <w:r>
          <w:rPr>
            <w:spacing w:val="-2"/>
          </w:rPr>
          <w:t>https://www.researchgate.net/publication/348945378_TWIP_Steels_Mechanical_and_Metallur</w:t>
        </w:r>
      </w:hyperlink>
      <w:r>
        <w:rPr>
          <w:spacing w:val="-2"/>
        </w:rPr>
        <w:t> gical_Properties_-A_Review</w:t>
      </w:r>
    </w:p>
    <w:p>
      <w:pPr>
        <w:pStyle w:val="BodyText"/>
      </w:pPr>
    </w:p>
    <w:p>
      <w:pPr>
        <w:pStyle w:val="ListParagraph"/>
        <w:numPr>
          <w:ilvl w:val="0"/>
          <w:numId w:val="6"/>
        </w:numPr>
        <w:tabs>
          <w:tab w:pos="2254" w:val="left" w:leader="none"/>
        </w:tabs>
        <w:spacing w:line="240" w:lineRule="auto" w:before="0" w:after="0"/>
        <w:ind w:left="1984" w:right="718" w:firstLine="0"/>
        <w:jc w:val="both"/>
        <w:rPr>
          <w:sz w:val="24"/>
        </w:rPr>
      </w:pPr>
      <w:r>
        <w:rPr>
          <w:sz w:val="24"/>
        </w:rPr>
        <w:t>Shri Vaibhav Metacast Pvt. Ltd. (2025). Spectrolab chemical composition analysis </w:t>
      </w:r>
      <w:r>
        <w:rPr>
          <w:sz w:val="24"/>
        </w:rPr>
        <w:t>results [unpublished raw data], Jaipur, Rajasthan, India.</w:t>
      </w:r>
    </w:p>
    <w:sectPr>
      <w:pgSz w:w="12240" w:h="15840"/>
      <w:pgMar w:header="470" w:footer="0" w:top="760" w:bottom="280" w:left="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Tahoma">
    <w:altName w:val="Tahoma"/>
    <w:charset w:val="1"/>
    <w:family w:val="swiss"/>
    <w:pitch w:val="variable"/>
  </w:font>
  <w:font w:name="SimSun-ExtB">
    <w:altName w:val="SimSun-ExtB"/>
    <w:charset w:val="1"/>
    <w:family w:val="modern"/>
    <w:pitch w:val="default"/>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6096">
              <wp:simplePos x="0" y="0"/>
              <wp:positionH relativeFrom="page">
                <wp:posOffset>6733699</wp:posOffset>
              </wp:positionH>
              <wp:positionV relativeFrom="page">
                <wp:posOffset>285874</wp:posOffset>
              </wp:positionV>
              <wp:extent cx="10160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01600" cy="194310"/>
                      </a:xfrm>
                      <a:prstGeom prst="rect">
                        <a:avLst/>
                      </a:prstGeom>
                    </wps:spPr>
                    <wps:txbx>
                      <w:txbxContent>
                        <w:p>
                          <w:pPr>
                            <w:pStyle w:val="BodyText"/>
                            <w:spacing w:before="10"/>
                            <w:ind w:left="20"/>
                          </w:pPr>
                          <w:r>
                            <w:rPr>
                              <w:spacing w:val="-10"/>
                            </w:rPr>
                            <w:t>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0.212585pt;margin-top:22.509766pt;width:8pt;height:15.3pt;mso-position-horizontal-relative:page;mso-position-vertical-relative:page;z-index:-16080384" type="#_x0000_t202" id="docshape1" filled="false" stroked="false">
              <v:textbox inset="0,0,0,0">
                <w:txbxContent>
                  <w:p>
                    <w:pPr>
                      <w:pStyle w:val="BodyText"/>
                      <w:spacing w:before="10"/>
                      <w:ind w:left="20"/>
                    </w:pPr>
                    <w:r>
                      <w:rPr>
                        <w:spacing w:val="-10"/>
                      </w:rPr>
                      <w:t>2</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6608">
              <wp:simplePos x="0" y="0"/>
              <wp:positionH relativeFrom="page">
                <wp:posOffset>6733699</wp:posOffset>
              </wp:positionH>
              <wp:positionV relativeFrom="page">
                <wp:posOffset>461119</wp:posOffset>
              </wp:positionV>
              <wp:extent cx="101600"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01600" cy="194310"/>
                      </a:xfrm>
                      <a:prstGeom prst="rect">
                        <a:avLst/>
                      </a:prstGeom>
                    </wps:spPr>
                    <wps:txbx>
                      <w:txbxContent>
                        <w:p>
                          <w:pPr>
                            <w:pStyle w:val="BodyText"/>
                            <w:spacing w:before="10"/>
                            <w:ind w:left="20"/>
                          </w:pPr>
                          <w:r>
                            <w:rPr>
                              <w:spacing w:val="-10"/>
                            </w:rPr>
                            <w:t>3</w:t>
                          </w:r>
                        </w:p>
                      </w:txbxContent>
                    </wps:txbx>
                    <wps:bodyPr wrap="square" lIns="0" tIns="0" rIns="0" bIns="0" rtlCol="0">
                      <a:noAutofit/>
                    </wps:bodyPr>
                  </wps:wsp>
                </a:graphicData>
              </a:graphic>
            </wp:anchor>
          </w:drawing>
        </mc:Choice>
        <mc:Fallback>
          <w:pict>
            <v:shape style="position:absolute;margin-left:530.212585pt;margin-top:36.308594pt;width:8pt;height:15.3pt;mso-position-horizontal-relative:page;mso-position-vertical-relative:page;z-index:-16079872" type="#_x0000_t202" id="docshape2" filled="false" stroked="false">
              <v:textbox inset="0,0,0,0">
                <w:txbxContent>
                  <w:p>
                    <w:pPr>
                      <w:pStyle w:val="BodyText"/>
                      <w:spacing w:before="10"/>
                      <w:ind w:left="20"/>
                    </w:pPr>
                    <w:r>
                      <w:rPr>
                        <w:spacing w:val="-10"/>
                      </w:rPr>
                      <w:t>3</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7120">
              <wp:simplePos x="0" y="0"/>
              <wp:positionH relativeFrom="page">
                <wp:posOffset>6733699</wp:posOffset>
              </wp:positionH>
              <wp:positionV relativeFrom="page">
                <wp:posOffset>357013</wp:posOffset>
              </wp:positionV>
              <wp:extent cx="101600"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01600" cy="194310"/>
                      </a:xfrm>
                      <a:prstGeom prst="rect">
                        <a:avLst/>
                      </a:prstGeom>
                    </wps:spPr>
                    <wps:txbx>
                      <w:txbxContent>
                        <w:p>
                          <w:pPr>
                            <w:pStyle w:val="BodyText"/>
                            <w:spacing w:before="10"/>
                            <w:ind w:left="20"/>
                          </w:pPr>
                          <w:r>
                            <w:rPr>
                              <w:spacing w:val="-10"/>
                            </w:rPr>
                            <w:t>4</w:t>
                          </w:r>
                        </w:p>
                      </w:txbxContent>
                    </wps:txbx>
                    <wps:bodyPr wrap="square" lIns="0" tIns="0" rIns="0" bIns="0" rtlCol="0">
                      <a:noAutofit/>
                    </wps:bodyPr>
                  </wps:wsp>
                </a:graphicData>
              </a:graphic>
            </wp:anchor>
          </w:drawing>
        </mc:Choice>
        <mc:Fallback>
          <w:pict>
            <v:shape style="position:absolute;margin-left:530.212585pt;margin-top:28.111328pt;width:8pt;height:15.3pt;mso-position-horizontal-relative:page;mso-position-vertical-relative:page;z-index:-16079360" type="#_x0000_t202" id="docshape3" filled="false" stroked="false">
              <v:textbox inset="0,0,0,0">
                <w:txbxContent>
                  <w:p>
                    <w:pPr>
                      <w:pStyle w:val="BodyText"/>
                      <w:spacing w:before="10"/>
                      <w:ind w:left="20"/>
                    </w:pPr>
                    <w:r>
                      <w:rPr>
                        <w:spacing w:val="-10"/>
                      </w:rPr>
                      <w:t>4</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7632">
              <wp:simplePos x="0" y="0"/>
              <wp:positionH relativeFrom="page">
                <wp:posOffset>6733699</wp:posOffset>
              </wp:positionH>
              <wp:positionV relativeFrom="page">
                <wp:posOffset>285874</wp:posOffset>
              </wp:positionV>
              <wp:extent cx="101600" cy="1943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01600" cy="194310"/>
                      </a:xfrm>
                      <a:prstGeom prst="rect">
                        <a:avLst/>
                      </a:prstGeom>
                    </wps:spPr>
                    <wps:txbx>
                      <w:txbxContent>
                        <w:p>
                          <w:pPr>
                            <w:pStyle w:val="BodyText"/>
                            <w:spacing w:before="10"/>
                            <w:ind w:left="20"/>
                          </w:pPr>
                          <w:r>
                            <w:rPr>
                              <w:spacing w:val="-10"/>
                            </w:rPr>
                            <w:t>5</w:t>
                          </w:r>
                        </w:p>
                      </w:txbxContent>
                    </wps:txbx>
                    <wps:bodyPr wrap="square" lIns="0" tIns="0" rIns="0" bIns="0" rtlCol="0">
                      <a:noAutofit/>
                    </wps:bodyPr>
                  </wps:wsp>
                </a:graphicData>
              </a:graphic>
            </wp:anchor>
          </w:drawing>
        </mc:Choice>
        <mc:Fallback>
          <w:pict>
            <v:shape style="position:absolute;margin-left:530.212585pt;margin-top:22.509766pt;width:8pt;height:15.3pt;mso-position-horizontal-relative:page;mso-position-vertical-relative:page;z-index:-16078848" type="#_x0000_t202" id="docshape4" filled="false" stroked="false">
              <v:textbox inset="0,0,0,0">
                <w:txbxContent>
                  <w:p>
                    <w:pPr>
                      <w:pStyle w:val="BodyText"/>
                      <w:spacing w:before="10"/>
                      <w:ind w:left="20"/>
                    </w:pPr>
                    <w:r>
                      <w:rPr>
                        <w:spacing w:val="-10"/>
                      </w:rPr>
                      <w:t>5</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8144">
              <wp:simplePos x="0" y="0"/>
              <wp:positionH relativeFrom="page">
                <wp:posOffset>6733699</wp:posOffset>
              </wp:positionH>
              <wp:positionV relativeFrom="page">
                <wp:posOffset>353009</wp:posOffset>
              </wp:positionV>
              <wp:extent cx="111760" cy="2165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1760" cy="216535"/>
                      </a:xfrm>
                      <a:prstGeom prst="rect">
                        <a:avLst/>
                      </a:prstGeom>
                    </wps:spPr>
                    <wps:txbx>
                      <w:txbxContent>
                        <w:p>
                          <w:pPr>
                            <w:pStyle w:val="BodyText"/>
                            <w:spacing w:before="11"/>
                            <w:ind w:left="20"/>
                            <w:rPr>
                              <w:rFonts w:ascii="Tahoma"/>
                            </w:rPr>
                          </w:pPr>
                          <w:r>
                            <w:rPr>
                              <w:rFonts w:ascii="Tahoma"/>
                              <w:color w:val="1F1F1F"/>
                              <w:spacing w:val="-10"/>
                              <w:w w:val="105"/>
                            </w:rPr>
                            <w:t>6</w:t>
                          </w:r>
                        </w:p>
                      </w:txbxContent>
                    </wps:txbx>
                    <wps:bodyPr wrap="square" lIns="0" tIns="0" rIns="0" bIns="0" rtlCol="0">
                      <a:noAutofit/>
                    </wps:bodyPr>
                  </wps:wsp>
                </a:graphicData>
              </a:graphic>
            </wp:anchor>
          </w:drawing>
        </mc:Choice>
        <mc:Fallback>
          <w:pict>
            <v:shape style="position:absolute;margin-left:530.212585pt;margin-top:27.796pt;width:8.8pt;height:17.05pt;mso-position-horizontal-relative:page;mso-position-vertical-relative:page;z-index:-16078336" type="#_x0000_t202" id="docshape5" filled="false" stroked="false">
              <v:textbox inset="0,0,0,0">
                <w:txbxContent>
                  <w:p>
                    <w:pPr>
                      <w:pStyle w:val="BodyText"/>
                      <w:spacing w:before="11"/>
                      <w:ind w:left="20"/>
                      <w:rPr>
                        <w:rFonts w:ascii="Tahoma"/>
                      </w:rPr>
                    </w:pPr>
                    <w:r>
                      <w:rPr>
                        <w:rFonts w:ascii="Tahoma"/>
                        <w:color w:val="1F1F1F"/>
                        <w:spacing w:val="-10"/>
                        <w:w w:val="105"/>
                      </w:rPr>
                      <w:t>6</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8656">
              <wp:simplePos x="0" y="0"/>
              <wp:positionH relativeFrom="page">
                <wp:posOffset>6733699</wp:posOffset>
              </wp:positionH>
              <wp:positionV relativeFrom="page">
                <wp:posOffset>514039</wp:posOffset>
              </wp:positionV>
              <wp:extent cx="101600" cy="1943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01600" cy="194310"/>
                      </a:xfrm>
                      <a:prstGeom prst="rect">
                        <a:avLst/>
                      </a:prstGeom>
                    </wps:spPr>
                    <wps:txbx>
                      <w:txbxContent>
                        <w:p>
                          <w:pPr>
                            <w:pStyle w:val="BodyText"/>
                            <w:spacing w:before="10"/>
                            <w:ind w:left="20"/>
                          </w:pPr>
                          <w:r>
                            <w:rPr>
                              <w:spacing w:val="-10"/>
                            </w:rPr>
                            <w:t>7</w:t>
                          </w:r>
                        </w:p>
                      </w:txbxContent>
                    </wps:txbx>
                    <wps:bodyPr wrap="square" lIns="0" tIns="0" rIns="0" bIns="0" rtlCol="0">
                      <a:noAutofit/>
                    </wps:bodyPr>
                  </wps:wsp>
                </a:graphicData>
              </a:graphic>
            </wp:anchor>
          </w:drawing>
        </mc:Choice>
        <mc:Fallback>
          <w:pict>
            <v:shape style="position:absolute;margin-left:530.212585pt;margin-top:40.475586pt;width:8pt;height:15.3pt;mso-position-horizontal-relative:page;mso-position-vertical-relative:page;z-index:-16077824" type="#_x0000_t202" id="docshape6" filled="false" stroked="false">
              <v:textbox inset="0,0,0,0">
                <w:txbxContent>
                  <w:p>
                    <w:pPr>
                      <w:pStyle w:val="BodyText"/>
                      <w:spacing w:before="10"/>
                      <w:ind w:left="20"/>
                    </w:pPr>
                    <w:r>
                      <w:rPr>
                        <w:spacing w:val="-10"/>
                      </w:rPr>
                      <w:t>7</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7239168">
              <wp:simplePos x="0" y="0"/>
              <wp:positionH relativeFrom="page">
                <wp:posOffset>6708299</wp:posOffset>
              </wp:positionH>
              <wp:positionV relativeFrom="page">
                <wp:posOffset>309587</wp:posOffset>
              </wp:positionV>
              <wp:extent cx="203200" cy="21844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03200" cy="2184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28.212585pt;margin-top:24.376953pt;width:16pt;height:17.2pt;mso-position-horizontal-relative:page;mso-position-vertical-relative:page;z-index:-16077312" type="#_x0000_t202" id="docshape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9680">
              <wp:simplePos x="0" y="0"/>
              <wp:positionH relativeFrom="page">
                <wp:posOffset>6708299</wp:posOffset>
              </wp:positionH>
              <wp:positionV relativeFrom="page">
                <wp:posOffset>285874</wp:posOffset>
              </wp:positionV>
              <wp:extent cx="241300" cy="19431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style="position:absolute;margin-left:528.212585pt;margin-top:22.509766pt;width:19pt;height:15.3pt;mso-position-horizontal-relative:page;mso-position-vertical-relative:page;z-index:-16076800" type="#_x0000_t202" id="docshape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1984" w:hanging="3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970" w:hanging="300"/>
      </w:pPr>
      <w:rPr>
        <w:rFonts w:hint="default"/>
        <w:lang w:val="en-US" w:eastAsia="en-US" w:bidi="ar-SA"/>
      </w:rPr>
    </w:lvl>
    <w:lvl w:ilvl="2">
      <w:start w:val="0"/>
      <w:numFmt w:val="bullet"/>
      <w:lvlText w:val="•"/>
      <w:lvlJc w:val="left"/>
      <w:pPr>
        <w:ind w:left="3960" w:hanging="300"/>
      </w:pPr>
      <w:rPr>
        <w:rFonts w:hint="default"/>
        <w:lang w:val="en-US" w:eastAsia="en-US" w:bidi="ar-SA"/>
      </w:rPr>
    </w:lvl>
    <w:lvl w:ilvl="3">
      <w:start w:val="0"/>
      <w:numFmt w:val="bullet"/>
      <w:lvlText w:val="•"/>
      <w:lvlJc w:val="left"/>
      <w:pPr>
        <w:ind w:left="4950" w:hanging="300"/>
      </w:pPr>
      <w:rPr>
        <w:rFonts w:hint="default"/>
        <w:lang w:val="en-US" w:eastAsia="en-US" w:bidi="ar-SA"/>
      </w:rPr>
    </w:lvl>
    <w:lvl w:ilvl="4">
      <w:start w:val="0"/>
      <w:numFmt w:val="bullet"/>
      <w:lvlText w:val="•"/>
      <w:lvlJc w:val="left"/>
      <w:pPr>
        <w:ind w:left="5940" w:hanging="300"/>
      </w:pPr>
      <w:rPr>
        <w:rFonts w:hint="default"/>
        <w:lang w:val="en-US" w:eastAsia="en-US" w:bidi="ar-SA"/>
      </w:rPr>
    </w:lvl>
    <w:lvl w:ilvl="5">
      <w:start w:val="0"/>
      <w:numFmt w:val="bullet"/>
      <w:lvlText w:val="•"/>
      <w:lvlJc w:val="left"/>
      <w:pPr>
        <w:ind w:left="6930" w:hanging="300"/>
      </w:pPr>
      <w:rPr>
        <w:rFonts w:hint="default"/>
        <w:lang w:val="en-US" w:eastAsia="en-US" w:bidi="ar-SA"/>
      </w:rPr>
    </w:lvl>
    <w:lvl w:ilvl="6">
      <w:start w:val="0"/>
      <w:numFmt w:val="bullet"/>
      <w:lvlText w:val="•"/>
      <w:lvlJc w:val="left"/>
      <w:pPr>
        <w:ind w:left="7920" w:hanging="300"/>
      </w:pPr>
      <w:rPr>
        <w:rFonts w:hint="default"/>
        <w:lang w:val="en-US" w:eastAsia="en-US" w:bidi="ar-SA"/>
      </w:rPr>
    </w:lvl>
    <w:lvl w:ilvl="7">
      <w:start w:val="0"/>
      <w:numFmt w:val="bullet"/>
      <w:lvlText w:val="•"/>
      <w:lvlJc w:val="left"/>
      <w:pPr>
        <w:ind w:left="8910" w:hanging="300"/>
      </w:pPr>
      <w:rPr>
        <w:rFonts w:hint="default"/>
        <w:lang w:val="en-US" w:eastAsia="en-US" w:bidi="ar-SA"/>
      </w:rPr>
    </w:lvl>
    <w:lvl w:ilvl="8">
      <w:start w:val="0"/>
      <w:numFmt w:val="bullet"/>
      <w:lvlText w:val="•"/>
      <w:lvlJc w:val="left"/>
      <w:pPr>
        <w:ind w:left="9900" w:hanging="300"/>
      </w:pPr>
      <w:rPr>
        <w:rFonts w:hint="default"/>
        <w:lang w:val="en-US" w:eastAsia="en-US" w:bidi="ar-SA"/>
      </w:rPr>
    </w:lvl>
  </w:abstractNum>
  <w:abstractNum w:abstractNumId="4">
    <w:multiLevelType w:val="hybridMultilevel"/>
    <w:lvl w:ilvl="0">
      <w:start w:val="0"/>
      <w:numFmt w:val="bullet"/>
      <w:lvlText w:val="●"/>
      <w:lvlJc w:val="left"/>
      <w:pPr>
        <w:ind w:left="2704"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3618" w:hanging="360"/>
      </w:pPr>
      <w:rPr>
        <w:rFonts w:hint="default"/>
        <w:lang w:val="en-US" w:eastAsia="en-US" w:bidi="ar-SA"/>
      </w:rPr>
    </w:lvl>
    <w:lvl w:ilvl="2">
      <w:start w:val="0"/>
      <w:numFmt w:val="bullet"/>
      <w:lvlText w:val="•"/>
      <w:lvlJc w:val="left"/>
      <w:pPr>
        <w:ind w:left="4536" w:hanging="360"/>
      </w:pPr>
      <w:rPr>
        <w:rFonts w:hint="default"/>
        <w:lang w:val="en-US" w:eastAsia="en-US" w:bidi="ar-SA"/>
      </w:rPr>
    </w:lvl>
    <w:lvl w:ilvl="3">
      <w:start w:val="0"/>
      <w:numFmt w:val="bullet"/>
      <w:lvlText w:val="•"/>
      <w:lvlJc w:val="left"/>
      <w:pPr>
        <w:ind w:left="5454" w:hanging="360"/>
      </w:pPr>
      <w:rPr>
        <w:rFonts w:hint="default"/>
        <w:lang w:val="en-US" w:eastAsia="en-US" w:bidi="ar-SA"/>
      </w:rPr>
    </w:lvl>
    <w:lvl w:ilvl="4">
      <w:start w:val="0"/>
      <w:numFmt w:val="bullet"/>
      <w:lvlText w:val="•"/>
      <w:lvlJc w:val="left"/>
      <w:pPr>
        <w:ind w:left="6372" w:hanging="360"/>
      </w:pPr>
      <w:rPr>
        <w:rFonts w:hint="default"/>
        <w:lang w:val="en-US" w:eastAsia="en-US" w:bidi="ar-SA"/>
      </w:rPr>
    </w:lvl>
    <w:lvl w:ilvl="5">
      <w:start w:val="0"/>
      <w:numFmt w:val="bullet"/>
      <w:lvlText w:val="•"/>
      <w:lvlJc w:val="left"/>
      <w:pPr>
        <w:ind w:left="729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126" w:hanging="360"/>
      </w:pPr>
      <w:rPr>
        <w:rFonts w:hint="default"/>
        <w:lang w:val="en-US" w:eastAsia="en-US" w:bidi="ar-SA"/>
      </w:rPr>
    </w:lvl>
    <w:lvl w:ilvl="8">
      <w:start w:val="0"/>
      <w:numFmt w:val="bullet"/>
      <w:lvlText w:val="•"/>
      <w:lvlJc w:val="left"/>
      <w:pPr>
        <w:ind w:left="10044" w:hanging="360"/>
      </w:pPr>
      <w:rPr>
        <w:rFonts w:hint="default"/>
        <w:lang w:val="en-US" w:eastAsia="en-US" w:bidi="ar-SA"/>
      </w:rPr>
    </w:lvl>
  </w:abstractNum>
  <w:abstractNum w:abstractNumId="3">
    <w:multiLevelType w:val="hybridMultilevel"/>
    <w:lvl w:ilvl="0">
      <w:start w:val="1"/>
      <w:numFmt w:val="lowerRoman"/>
      <w:lvlText w:val="(%1)"/>
      <w:lvlJc w:val="left"/>
      <w:pPr>
        <w:ind w:left="1984" w:hanging="40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970" w:hanging="401"/>
      </w:pPr>
      <w:rPr>
        <w:rFonts w:hint="default"/>
        <w:lang w:val="en-US" w:eastAsia="en-US" w:bidi="ar-SA"/>
      </w:rPr>
    </w:lvl>
    <w:lvl w:ilvl="2">
      <w:start w:val="0"/>
      <w:numFmt w:val="bullet"/>
      <w:lvlText w:val="•"/>
      <w:lvlJc w:val="left"/>
      <w:pPr>
        <w:ind w:left="3960" w:hanging="401"/>
      </w:pPr>
      <w:rPr>
        <w:rFonts w:hint="default"/>
        <w:lang w:val="en-US" w:eastAsia="en-US" w:bidi="ar-SA"/>
      </w:rPr>
    </w:lvl>
    <w:lvl w:ilvl="3">
      <w:start w:val="0"/>
      <w:numFmt w:val="bullet"/>
      <w:lvlText w:val="•"/>
      <w:lvlJc w:val="left"/>
      <w:pPr>
        <w:ind w:left="4950" w:hanging="401"/>
      </w:pPr>
      <w:rPr>
        <w:rFonts w:hint="default"/>
        <w:lang w:val="en-US" w:eastAsia="en-US" w:bidi="ar-SA"/>
      </w:rPr>
    </w:lvl>
    <w:lvl w:ilvl="4">
      <w:start w:val="0"/>
      <w:numFmt w:val="bullet"/>
      <w:lvlText w:val="•"/>
      <w:lvlJc w:val="left"/>
      <w:pPr>
        <w:ind w:left="5940" w:hanging="401"/>
      </w:pPr>
      <w:rPr>
        <w:rFonts w:hint="default"/>
        <w:lang w:val="en-US" w:eastAsia="en-US" w:bidi="ar-SA"/>
      </w:rPr>
    </w:lvl>
    <w:lvl w:ilvl="5">
      <w:start w:val="0"/>
      <w:numFmt w:val="bullet"/>
      <w:lvlText w:val="•"/>
      <w:lvlJc w:val="left"/>
      <w:pPr>
        <w:ind w:left="6930" w:hanging="401"/>
      </w:pPr>
      <w:rPr>
        <w:rFonts w:hint="default"/>
        <w:lang w:val="en-US" w:eastAsia="en-US" w:bidi="ar-SA"/>
      </w:rPr>
    </w:lvl>
    <w:lvl w:ilvl="6">
      <w:start w:val="0"/>
      <w:numFmt w:val="bullet"/>
      <w:lvlText w:val="•"/>
      <w:lvlJc w:val="left"/>
      <w:pPr>
        <w:ind w:left="7920" w:hanging="401"/>
      </w:pPr>
      <w:rPr>
        <w:rFonts w:hint="default"/>
        <w:lang w:val="en-US" w:eastAsia="en-US" w:bidi="ar-SA"/>
      </w:rPr>
    </w:lvl>
    <w:lvl w:ilvl="7">
      <w:start w:val="0"/>
      <w:numFmt w:val="bullet"/>
      <w:lvlText w:val="•"/>
      <w:lvlJc w:val="left"/>
      <w:pPr>
        <w:ind w:left="8910" w:hanging="401"/>
      </w:pPr>
      <w:rPr>
        <w:rFonts w:hint="default"/>
        <w:lang w:val="en-US" w:eastAsia="en-US" w:bidi="ar-SA"/>
      </w:rPr>
    </w:lvl>
    <w:lvl w:ilvl="8">
      <w:start w:val="0"/>
      <w:numFmt w:val="bullet"/>
      <w:lvlText w:val="•"/>
      <w:lvlJc w:val="left"/>
      <w:pPr>
        <w:ind w:left="9900" w:hanging="401"/>
      </w:pPr>
      <w:rPr>
        <w:rFonts w:hint="default"/>
        <w:lang w:val="en-US" w:eastAsia="en-US" w:bidi="ar-SA"/>
      </w:rPr>
    </w:lvl>
  </w:abstractNum>
  <w:abstractNum w:abstractNumId="2">
    <w:multiLevelType w:val="hybridMultilevel"/>
    <w:lvl w:ilvl="0">
      <w:start w:val="2"/>
      <w:numFmt w:val="decimal"/>
      <w:lvlText w:val="%1"/>
      <w:lvlJc w:val="left"/>
      <w:pPr>
        <w:ind w:left="2613" w:hanging="630"/>
        <w:jc w:val="left"/>
      </w:pPr>
      <w:rPr>
        <w:rFonts w:hint="default"/>
        <w:lang w:val="en-US" w:eastAsia="en-US" w:bidi="ar-SA"/>
      </w:rPr>
    </w:lvl>
    <w:lvl w:ilvl="1">
      <w:start w:val="2"/>
      <w:numFmt w:val="decimal"/>
      <w:lvlText w:val="%1.%2"/>
      <w:lvlJc w:val="left"/>
      <w:pPr>
        <w:ind w:left="2613" w:hanging="630"/>
        <w:jc w:val="left"/>
      </w:pPr>
      <w:rPr>
        <w:rFonts w:hint="default"/>
        <w:lang w:val="en-US" w:eastAsia="en-US" w:bidi="ar-SA"/>
      </w:rPr>
    </w:lvl>
    <w:lvl w:ilvl="2">
      <w:start w:val="1"/>
      <w:numFmt w:val="decimal"/>
      <w:lvlText w:val="%1.%2.%3"/>
      <w:lvlJc w:val="left"/>
      <w:pPr>
        <w:ind w:left="2613" w:hanging="630"/>
        <w:jc w:val="left"/>
      </w:pPr>
      <w:rPr>
        <w:rFonts w:hint="default" w:ascii="Times New Roman" w:hAnsi="Times New Roman" w:eastAsia="Times New Roman" w:cs="Times New Roman"/>
        <w:b w:val="0"/>
        <w:bCs w:val="0"/>
        <w:i/>
        <w:iCs/>
        <w:spacing w:val="-1"/>
        <w:w w:val="100"/>
        <w:sz w:val="28"/>
        <w:szCs w:val="28"/>
        <w:lang w:val="en-US" w:eastAsia="en-US" w:bidi="ar-SA"/>
      </w:rPr>
    </w:lvl>
    <w:lvl w:ilvl="3">
      <w:start w:val="0"/>
      <w:numFmt w:val="bullet"/>
      <w:lvlText w:val="•"/>
      <w:lvlJc w:val="left"/>
      <w:pPr>
        <w:ind w:left="5398" w:hanging="630"/>
      </w:pPr>
      <w:rPr>
        <w:rFonts w:hint="default"/>
        <w:lang w:val="en-US" w:eastAsia="en-US" w:bidi="ar-SA"/>
      </w:rPr>
    </w:lvl>
    <w:lvl w:ilvl="4">
      <w:start w:val="0"/>
      <w:numFmt w:val="bullet"/>
      <w:lvlText w:val="•"/>
      <w:lvlJc w:val="left"/>
      <w:pPr>
        <w:ind w:left="6324" w:hanging="630"/>
      </w:pPr>
      <w:rPr>
        <w:rFonts w:hint="default"/>
        <w:lang w:val="en-US" w:eastAsia="en-US" w:bidi="ar-SA"/>
      </w:rPr>
    </w:lvl>
    <w:lvl w:ilvl="5">
      <w:start w:val="0"/>
      <w:numFmt w:val="bullet"/>
      <w:lvlText w:val="•"/>
      <w:lvlJc w:val="left"/>
      <w:pPr>
        <w:ind w:left="7250" w:hanging="630"/>
      </w:pPr>
      <w:rPr>
        <w:rFonts w:hint="default"/>
        <w:lang w:val="en-US" w:eastAsia="en-US" w:bidi="ar-SA"/>
      </w:rPr>
    </w:lvl>
    <w:lvl w:ilvl="6">
      <w:start w:val="0"/>
      <w:numFmt w:val="bullet"/>
      <w:lvlText w:val="•"/>
      <w:lvlJc w:val="left"/>
      <w:pPr>
        <w:ind w:left="8176" w:hanging="630"/>
      </w:pPr>
      <w:rPr>
        <w:rFonts w:hint="default"/>
        <w:lang w:val="en-US" w:eastAsia="en-US" w:bidi="ar-SA"/>
      </w:rPr>
    </w:lvl>
    <w:lvl w:ilvl="7">
      <w:start w:val="0"/>
      <w:numFmt w:val="bullet"/>
      <w:lvlText w:val="•"/>
      <w:lvlJc w:val="left"/>
      <w:pPr>
        <w:ind w:left="9102" w:hanging="630"/>
      </w:pPr>
      <w:rPr>
        <w:rFonts w:hint="default"/>
        <w:lang w:val="en-US" w:eastAsia="en-US" w:bidi="ar-SA"/>
      </w:rPr>
    </w:lvl>
    <w:lvl w:ilvl="8">
      <w:start w:val="0"/>
      <w:numFmt w:val="bullet"/>
      <w:lvlText w:val="•"/>
      <w:lvlJc w:val="left"/>
      <w:pPr>
        <w:ind w:left="10028" w:hanging="630"/>
      </w:pPr>
      <w:rPr>
        <w:rFonts w:hint="default"/>
        <w:lang w:val="en-US" w:eastAsia="en-US" w:bidi="ar-SA"/>
      </w:rPr>
    </w:lvl>
  </w:abstractNum>
  <w:abstractNum w:abstractNumId="1">
    <w:multiLevelType w:val="hybridMultilevel"/>
    <w:lvl w:ilvl="0">
      <w:start w:val="1"/>
      <w:numFmt w:val="decimal"/>
      <w:lvlText w:val="%1."/>
      <w:lvlJc w:val="left"/>
      <w:pPr>
        <w:ind w:left="2255" w:hanging="271"/>
        <w:jc w:val="left"/>
      </w:pPr>
      <w:rPr>
        <w:rFonts w:hint="default"/>
        <w:spacing w:val="0"/>
        <w:w w:val="84"/>
        <w:lang w:val="en-US" w:eastAsia="en-US" w:bidi="ar-SA"/>
      </w:rPr>
    </w:lvl>
    <w:lvl w:ilvl="1">
      <w:start w:val="1"/>
      <w:numFmt w:val="decimal"/>
      <w:lvlText w:val="%1.%2"/>
      <w:lvlJc w:val="left"/>
      <w:pPr>
        <w:ind w:left="2464" w:hanging="480"/>
        <w:jc w:val="left"/>
      </w:pPr>
      <w:rPr>
        <w:rFonts w:hint="default"/>
        <w:spacing w:val="-1"/>
        <w:w w:val="100"/>
        <w:lang w:val="en-US" w:eastAsia="en-US" w:bidi="ar-SA"/>
      </w:rPr>
    </w:lvl>
    <w:lvl w:ilvl="2">
      <w:start w:val="0"/>
      <w:numFmt w:val="bullet"/>
      <w:lvlText w:val="•"/>
      <w:lvlJc w:val="left"/>
      <w:pPr>
        <w:ind w:left="2460" w:hanging="480"/>
      </w:pPr>
      <w:rPr>
        <w:rFonts w:hint="default"/>
        <w:lang w:val="en-US" w:eastAsia="en-US" w:bidi="ar-SA"/>
      </w:rPr>
    </w:lvl>
    <w:lvl w:ilvl="3">
      <w:start w:val="0"/>
      <w:numFmt w:val="bullet"/>
      <w:lvlText w:val="•"/>
      <w:lvlJc w:val="left"/>
      <w:pPr>
        <w:ind w:left="3637" w:hanging="480"/>
      </w:pPr>
      <w:rPr>
        <w:rFonts w:hint="default"/>
        <w:lang w:val="en-US" w:eastAsia="en-US" w:bidi="ar-SA"/>
      </w:rPr>
    </w:lvl>
    <w:lvl w:ilvl="4">
      <w:start w:val="0"/>
      <w:numFmt w:val="bullet"/>
      <w:lvlText w:val="•"/>
      <w:lvlJc w:val="left"/>
      <w:pPr>
        <w:ind w:left="4815" w:hanging="480"/>
      </w:pPr>
      <w:rPr>
        <w:rFonts w:hint="default"/>
        <w:lang w:val="en-US" w:eastAsia="en-US" w:bidi="ar-SA"/>
      </w:rPr>
    </w:lvl>
    <w:lvl w:ilvl="5">
      <w:start w:val="0"/>
      <w:numFmt w:val="bullet"/>
      <w:lvlText w:val="•"/>
      <w:lvlJc w:val="left"/>
      <w:pPr>
        <w:ind w:left="5992" w:hanging="480"/>
      </w:pPr>
      <w:rPr>
        <w:rFonts w:hint="default"/>
        <w:lang w:val="en-US" w:eastAsia="en-US" w:bidi="ar-SA"/>
      </w:rPr>
    </w:lvl>
    <w:lvl w:ilvl="6">
      <w:start w:val="0"/>
      <w:numFmt w:val="bullet"/>
      <w:lvlText w:val="•"/>
      <w:lvlJc w:val="left"/>
      <w:pPr>
        <w:ind w:left="7170" w:hanging="480"/>
      </w:pPr>
      <w:rPr>
        <w:rFonts w:hint="default"/>
        <w:lang w:val="en-US" w:eastAsia="en-US" w:bidi="ar-SA"/>
      </w:rPr>
    </w:lvl>
    <w:lvl w:ilvl="7">
      <w:start w:val="0"/>
      <w:numFmt w:val="bullet"/>
      <w:lvlText w:val="•"/>
      <w:lvlJc w:val="left"/>
      <w:pPr>
        <w:ind w:left="8347" w:hanging="480"/>
      </w:pPr>
      <w:rPr>
        <w:rFonts w:hint="default"/>
        <w:lang w:val="en-US" w:eastAsia="en-US" w:bidi="ar-SA"/>
      </w:rPr>
    </w:lvl>
    <w:lvl w:ilvl="8">
      <w:start w:val="0"/>
      <w:numFmt w:val="bullet"/>
      <w:lvlText w:val="•"/>
      <w:lvlJc w:val="left"/>
      <w:pPr>
        <w:ind w:left="9525" w:hanging="480"/>
      </w:pPr>
      <w:rPr>
        <w:rFonts w:hint="default"/>
        <w:lang w:val="en-US" w:eastAsia="en-US" w:bidi="ar-SA"/>
      </w:rPr>
    </w:lvl>
  </w:abstractNum>
  <w:abstractNum w:abstractNumId="0">
    <w:multiLevelType w:val="hybridMultilevel"/>
    <w:lvl w:ilvl="0">
      <w:start w:val="1"/>
      <w:numFmt w:val="decimal"/>
      <w:lvlText w:val="%1."/>
      <w:lvlJc w:val="left"/>
      <w:pPr>
        <w:ind w:left="3199" w:hanging="420"/>
        <w:jc w:val="left"/>
      </w:pPr>
      <w:rPr>
        <w:rFonts w:hint="default"/>
        <w:spacing w:val="-1"/>
        <w:w w:val="100"/>
        <w:lang w:val="en-US" w:eastAsia="en-US" w:bidi="ar-SA"/>
      </w:rPr>
    </w:lvl>
    <w:lvl w:ilvl="1">
      <w:start w:val="1"/>
      <w:numFmt w:val="decimal"/>
      <w:lvlText w:val="%1.%2."/>
      <w:lvlJc w:val="left"/>
      <w:pPr>
        <w:ind w:left="4114" w:hanging="540"/>
        <w:jc w:val="left"/>
      </w:pPr>
      <w:rPr>
        <w:rFonts w:hint="default" w:ascii="Times New Roman" w:hAnsi="Times New Roman" w:eastAsia="Times New Roman" w:cs="Times New Roman"/>
        <w:b w:val="0"/>
        <w:bCs w:val="0"/>
        <w:i w:val="0"/>
        <w:iCs w:val="0"/>
        <w:color w:val="000101"/>
        <w:spacing w:val="-1"/>
        <w:w w:val="100"/>
        <w:sz w:val="22"/>
        <w:szCs w:val="22"/>
        <w:lang w:val="en-US" w:eastAsia="en-US" w:bidi="ar-SA"/>
      </w:rPr>
    </w:lvl>
    <w:lvl w:ilvl="2">
      <w:start w:val="1"/>
      <w:numFmt w:val="decimal"/>
      <w:lvlText w:val="%1.%2.%3."/>
      <w:lvlJc w:val="left"/>
      <w:pPr>
        <w:ind w:left="4519" w:hanging="675"/>
        <w:jc w:val="left"/>
      </w:pPr>
      <w:rPr>
        <w:rFonts w:hint="default" w:ascii="Times New Roman" w:hAnsi="Times New Roman" w:eastAsia="Times New Roman" w:cs="Times New Roman"/>
        <w:b w:val="0"/>
        <w:bCs w:val="0"/>
        <w:i w:val="0"/>
        <w:iCs w:val="0"/>
        <w:color w:val="000101"/>
        <w:spacing w:val="-1"/>
        <w:w w:val="100"/>
        <w:sz w:val="22"/>
        <w:szCs w:val="22"/>
        <w:lang w:val="en-US" w:eastAsia="en-US" w:bidi="ar-SA"/>
      </w:rPr>
    </w:lvl>
    <w:lvl w:ilvl="3">
      <w:start w:val="0"/>
      <w:numFmt w:val="bullet"/>
      <w:lvlText w:val="•"/>
      <w:lvlJc w:val="left"/>
      <w:pPr>
        <w:ind w:left="4520" w:hanging="675"/>
      </w:pPr>
      <w:rPr>
        <w:rFonts w:hint="default"/>
        <w:lang w:val="en-US" w:eastAsia="en-US" w:bidi="ar-SA"/>
      </w:rPr>
    </w:lvl>
    <w:lvl w:ilvl="4">
      <w:start w:val="0"/>
      <w:numFmt w:val="bullet"/>
      <w:lvlText w:val="•"/>
      <w:lvlJc w:val="left"/>
      <w:pPr>
        <w:ind w:left="5571" w:hanging="675"/>
      </w:pPr>
      <w:rPr>
        <w:rFonts w:hint="default"/>
        <w:lang w:val="en-US" w:eastAsia="en-US" w:bidi="ar-SA"/>
      </w:rPr>
    </w:lvl>
    <w:lvl w:ilvl="5">
      <w:start w:val="0"/>
      <w:numFmt w:val="bullet"/>
      <w:lvlText w:val="•"/>
      <w:lvlJc w:val="left"/>
      <w:pPr>
        <w:ind w:left="6622" w:hanging="675"/>
      </w:pPr>
      <w:rPr>
        <w:rFonts w:hint="default"/>
        <w:lang w:val="en-US" w:eastAsia="en-US" w:bidi="ar-SA"/>
      </w:rPr>
    </w:lvl>
    <w:lvl w:ilvl="6">
      <w:start w:val="0"/>
      <w:numFmt w:val="bullet"/>
      <w:lvlText w:val="•"/>
      <w:lvlJc w:val="left"/>
      <w:pPr>
        <w:ind w:left="7674" w:hanging="675"/>
      </w:pPr>
      <w:rPr>
        <w:rFonts w:hint="default"/>
        <w:lang w:val="en-US" w:eastAsia="en-US" w:bidi="ar-SA"/>
      </w:rPr>
    </w:lvl>
    <w:lvl w:ilvl="7">
      <w:start w:val="0"/>
      <w:numFmt w:val="bullet"/>
      <w:lvlText w:val="•"/>
      <w:lvlJc w:val="left"/>
      <w:pPr>
        <w:ind w:left="8725" w:hanging="675"/>
      </w:pPr>
      <w:rPr>
        <w:rFonts w:hint="default"/>
        <w:lang w:val="en-US" w:eastAsia="en-US" w:bidi="ar-SA"/>
      </w:rPr>
    </w:lvl>
    <w:lvl w:ilvl="8">
      <w:start w:val="0"/>
      <w:numFmt w:val="bullet"/>
      <w:lvlText w:val="•"/>
      <w:lvlJc w:val="left"/>
      <w:pPr>
        <w:ind w:left="9777" w:hanging="675"/>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46"/>
      <w:ind w:left="3199" w:hanging="420"/>
    </w:pPr>
    <w:rPr>
      <w:rFonts w:ascii="Times New Roman" w:hAnsi="Times New Roman" w:eastAsia="Times New Roman" w:cs="Times New Roman"/>
      <w:b/>
      <w:bCs/>
      <w:sz w:val="22"/>
      <w:szCs w:val="22"/>
      <w:lang w:val="en-US" w:eastAsia="en-US" w:bidi="ar-SA"/>
    </w:rPr>
  </w:style>
  <w:style w:styleId="TOC2" w:type="paragraph">
    <w:name w:val="TOC 2"/>
    <w:basedOn w:val="Normal"/>
    <w:uiPriority w:val="1"/>
    <w:qFormat/>
    <w:pPr>
      <w:spacing w:before="45"/>
      <w:ind w:left="2779"/>
    </w:pPr>
    <w:rPr>
      <w:rFonts w:ascii="Times New Roman" w:hAnsi="Times New Roman" w:eastAsia="Times New Roman" w:cs="Times New Roman"/>
      <w:sz w:val="22"/>
      <w:szCs w:val="22"/>
      <w:lang w:val="en-US" w:eastAsia="en-US" w:bidi="ar-SA"/>
    </w:rPr>
  </w:style>
  <w:style w:styleId="TOC3" w:type="paragraph">
    <w:name w:val="TOC 3"/>
    <w:basedOn w:val="Normal"/>
    <w:uiPriority w:val="1"/>
    <w:qFormat/>
    <w:pPr>
      <w:spacing w:before="43"/>
      <w:ind w:left="3199" w:hanging="420"/>
    </w:pPr>
    <w:rPr>
      <w:rFonts w:ascii="Times New Roman" w:hAnsi="Times New Roman" w:eastAsia="Times New Roman" w:cs="Times New Roman"/>
      <w:b/>
      <w:bCs/>
      <w:i/>
      <w:iCs/>
      <w:lang w:val="en-US" w:eastAsia="en-US" w:bidi="ar-SA"/>
    </w:rPr>
  </w:style>
  <w:style w:styleId="TOC4" w:type="paragraph">
    <w:name w:val="TOC 4"/>
    <w:basedOn w:val="Normal"/>
    <w:uiPriority w:val="1"/>
    <w:qFormat/>
    <w:pPr>
      <w:spacing w:before="45"/>
      <w:ind w:left="4114" w:hanging="540"/>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081"/>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8"/>
      <w:ind w:left="2344" w:hanging="360"/>
      <w:outlineLvl w:val="2"/>
    </w:pPr>
    <w:rPr>
      <w:rFonts w:ascii="Times New Roman" w:hAnsi="Times New Roman" w:eastAsia="Times New Roman" w:cs="Times New Roman"/>
      <w:b/>
      <w:bCs/>
      <w:sz w:val="36"/>
      <w:szCs w:val="36"/>
      <w:lang w:val="en-US" w:eastAsia="en-US" w:bidi="ar-SA"/>
    </w:rPr>
  </w:style>
  <w:style w:styleId="Heading3" w:type="paragraph">
    <w:name w:val="Heading 3"/>
    <w:basedOn w:val="Normal"/>
    <w:uiPriority w:val="1"/>
    <w:qFormat/>
    <w:pPr>
      <w:ind w:left="4866"/>
      <w:jc w:val="center"/>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ind w:left="2461" w:hanging="477"/>
      <w:outlineLvl w:val="4"/>
    </w:pPr>
    <w:rPr>
      <w:rFonts w:ascii="Times New Roman" w:hAnsi="Times New Roman" w:eastAsia="Times New Roman" w:cs="Times New Roman"/>
      <w:sz w:val="32"/>
      <w:szCs w:val="32"/>
      <w:lang w:val="en-US" w:eastAsia="en-US" w:bidi="ar-SA"/>
    </w:rPr>
  </w:style>
  <w:style w:styleId="Heading5" w:type="paragraph">
    <w:name w:val="Heading 5"/>
    <w:basedOn w:val="Normal"/>
    <w:uiPriority w:val="1"/>
    <w:qFormat/>
    <w:pPr>
      <w:spacing w:before="1"/>
      <w:ind w:left="2434" w:hanging="450"/>
      <w:outlineLvl w:val="5"/>
    </w:pPr>
    <w:rPr>
      <w:rFonts w:ascii="Times New Roman" w:hAnsi="Times New Roman" w:eastAsia="Times New Roman" w:cs="Times New Roman"/>
      <w:b/>
      <w:bCs/>
      <w:sz w:val="30"/>
      <w:szCs w:val="30"/>
      <w:lang w:val="en-US" w:eastAsia="en-US" w:bidi="ar-SA"/>
    </w:rPr>
  </w:style>
  <w:style w:styleId="Heading6" w:type="paragraph">
    <w:name w:val="Heading 6"/>
    <w:basedOn w:val="Normal"/>
    <w:uiPriority w:val="1"/>
    <w:qFormat/>
    <w:pPr>
      <w:ind w:left="2609" w:hanging="625"/>
      <w:outlineLvl w:val="6"/>
    </w:pPr>
    <w:rPr>
      <w:rFonts w:ascii="Times New Roman" w:hAnsi="Times New Roman" w:eastAsia="Times New Roman" w:cs="Times New Roman"/>
      <w:i/>
      <w:iCs/>
      <w:sz w:val="28"/>
      <w:szCs w:val="28"/>
      <w:lang w:val="en-US" w:eastAsia="en-US" w:bidi="ar-SA"/>
    </w:rPr>
  </w:style>
  <w:style w:styleId="ListParagraph" w:type="paragraph">
    <w:name w:val="List Paragraph"/>
    <w:basedOn w:val="Normal"/>
    <w:uiPriority w:val="1"/>
    <w:qFormat/>
    <w:pPr>
      <w:ind w:left="3994" w:hanging="69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1"/>
      <w:ind w:left="11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image" Target="media/image4.png"/><Relationship Id="rId14" Type="http://schemas.openxmlformats.org/officeDocument/2006/relationships/header" Target="header6.xml"/><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header" Target="header7.xml"/><Relationship Id="rId20" Type="http://schemas.openxmlformats.org/officeDocument/2006/relationships/image" Target="media/image9.jpeg"/><Relationship Id="rId21" Type="http://schemas.openxmlformats.org/officeDocument/2006/relationships/header" Target="header8.xml"/><Relationship Id="rId22" Type="http://schemas.openxmlformats.org/officeDocument/2006/relationships/image" Target="media/image10.png"/><Relationship Id="rId23" Type="http://schemas.openxmlformats.org/officeDocument/2006/relationships/header" Target="header9.xml"/><Relationship Id="rId24" Type="http://schemas.openxmlformats.org/officeDocument/2006/relationships/header" Target="header10.xml"/><Relationship Id="rId25" Type="http://schemas.openxmlformats.org/officeDocument/2006/relationships/hyperlink" Target="http://www.researchgate.net/publication/303291261_Effect_of_Rare_Earth_Cerium_Addition" TargetMode="External"/><Relationship Id="rId26" Type="http://schemas.openxmlformats.org/officeDocument/2006/relationships/hyperlink" Target="http://www.sciencedirect.com/science/article/pii/S1044580322007094" TargetMode="External"/><Relationship Id="rId27" Type="http://schemas.openxmlformats.org/officeDocument/2006/relationships/hyperlink" Target="http://www.researchgate.net/publication/348945378_TWIP_Steels_Mechanical_and_Metallur" TargetMode="External"/><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sample</dc:title>
  <dcterms:created xsi:type="dcterms:W3CDTF">2026-05-09T10:11:37Z</dcterms:created>
  <dcterms:modified xsi:type="dcterms:W3CDTF">2026-05-09T10:11:37Z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2026-05-09T00:00:00Z</vt:filetime>
  </property>
  <property fmtid="{D5CDD505-2E9C-101B-9397-08002B2CF9AE}" pid="3" name="Producer">
    <vt:lpwstr>Skia/PDF m145 Google Docs Renderer</vt:lpwstr>
  </property>
  <property fmtid="{D5CDD505-2E9C-101B-9397-08002B2CF9AE}" pid="4" name="LastSaved">
    <vt:filetime>2026-05-09T00:00:00Z</vt:filetime>
  </property>
</Properties>
</file>