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Petascale Module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http://shodor.org/petascale/materials/UPModules/StochOpt/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55"/>
        <w:gridCol w:w="1"/>
        <w:tblGridChange w:id="0">
          <w:tblGrid>
            <w:gridCol w:w="6555"/>
            <w:gridCol w:w="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0" w:line="297.59999999999997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Ruppeiner, George, Jacob Mørch Pedersen, and Peter Salamon. "Ensemble approach to simulated annealing."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rtl w:val="0"/>
              </w:rPr>
              <w:t xml:space="preserve">Journal de Physique I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1.4 (1991): 455-470.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0" w:lineRule="auto"/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0" w:line="297.59999999999997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hodor.org/petascale/materials/UPModules/StochO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