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rFonts w:ascii="Times New Roman" w:cs="Times New Roman" w:eastAsia="Times New Roman" w:hAnsi="Times New Roman"/>
          <w:b w:val="1"/>
          <w:sz w:val="60"/>
          <w:szCs w:val="60"/>
        </w:rPr>
      </w:pPr>
      <w:bookmarkStart w:colFirst="0" w:colLast="0" w:name="_qvwca6se2q6h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60"/>
          <w:szCs w:val="60"/>
          <w:rtl w:val="0"/>
        </w:rPr>
        <w:t xml:space="preserve">Exercise Instructions for Students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What are different types of Parallel Computer Memory Architectures?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Describe MPI API?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What are the advantages and disadvantages of using MPI?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Name some Minimal Set of MPI Routines.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What is the programming model of MPI?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Explain communicators, broadcasting, reduction in MPI.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Describe Non-Blocking Communication.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