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 Propagation: Instructor Guide</w:t>
      </w:r>
    </w:p>
    <w:p w:rsidR="00000000" w:rsidDel="00000000" w:rsidP="00000000" w:rsidRDefault="00000000" w:rsidRPr="00000000" w14:paraId="00000002">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only a 25 minutes module, the CPU multicore/multithread and GPU hardware architectures should already be covered in previous modules. The focus of this module should only be on MPI implementations and its use cases in different scientific applications.</w:t>
      </w:r>
    </w:p>
    <w:p w:rsidR="00000000" w:rsidDel="00000000" w:rsidP="00000000" w:rsidRDefault="00000000" w:rsidRPr="00000000" w14:paraId="0000000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set and do further readings of the concepts being presented.</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will start with presentation slides that covers different network processor interconnects, concepts and different data array decomposition might be implemented.</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use simple random array addition examples to demonstrate primary MPI subroutines for copying the data from node to node, and vice versa.</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acoustic wave equation example is used as a more scientific application use case. This example will also demonstrate good and bad practices in MPI programming that students should be aware of.</w:t>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present the idea of a post processing step to develop visual graphics animations and know how to use ImageMagik.</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MPI implementation might have changed. Therefore, both instructors and students are encouraged to check the HPC community for updates.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Watch out for IO, as MPI outputs data writes in random order. Moving data between nodes could potentially reduce application performance tremendously.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Beware of making many changes and then timing results.  Use an incremental approach – make one change – then time entire program.  See what runtime improvements happened.  Rerun several times to determine if actual times are consistent.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beginning, do a paper design of memory layout and decide either a one dimension or two-dimensional compute node structure is best.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