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Instructor Guide</w:t>
      </w:r>
    </w:p>
    <w:p w:rsidR="00000000" w:rsidDel="00000000" w:rsidP="00000000" w:rsidRDefault="00000000" w:rsidRPr="00000000" w14:paraId="00000002">
      <w:pPr>
        <w:ind w:left="0" w:firstLine="0"/>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sz w:val="36"/>
          <w:szCs w:val="36"/>
          <w:rtl w:val="0"/>
        </w:rPr>
        <w:t xml:space="preserve">Common pitfalls for students and instructors</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Depending on when this module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MPI library documentation</w:t>
        </w:r>
      </w:hyperlink>
      <w:r w:rsidDel="00000000" w:rsidR="00000000" w:rsidRPr="00000000">
        <w:rPr>
          <w:rFonts w:ascii="Times New Roman" w:cs="Times New Roman" w:eastAsia="Times New Roman" w:hAnsi="Times New Roman"/>
          <w:sz w:val="24"/>
          <w:szCs w:val="24"/>
          <w:highlight w:val="white"/>
          <w:rtl w:val="0"/>
        </w:rPr>
        <w:t xml:space="preserve"> for updates.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Deadlocks are the most common errors when using MPI caused by synchronous or blocking send/receive functions. One could either fix the issue by changing the order of operations, or use the non-blocking implementation of the same communication routines provided by MPI library.</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mpi.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